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-97155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January 30, 2021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4"/>
              </w:rPr>
              <w:t>900 Innovators Way</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Simi Valley, California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93065</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260"/>
        <w:spacing w:after="0" w:line="26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March 3, 2021, the number of shares outstanding of the registrant’s common stock, $0.0001 par value, was 24,676,485.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w w:val="93"/>
              </w:rPr>
              <w:t>AeroVironment, Inc.</w:t>
            </w:r>
          </w:p>
        </w:tc>
        <w:tc>
          <w:tcPr>
            <w:tcW w:w="34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2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w w:val="89"/>
              </w:rPr>
              <w:t>Table of Contents</w:t>
            </w:r>
          </w:p>
        </w:tc>
        <w:tc>
          <w:tcPr>
            <w:tcW w:w="340" w:type="dxa"/>
            <w:vAlign w:val="bottom"/>
          </w:tcPr>
          <w:p>
            <w:pPr>
              <w:spacing w:after="0"/>
              <w:rPr>
                <w:sz w:val="24"/>
                <w:szCs w:val="24"/>
                <w:color w:val="auto"/>
              </w:rPr>
            </w:pPr>
          </w:p>
        </w:tc>
      </w:tr>
      <w:tr>
        <w:trPr>
          <w:trHeight w:val="405"/>
        </w:trPr>
        <w:tc>
          <w:tcPr>
            <w:tcW w:w="9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20" w:type="dxa"/>
            <w:vAlign w:val="bottom"/>
            <w:gridSpan w:val="12"/>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4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January 30, 2021 (Unaudited) and April 30, 2020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20" w:type="dxa"/>
            <w:vAlign w:val="bottom"/>
            <w:tcBorders>
              <w:bottom w:val="single" w:sz="8" w:color="0000EE"/>
            </w:tcBorders>
            <w:gridSpan w:val="7"/>
          </w:tcPr>
          <w:p>
            <w:pPr>
              <w:spacing w:after="0" w:line="20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for the three and nine months ended January 30, 2021</w:t>
              </w:r>
            </w:hyperlink>
          </w:p>
        </w:tc>
        <w:tc>
          <w:tcPr>
            <w:tcW w:w="720" w:type="dxa"/>
            <w:vAlign w:val="bottom"/>
            <w:gridSpan w:val="4"/>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6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and January 25, 2020 (Unaudited)</w:t>
              </w:r>
            </w:hyperlink>
          </w:p>
        </w:tc>
        <w:tc>
          <w:tcPr>
            <w:tcW w:w="3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1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Comprehensive Income (Loss) for the three and nine months ended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80" w:type="dxa"/>
            <w:vAlign w:val="bottom"/>
            <w:tcBorders>
              <w:top w:val="single" w:sz="8" w:color="0000EE"/>
            </w:tcBorders>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January 30, 2021 (Unaudited) and January 25, 2020 (Unaudited)</w:t>
              </w:r>
            </w:hyperlink>
          </w:p>
        </w:tc>
        <w:tc>
          <w:tcPr>
            <w:tcW w:w="580" w:type="dxa"/>
            <w:vAlign w:val="bottom"/>
            <w:gridSpan w:val="3"/>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11"/>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Stockholders’ Equity for the three and nine months ended January 30,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860" w:type="dxa"/>
            <w:vAlign w:val="bottom"/>
            <w:tcBorders>
              <w:top w:val="single" w:sz="8" w:color="0000EE"/>
            </w:tcBorders>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2021 (Unaudited) and January 25, 2020 (Unaudited)</w:t>
              </w:r>
            </w:hyperlink>
          </w:p>
        </w:tc>
        <w:tc>
          <w:tcPr>
            <w:tcW w:w="4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1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Cash Flows for the nine months ended January 30, 2021 (Unaudited) and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10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January 25, 2020 (Unaudited)</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7620" w:type="dxa"/>
            <w:vAlign w:val="bottom"/>
            <w:gridSpan w:val="1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86"/>
        </w:trPr>
        <w:tc>
          <w:tcPr>
            <w:tcW w:w="8580" w:type="dxa"/>
            <w:vAlign w:val="bottom"/>
            <w:gridSpan w:val="13"/>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 OTHER INFORMATION</w:t>
              </w:r>
            </w:hyperlink>
          </w:p>
        </w:tc>
        <w:tc>
          <w:tcPr>
            <w:tcW w:w="34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1.</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Defaults Upon Senior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5.</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w:t>
              </w:r>
            </w:hyperlink>
          </w:p>
        </w:tc>
        <w:tc>
          <w:tcPr>
            <w:tcW w:w="7620" w:type="dxa"/>
            <w:vAlign w:val="bottom"/>
            <w:gridSpan w:val="1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324,543</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48,499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Accounts receivable, net of allowance for doubtful accounts of $565 at January 30, 2021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$1,190 at April 30, 2020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220"/>
              <w:spacing w:after="0"/>
              <w:rPr>
                <w:sz w:val="20"/>
                <w:szCs w:val="20"/>
                <w:color w:val="auto"/>
              </w:rPr>
            </w:pPr>
            <w:r>
              <w:rPr>
                <w:rFonts w:ascii="Arial" w:cs="Arial" w:eastAsia="Arial" w:hAnsi="Arial"/>
                <w:sz w:val="16"/>
                <w:szCs w:val="16"/>
                <w:color w:val="auto"/>
                <w:w w:val="98"/>
              </w:rPr>
              <w:t>Unbilled receivables and retentions (inclusive of related party unbilled receivables of $6,834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220"/>
              <w:spacing w:after="0"/>
              <w:rPr>
                <w:sz w:val="20"/>
                <w:szCs w:val="20"/>
                <w:color w:val="auto"/>
              </w:rPr>
            </w:pPr>
            <w:r>
              <w:rPr>
                <w:rFonts w:ascii="Arial" w:cs="Arial" w:eastAsia="Arial" w:hAnsi="Arial"/>
                <w:sz w:val="16"/>
                <w:szCs w:val="16"/>
                <w:color w:val="auto"/>
              </w:rPr>
              <w:t>January 30, 2021 and $15,779 at 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61,084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7,693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503,927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rPr>
                <w:sz w:val="20"/>
                <w:szCs w:val="20"/>
                <w:color w:val="auto"/>
              </w:rPr>
            </w:pPr>
            <w:r>
              <w:rPr>
                <w:rFonts w:ascii="Arial" w:cs="Arial" w:eastAsia="Arial" w:hAnsi="Arial"/>
                <w:sz w:val="16"/>
                <w:szCs w:val="16"/>
                <w:color w:val="auto"/>
              </w:rPr>
              <w:t>Long-term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11,222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Intangibles,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11,552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590,992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15,837</w:t>
            </w:r>
          </w:p>
        </w:tc>
        <w:tc>
          <w:tcPr>
            <w:tcW w:w="100" w:type="dxa"/>
            <w:vAlign w:val="bottom"/>
          </w:tcPr>
          <w:p>
            <w:pPr>
              <w:spacing w:after="0"/>
              <w:rPr>
                <w:sz w:val="17"/>
                <w:szCs w:val="17"/>
                <w:color w:val="auto"/>
              </w:rPr>
            </w:pPr>
          </w:p>
        </w:tc>
        <w:tc>
          <w:tcPr>
            <w:tcW w:w="2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Customer advances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56,128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uncertain tax positions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 none issued or outstanding at January 30, 2021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April 30, 2020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340"/>
              <w:spacing w:after="0"/>
              <w:rPr>
                <w:sz w:val="20"/>
                <w:szCs w:val="20"/>
                <w:color w:val="auto"/>
              </w:rPr>
            </w:pPr>
            <w:r>
              <w:rPr>
                <w:rFonts w:ascii="Arial" w:cs="Arial" w:eastAsia="Arial" w:hAnsi="Arial"/>
                <w:sz w:val="16"/>
                <w:szCs w:val="16"/>
                <w:color w:val="auto"/>
                <w:w w:val="91"/>
              </w:rPr>
              <w:t>Issued and outstanding shares—24,102,691 shares at January 30, 2021 and 24,063,639 shares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340"/>
              <w:spacing w:after="0"/>
              <w:rPr>
                <w:sz w:val="20"/>
                <w:szCs w:val="20"/>
                <w:color w:val="auto"/>
              </w:rPr>
            </w:pPr>
            <w:r>
              <w:rPr>
                <w:rFonts w:ascii="Arial" w:cs="Arial" w:eastAsia="Arial" w:hAnsi="Arial"/>
                <w:sz w:val="16"/>
                <w:szCs w:val="16"/>
                <w:color w:val="auto"/>
              </w:rPr>
              <w:t>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184,366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340,475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Inc. stockholders’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525,190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525,178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590,992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30,</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25,</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January 25,</w:t>
            </w:r>
          </w:p>
        </w:tc>
        <w:tc>
          <w:tcPr>
            <w:tcW w:w="40" w:type="dxa"/>
            <w:vAlign w:val="bottom"/>
          </w:tcPr>
          <w:p>
            <w:pPr>
              <w:spacing w:after="0"/>
              <w:rPr>
                <w:sz w:val="10"/>
                <w:szCs w:val="10"/>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58,348</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36,432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182,233</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159,657</w:t>
            </w:r>
          </w:p>
        </w:tc>
        <w:tc>
          <w:tcPr>
            <w:tcW w:w="40" w:type="dxa"/>
            <w:vAlign w:val="bottom"/>
          </w:tcPr>
          <w:p>
            <w:pPr>
              <w:spacing w:after="0"/>
              <w:rPr>
                <w:sz w:val="17"/>
                <w:szCs w:val="17"/>
                <w:color w:val="auto"/>
              </w:rPr>
            </w:pPr>
          </w:p>
        </w:tc>
      </w:tr>
      <w:tr>
        <w:trPr>
          <w:trHeight w:val="19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Contract services (inclusive of related party revenue of $7,480 and</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$11,762 for the three months ended January 30, 2021 and January</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30, 2020, respectively; and $35,318 and $37,491 for the nine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months ended January 30, 2021 and January 25, 2020,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72,416</w:t>
            </w:r>
          </w:p>
        </w:tc>
        <w:tc>
          <w:tcPr>
            <w:tcW w:w="40" w:type="dxa"/>
            <w:vAlign w:val="bottom"/>
            <w:shd w:val="clear" w:color="auto" w:fill="CCEEFF"/>
          </w:tcPr>
          <w:p>
            <w:pPr>
              <w:spacing w:after="0"/>
              <w:rPr>
                <w:sz w:val="18"/>
                <w:szCs w:val="18"/>
                <w:color w:val="auto"/>
              </w:rPr>
            </w:pPr>
          </w:p>
        </w:tc>
      </w:tr>
      <w:tr>
        <w:trPr>
          <w:trHeight w:val="199"/>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78,782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61,891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258,897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232,073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35,746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102,039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82,244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49,895</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50,141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153,994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132,139</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80,194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77,413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22,521</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104,903</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99,934</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43,146</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36,710</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30,948</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25,840</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Other income: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632</w:t>
            </w:r>
          </w:p>
        </w:tc>
        <w:tc>
          <w:tcPr>
            <w:tcW w:w="40" w:type="dxa"/>
            <w:vAlign w:val="bottom"/>
          </w:tcPr>
          <w:p>
            <w:pPr>
              <w:spacing w:after="0"/>
              <w:rPr>
                <w:sz w:val="17"/>
                <w:szCs w:val="17"/>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26,038</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(Benefit from) provision for income taxes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(3,410)</w:t>
            </w:r>
          </w:p>
        </w:tc>
      </w:tr>
      <w:tr>
        <w:trPr>
          <w:trHeight w:val="196"/>
        </w:trPr>
        <w:tc>
          <w:tcPr>
            <w:tcW w:w="476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23,576</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17"/>
                <w:szCs w:val="17"/>
                <w:color w:val="auto"/>
              </w:rPr>
            </w:pPr>
          </w:p>
        </w:tc>
      </w:tr>
      <w:tr>
        <w:trPr>
          <w:trHeight w:val="236"/>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AeroVironment,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12,385</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23,603</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 per share attributable to AeroVironment, Inc.</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0.52</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0.99</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23,942,782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23,821,145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23,924,017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23,790,788</w:t>
            </w:r>
          </w:p>
        </w:tc>
        <w:tc>
          <w:tcPr>
            <w:tcW w:w="40" w:type="dxa"/>
            <w:vAlign w:val="bottom"/>
            <w:shd w:val="clear" w:color="auto" w:fill="CCEEFF"/>
          </w:tcPr>
          <w:p>
            <w:pPr>
              <w:spacing w:after="0"/>
              <w:rPr>
                <w:sz w:val="17"/>
                <w:szCs w:val="17"/>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24,260,874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23,821,145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24,216,371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24,076,195</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24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January 25,</w:t>
            </w:r>
          </w:p>
        </w:tc>
        <w:tc>
          <w:tcPr>
            <w:tcW w:w="160" w:type="dxa"/>
            <w:vAlign w:val="bottom"/>
          </w:tcPr>
          <w:p>
            <w:pPr>
              <w:spacing w:after="0"/>
              <w:rPr>
                <w:sz w:val="10"/>
                <w:szCs w:val="10"/>
                <w:color w:val="auto"/>
              </w:rPr>
            </w:pPr>
          </w:p>
        </w:tc>
        <w:tc>
          <w:tcPr>
            <w:tcW w:w="10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January 30,</w:t>
            </w:r>
          </w:p>
        </w:tc>
        <w:tc>
          <w:tcPr>
            <w:tcW w:w="7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Pr>
          <w:p>
            <w:pPr>
              <w:spacing w:after="0"/>
              <w:rPr>
                <w:sz w:val="10"/>
                <w:szCs w:val="10"/>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23,576</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02"/>
        </w:trPr>
        <w:tc>
          <w:tcPr>
            <w:tcW w:w="524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(loss) on available-for-sale investments, net of</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deferred tax benefit of $2 for the three and nine months ended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January 30, 2021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09"/>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AeroVironment,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nine months ended January 30, 2021 and January 25, 2020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8"/>
        </w:trPr>
        <w:tc>
          <w:tcPr>
            <w:tcW w:w="2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9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2"/>
                <w:szCs w:val="12"/>
                <w:color w:val="auto"/>
              </w:rPr>
            </w:pPr>
          </w:p>
        </w:tc>
        <w:tc>
          <w:tcPr>
            <w:tcW w:w="920" w:type="dxa"/>
            <w:vAlign w:val="bottom"/>
          </w:tcPr>
          <w:p>
            <w:pPr>
              <w:jc w:val="center"/>
              <w:ind w:right="17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700" w:type="dxa"/>
            <w:vAlign w:val="bottom"/>
          </w:tcPr>
          <w:p>
            <w:pPr>
              <w:spacing w:after="0"/>
              <w:rPr>
                <w:sz w:val="12"/>
                <w:szCs w:val="12"/>
                <w:color w:val="auto"/>
              </w:rPr>
            </w:pPr>
          </w:p>
        </w:tc>
      </w:tr>
      <w:tr>
        <w:trPr>
          <w:trHeight w:val="153"/>
        </w:trPr>
        <w:tc>
          <w:tcPr>
            <w:tcW w:w="264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1"/>
              </w:rPr>
              <w:t>Comprehensive AeroVironment, Inc.Controlling</w:t>
            </w:r>
          </w:p>
        </w:tc>
        <w:tc>
          <w:tcPr>
            <w:tcW w:w="700" w:type="dxa"/>
            <w:vAlign w:val="bottom"/>
          </w:tcPr>
          <w:p>
            <w:pPr>
              <w:spacing w:after="0"/>
              <w:rPr>
                <w:sz w:val="13"/>
                <w:szCs w:val="13"/>
                <w:color w:val="auto"/>
              </w:rPr>
            </w:pPr>
          </w:p>
        </w:tc>
      </w:tr>
      <w:tr>
        <w:trPr>
          <w:trHeight w:val="128"/>
        </w:trPr>
        <w:tc>
          <w:tcPr>
            <w:tcW w:w="264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110"/>
              <w:spacing w:after="0" w:line="129" w:lineRule="exact"/>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1"/>
                <w:szCs w:val="11"/>
                <w:color w:val="auto"/>
              </w:rPr>
            </w:pPr>
          </w:p>
        </w:tc>
        <w:tc>
          <w:tcPr>
            <w:tcW w:w="920" w:type="dxa"/>
            <w:vAlign w:val="bottom"/>
          </w:tcPr>
          <w:p>
            <w:pPr>
              <w:jc w:val="center"/>
              <w:ind w:right="170"/>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Interest</w:t>
            </w:r>
          </w:p>
        </w:tc>
        <w:tc>
          <w:tcPr>
            <w:tcW w:w="70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24,063,639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$ 181,481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$ 328,090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w:t>
            </w: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509,901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w w:val="93"/>
              </w:rPr>
              <w:t>$ 509,901</w:t>
            </w:r>
          </w:p>
        </w:tc>
      </w:tr>
      <w:tr>
        <w:trPr>
          <w:trHeight w:val="149"/>
        </w:trPr>
        <w:tc>
          <w:tcPr>
            <w:tcW w:w="264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12,385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12,385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7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12,373</w:t>
            </w:r>
          </w:p>
        </w:tc>
      </w:tr>
      <w:tr>
        <w:trPr>
          <w:trHeight w:val="148"/>
        </w:trPr>
        <w:tc>
          <w:tcPr>
            <w:tcW w:w="2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r>
      <w:tr>
        <w:trPr>
          <w:trHeight w:val="148"/>
        </w:trPr>
        <w:tc>
          <w:tcPr>
            <w:tcW w:w="264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75</w:t>
            </w:r>
          </w:p>
        </w:tc>
      </w:tr>
      <w:tr>
        <w:trPr>
          <w:trHeight w:val="148"/>
        </w:trPr>
        <w:tc>
          <w:tcPr>
            <w:tcW w:w="2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86</w:t>
            </w:r>
          </w:p>
        </w:tc>
      </w:tr>
      <w:tr>
        <w:trPr>
          <w:trHeight w:val="148"/>
        </w:trPr>
        <w:tc>
          <w:tcPr>
            <w:tcW w:w="26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62,675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r>
      <w:tr>
        <w:trPr>
          <w:trHeight w:val="130"/>
        </w:trPr>
        <w:tc>
          <w:tcPr>
            <w:tcW w:w="2640" w:type="dxa"/>
            <w:vAlign w:val="bottom"/>
          </w:tcPr>
          <w:p>
            <w:pPr>
              <w:ind w:left="220"/>
              <w:spacing w:after="0" w:line="130" w:lineRule="exact"/>
              <w:rPr>
                <w:sz w:val="20"/>
                <w:szCs w:val="20"/>
                <w:color w:val="auto"/>
              </w:rPr>
            </w:pPr>
            <w:r>
              <w:rPr>
                <w:rFonts w:ascii="Arial" w:cs="Arial" w:eastAsia="Arial" w:hAnsi="Arial"/>
                <w:sz w:val="14"/>
                <w:szCs w:val="14"/>
                <w:color w:val="auto"/>
                <w:w w:val="99"/>
              </w:rPr>
              <w:t>Tax withholding payment related to net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6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(25,290)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(1,955)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(1,955)</w:t>
            </w:r>
          </w:p>
        </w:tc>
      </w:tr>
      <w:tr>
        <w:trPr>
          <w:trHeight w:val="148"/>
        </w:trPr>
        <w:tc>
          <w:tcPr>
            <w:tcW w:w="2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4,754</w:t>
            </w: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color w:val="auto"/>
              </w:rPr>
              <w:t>Balance at January 30, 2021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24,102,691</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$ 184,366</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$ 340,475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w:t>
            </w: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525,190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w w:val="93"/>
              </w:rPr>
              <w:t>$ 525,178</w:t>
            </w:r>
          </w:p>
        </w:tc>
      </w:tr>
      <w:tr>
        <w:trPr>
          <w:trHeight w:val="20"/>
        </w:trPr>
        <w:tc>
          <w:tcPr>
            <w:tcW w:w="2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4"/>
        </w:trPr>
        <w:tc>
          <w:tcPr>
            <w:tcW w:w="2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700" w:type="dxa"/>
            <w:vAlign w:val="bottom"/>
          </w:tcPr>
          <w:p>
            <w:pPr>
              <w:spacing w:after="0"/>
              <w:rPr>
                <w:sz w:val="18"/>
                <w:szCs w:val="18"/>
                <w:color w:val="auto"/>
              </w:rPr>
            </w:pPr>
          </w:p>
        </w:tc>
      </w:tr>
      <w:tr>
        <w:trPr>
          <w:trHeight w:val="205"/>
        </w:trPr>
        <w:tc>
          <w:tcPr>
            <w:tcW w:w="2640" w:type="dxa"/>
            <w:vAlign w:val="bottom"/>
          </w:tcPr>
          <w:p>
            <w:pPr>
              <w:spacing w:after="0"/>
              <w:rPr>
                <w:sz w:val="17"/>
                <w:szCs w:val="17"/>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7"/>
                <w:szCs w:val="17"/>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1"/>
              </w:rPr>
              <w:t>Comprehensive AeroVironment, Inc.Controlling</w:t>
            </w:r>
          </w:p>
        </w:tc>
        <w:tc>
          <w:tcPr>
            <w:tcW w:w="70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740" w:type="dxa"/>
            <w:vAlign w:val="bottom"/>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110"/>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7"/>
                <w:szCs w:val="17"/>
                <w:color w:val="auto"/>
              </w:rPr>
            </w:pPr>
          </w:p>
        </w:tc>
        <w:tc>
          <w:tcPr>
            <w:tcW w:w="92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70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r>
      <w:tr>
        <w:trPr>
          <w:trHeight w:val="20"/>
        </w:trPr>
        <w:tc>
          <w:tcPr>
            <w:tcW w:w="26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2019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23,946,293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$ 176,216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$ 286,351</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3"/>
              </w:rPr>
              <w:t>$ 462,575</w:t>
            </w:r>
          </w:p>
        </w:tc>
      </w:tr>
      <w:tr>
        <w:trPr>
          <w:trHeight w:val="216"/>
        </w:trPr>
        <w:tc>
          <w:tcPr>
            <w:tcW w:w="2640" w:type="dxa"/>
            <w:vAlign w:val="bottom"/>
          </w:tcPr>
          <w:p>
            <w:pPr>
              <w:ind w:left="220"/>
              <w:spacing w:after="0"/>
              <w:rPr>
                <w:sz w:val="20"/>
                <w:szCs w:val="20"/>
                <w:color w:val="auto"/>
              </w:rPr>
            </w:pPr>
            <w:r>
              <w:rPr>
                <w:rFonts w:ascii="Arial" w:cs="Arial" w:eastAsia="Arial" w:hAnsi="Arial"/>
                <w:sz w:val="14"/>
                <w:szCs w:val="14"/>
                <w:color w:val="auto"/>
              </w:rPr>
              <w:t>Adoption of ASU 2018-09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665</w:t>
            </w: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23,576</w:t>
            </w:r>
          </w:p>
        </w:tc>
      </w:tr>
      <w:tr>
        <w:trPr>
          <w:trHeight w:val="216"/>
        </w:trPr>
        <w:tc>
          <w:tcPr>
            <w:tcW w:w="264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67</w:t>
            </w: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r>
      <w:tr>
        <w:trPr>
          <w:trHeight w:val="216"/>
        </w:trPr>
        <w:tc>
          <w:tcPr>
            <w:tcW w:w="264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74,892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30"/>
        </w:trPr>
        <w:tc>
          <w:tcPr>
            <w:tcW w:w="2640" w:type="dxa"/>
            <w:vAlign w:val="bottom"/>
          </w:tcPr>
          <w:p>
            <w:pPr>
              <w:ind w:left="220"/>
              <w:spacing w:after="0" w:line="130" w:lineRule="exact"/>
              <w:rPr>
                <w:sz w:val="20"/>
                <w:szCs w:val="20"/>
                <w:color w:val="auto"/>
              </w:rPr>
            </w:pPr>
            <w:r>
              <w:rPr>
                <w:rFonts w:ascii="Arial" w:cs="Arial" w:eastAsia="Arial" w:hAnsi="Arial"/>
                <w:sz w:val="14"/>
                <w:szCs w:val="14"/>
                <w:color w:val="auto"/>
                <w:w w:val="99"/>
              </w:rPr>
              <w:t>Tax withholding payment related to net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6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(17,307)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(1,009)</w:t>
            </w: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4,751</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4,751</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4,751</w:t>
            </w:r>
          </w:p>
        </w:tc>
      </w:tr>
      <w:tr>
        <w:trPr>
          <w:trHeight w:val="183"/>
        </w:trPr>
        <w:tc>
          <w:tcPr>
            <w:tcW w:w="2640" w:type="dxa"/>
            <w:vAlign w:val="bottom"/>
          </w:tcPr>
          <w:p>
            <w:pPr>
              <w:spacing w:after="0"/>
              <w:rPr>
                <w:sz w:val="20"/>
                <w:szCs w:val="20"/>
                <w:color w:val="auto"/>
              </w:rPr>
            </w:pPr>
            <w:r>
              <w:rPr>
                <w:rFonts w:ascii="Arial" w:cs="Arial" w:eastAsia="Arial" w:hAnsi="Arial"/>
                <w:sz w:val="14"/>
                <w:szCs w:val="14"/>
                <w:color w:val="auto"/>
              </w:rPr>
              <w:t>Balance at January 25, 2020</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23,995,109</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$ 180,051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$ 310,619</w:t>
            </w:r>
          </w:p>
        </w:tc>
        <w:tc>
          <w:tcPr>
            <w:tcW w:w="300" w:type="dxa"/>
            <w:vAlign w:val="bottom"/>
            <w:gridSpan w:val="2"/>
          </w:tcPr>
          <w:p>
            <w:pPr>
              <w:jc w:val="right"/>
              <w:ind w:right="4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490,741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w w:val="93"/>
              </w:rPr>
              <w:t>$ 490,718</w:t>
            </w:r>
          </w:p>
        </w:tc>
      </w:tr>
      <w:tr>
        <w:trPr>
          <w:trHeight w:val="20"/>
        </w:trPr>
        <w:tc>
          <w:tcPr>
            <w:tcW w:w="2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For the three months ended January 30, 2021 and January 25, 2020 (Unaudited)</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74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30"/>
              <w:spacing w:after="0"/>
              <w:rPr>
                <w:sz w:val="20"/>
                <w:szCs w:val="20"/>
                <w:color w:val="auto"/>
              </w:rPr>
            </w:pPr>
            <w:r>
              <w:rPr>
                <w:rFonts w:ascii="Arial" w:cs="Arial" w:eastAsia="Arial" w:hAnsi="Arial"/>
                <w:sz w:val="13"/>
                <w:szCs w:val="13"/>
                <w:b w:val="1"/>
                <w:bCs w:val="1"/>
                <w:color w:val="auto"/>
                <w:w w:val="94"/>
              </w:rPr>
              <w:t>Retained</w:t>
            </w:r>
          </w:p>
        </w:tc>
        <w:tc>
          <w:tcPr>
            <w:tcW w:w="2860" w:type="dxa"/>
            <w:vAlign w:val="bottom"/>
            <w:gridSpan w:val="8"/>
          </w:tcPr>
          <w:p>
            <w:pPr>
              <w:ind w:left="120"/>
              <w:spacing w:after="0"/>
              <w:rPr>
                <w:sz w:val="20"/>
                <w:szCs w:val="20"/>
                <w:color w:val="auto"/>
              </w:rPr>
            </w:pPr>
            <w:r>
              <w:rPr>
                <w:rFonts w:ascii="Arial" w:cs="Arial" w:eastAsia="Arial" w:hAnsi="Arial"/>
                <w:sz w:val="13"/>
                <w:szCs w:val="13"/>
                <w:b w:val="1"/>
                <w:bCs w:val="1"/>
                <w:color w:val="auto"/>
                <w:w w:val="91"/>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74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29"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2020</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24,103,980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$ 183,298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$ 340,264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w:t>
            </w:r>
          </w:p>
        </w:tc>
        <w:tc>
          <w:tcPr>
            <w:tcW w:w="260" w:type="dxa"/>
            <w:vAlign w:val="bottom"/>
            <w:tcBorders>
              <w:top w:val="single" w:sz="8" w:color="auto"/>
            </w:tcBorders>
            <w:shd w:val="clear" w:color="auto" w:fill="CCEEFF"/>
          </w:tcPr>
          <w:p>
            <w:pPr>
              <w:jc w:val="right"/>
              <w:ind w:right="6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523,906</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523,847</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r>
      <w:tr>
        <w:trPr>
          <w:trHeight w:val="148"/>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8"/>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7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(2,054)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4"/>
                <w:szCs w:val="14"/>
                <w:color w:val="auto"/>
              </w:rPr>
              <w:t>Balance at January 30, 2021</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24,102,691</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$ 184,366</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$ 340,475</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w:t>
            </w: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525,190</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525,178</w:t>
            </w: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4"/>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8"/>
        </w:trPr>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74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30"/>
              <w:spacing w:after="0"/>
              <w:rPr>
                <w:sz w:val="20"/>
                <w:szCs w:val="20"/>
                <w:color w:val="auto"/>
              </w:rPr>
            </w:pPr>
            <w:r>
              <w:rPr>
                <w:rFonts w:ascii="Arial" w:cs="Arial" w:eastAsia="Arial" w:hAnsi="Arial"/>
                <w:sz w:val="13"/>
                <w:szCs w:val="13"/>
                <w:b w:val="1"/>
                <w:bCs w:val="1"/>
                <w:color w:val="auto"/>
                <w:w w:val="94"/>
              </w:rPr>
              <w:t>Retained</w:t>
            </w:r>
          </w:p>
        </w:tc>
        <w:tc>
          <w:tcPr>
            <w:tcW w:w="2860" w:type="dxa"/>
            <w:vAlign w:val="bottom"/>
            <w:gridSpan w:val="8"/>
          </w:tcPr>
          <w:p>
            <w:pPr>
              <w:ind w:left="120"/>
              <w:spacing w:after="0"/>
              <w:rPr>
                <w:sz w:val="20"/>
                <w:szCs w:val="20"/>
                <w:color w:val="auto"/>
              </w:rPr>
            </w:pPr>
            <w:r>
              <w:rPr>
                <w:rFonts w:ascii="Arial" w:cs="Arial" w:eastAsia="Arial" w:hAnsi="Arial"/>
                <w:sz w:val="13"/>
                <w:szCs w:val="13"/>
                <w:b w:val="1"/>
                <w:bCs w:val="1"/>
                <w:color w:val="auto"/>
                <w:w w:val="91"/>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74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29"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26, 2019</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23,990,616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178,550</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311,627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490,360</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490,357</w:t>
            </w:r>
          </w:p>
        </w:tc>
      </w:tr>
      <w:tr>
        <w:trPr>
          <w:trHeight w:val="148"/>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r>
      <w:tr>
        <w:trPr>
          <w:trHeight w:val="148"/>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7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(3,943)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148"/>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4"/>
                <w:szCs w:val="14"/>
                <w:color w:val="auto"/>
              </w:rPr>
              <w:t>Balance at January 25, 2020</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23,995,109</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$ 180,051</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$ 310,619</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490,741</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490,718</w:t>
            </w: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7" w:right="1319"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January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12,373</w:t>
            </w:r>
          </w:p>
        </w:tc>
        <w:tc>
          <w:tcPr>
            <w:tcW w:w="1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23,576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8,650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7,107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Losses from equity method investments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Other non-cash income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(473)</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Loss on foreign currency transactions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(897)</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8"/>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4,754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4,751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(gain) on sale of property and equipment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47,184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3,245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(24,364)</w:t>
            </w:r>
          </w:p>
        </w:tc>
        <w:tc>
          <w:tcPr>
            <w:tcW w:w="0" w:type="dxa"/>
            <w:vAlign w:val="bottom"/>
          </w:tcPr>
          <w:p>
            <w:pPr>
              <w:spacing w:after="0"/>
              <w:rPr>
                <w:sz w:val="1"/>
                <w:szCs w:val="1"/>
                <w:color w:val="auto"/>
              </w:rPr>
            </w:pPr>
          </w:p>
        </w:tc>
      </w:tr>
      <w:tr>
        <w:trPr>
          <w:trHeight w:val="148"/>
        </w:trPr>
        <w:tc>
          <w:tcPr>
            <w:tcW w:w="530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(7,569)</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(10,766)</w:t>
            </w: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 receivable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(1,622)</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(3,346)</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48"/>
        </w:trPr>
        <w:tc>
          <w:tcPr>
            <w:tcW w:w="530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(9,318)</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7,947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78,962</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15,066</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(8,472)</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(8,504)</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(2,150)</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 net of cash acquired</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(18,641)</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166,917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(162,517)</w:t>
            </w: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130,066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41,150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(125,644)</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(59,297)</w:t>
            </w:r>
          </w:p>
        </w:tc>
        <w:tc>
          <w:tcPr>
            <w:tcW w:w="0" w:type="dxa"/>
            <w:vAlign w:val="bottom"/>
          </w:tcPr>
          <w:p>
            <w:pPr>
              <w:spacing w:after="0"/>
              <w:rPr>
                <w:sz w:val="1"/>
                <w:szCs w:val="1"/>
                <w:color w:val="auto"/>
              </w:rPr>
            </w:pPr>
          </w:p>
        </w:tc>
      </w:tr>
      <w:tr>
        <w:trPr>
          <w:trHeight w:val="142"/>
        </w:trPr>
        <w:tc>
          <w:tcPr>
            <w:tcW w:w="5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(6,200)</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(50,362)</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(1,955)</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(1,492)</w:t>
            </w:r>
          </w:p>
        </w:tc>
        <w:tc>
          <w:tcPr>
            <w:tcW w:w="20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69,401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(36,212)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255,142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172,708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324,543</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136,496</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0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7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1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4"/>
                <w:szCs w:val="14"/>
                <w:color w:val="auto"/>
              </w:rPr>
              <w:t>Unrealized loss on available-for-sale investments, net of deferred tax benefit of $2</w:t>
            </w:r>
          </w:p>
        </w:tc>
        <w:tc>
          <w:tcPr>
            <w:tcW w:w="7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7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746</w:t>
            </w:r>
          </w:p>
        </w:tc>
        <w:tc>
          <w:tcPr>
            <w:tcW w:w="1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319"/>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30, 2021 are not necessarily indicative of the results for the full year ending April 30, 2021. For further information, refer to the consolidated financial statements and footnotes thereto for the year ended April 30, 2020,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loss, net of tax in the consolidated statements of operations. During the nine months ended January 25, 2021, the Company recorded its proportion of a loss for HAPSMobile’s impairment of its investment in Loon LLC in the amount of $8,363,000. The Company’s investment has been written down to zero. Refer to Note 6—Equity Method Investments for further details.</w:t>
      </w:r>
    </w:p>
    <w:p>
      <w:pPr>
        <w:spacing w:after="0" w:line="177"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On February 12, 2021, the Company dissolved its wholly-owned subsidiary, Pulse Aerospace, LLC, the results of which were not material to the consolidated financial statements as the Company has integrated the assets and operations. Refer to Note 17—Business Acquisitions for further details.</w:t>
      </w:r>
    </w:p>
    <w:p>
      <w:pPr>
        <w:spacing w:after="0" w:line="19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During the nine months ended January 25, 2020, the Company dissolved its wholly-owned subsidiary, Skytower, Inc., the results of which were not material to the consolidated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319"/>
        <w:spacing w:after="0" w:line="311" w:lineRule="auto"/>
        <w:rPr>
          <w:sz w:val="20"/>
          <w:szCs w:val="20"/>
          <w:color w:val="auto"/>
        </w:rPr>
      </w:pPr>
      <w:r>
        <w:rPr>
          <w:rFonts w:ascii="Arial" w:cs="Arial" w:eastAsia="Arial" w:hAnsi="Arial"/>
          <w:sz w:val="16"/>
          <w:szCs w:val="16"/>
          <w:color w:val="auto"/>
        </w:rPr>
        <w:t xml:space="preserve">Effective May 1, 2020, the Company adopted Accounting Standards Update (“ASU”)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along with several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 ASU’s issued during 2018 and 2019, collectively “CECL”. CECL requires the reporting entity to estimate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93" w:lineRule="auto"/>
        <w:rPr>
          <w:sz w:val="20"/>
          <w:szCs w:val="20"/>
          <w:color w:val="auto"/>
        </w:rPr>
      </w:pPr>
      <w:r>
        <w:rPr>
          <w:rFonts w:ascii="Arial" w:cs="Arial" w:eastAsia="Arial" w:hAnsi="Arial"/>
          <w:sz w:val="16"/>
          <w:szCs w:val="16"/>
          <w:color w:val="auto"/>
        </w:rPr>
        <w:t>expected credit losses over the life of a financial asset. CECL requires the credit loss to be recognized upon initial recognition of the financial asset. ASU 2016-13 requires the entity to adopt CECL using the modified retrospective transition approach through a cumulative-effect adjustment to the opening balance of retained earnings in the period of adoption. As part of the assessment of the adequacy of the Company’s allowances for credit losses, the Company considered a number of factors including, but not limited to, customer credit ratings, age of receivables, and expected loss rates. However, the adoption of CECL did not have a material impact to retained earnings for the Company.</w:t>
      </w:r>
    </w:p>
    <w:p>
      <w:pPr>
        <w:spacing w:after="0" w:line="164"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Effective May 1, 2020, the Company adopted ASU 2018-15, “</w:t>
      </w:r>
      <w:r>
        <w:rPr>
          <w:rFonts w:ascii="Arial" w:cs="Arial" w:eastAsia="Arial" w:hAnsi="Arial"/>
          <w:sz w:val="17"/>
          <w:szCs w:val="17"/>
          <w:i w:val="1"/>
          <w:iCs w:val="1"/>
          <w:color w:val="auto"/>
        </w:rPr>
        <w:t>Intangibles—Goodwill and Other—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w:t>
      </w:r>
      <w:r>
        <w:rPr>
          <w:rFonts w:ascii="Arial" w:cs="Arial" w:eastAsia="Arial" w:hAnsi="Arial"/>
          <w:sz w:val="17"/>
          <w:szCs w:val="17"/>
          <w:color w:val="auto"/>
        </w:rPr>
        <w:t>” (“ASU 2018-15”). ASU 2018-15 provides guidance on the treatment of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This guidance includes the requirements for capitalizing implementation costs incurred in a hosting arrangement. The Company adopted ASU 2018-15 using the prospective method, applying the new guidance to all implementation costs incurred after adoption. The adoption of ASU 2018-15 did not have an impact on the Company’s consolidated financial statements.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99"/>
        <w:spacing w:after="0" w:line="268" w:lineRule="auto"/>
        <w:rPr>
          <w:sz w:val="20"/>
          <w:szCs w:val="20"/>
          <w:color w:val="auto"/>
        </w:rPr>
      </w:pPr>
      <w:r>
        <w:rPr>
          <w:rFonts w:ascii="Arial" w:cs="Arial" w:eastAsia="Arial" w:hAnsi="Arial"/>
          <w:sz w:val="17"/>
          <w:szCs w:val="17"/>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86" w:lineRule="exact"/>
        <w:rPr>
          <w:sz w:val="20"/>
          <w:szCs w:val="20"/>
          <w:color w:val="auto"/>
        </w:rPr>
      </w:pPr>
    </w:p>
    <w:p>
      <w:pPr>
        <w:ind w:left="40" w:right="199"/>
        <w:spacing w:after="0" w:line="311" w:lineRule="auto"/>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other direct costs, and indirect costs applicable on government and commercial contracts.</w:t>
      </w:r>
    </w:p>
    <w:p>
      <w:pPr>
        <w:spacing w:after="0" w:line="225"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Performance obligations satisfied over time accounted for 39% of revenue during the three and nine months ended January 30, 2021. Performance obligations satisfied at a point in time accounted for 61% of revenue during the three and nine months ended January 30, 2021.</w:t>
      </w:r>
    </w:p>
    <w:p>
      <w:pPr>
        <w:spacing w:after="0" w:line="184"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On January 30, 2021, the Company had approximately $103,869,000 of remaining performance obligations under fully funded contracts with its customers, which the Company also refers to as funded backlog. The Company currently expects to recognize approximately 73% of the remaining performance obligations as revenue in fiscal 2021, an additional 26% in fiscal 2022, and the balance thereafter.</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19"/>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2"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nine month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periods ended January 30, 2021. No adjustment on any one contract was material to the Company’s unaudited consolidated financial statements for the three or nine month periods ended January 30, 2021.</w:t>
      </w:r>
    </w:p>
    <w:p>
      <w:pPr>
        <w:spacing w:after="0" w:line="170" w:lineRule="exact"/>
        <w:rPr>
          <w:sz w:val="20"/>
          <w:szCs w:val="20"/>
          <w:color w:val="auto"/>
        </w:rPr>
      </w:pPr>
    </w:p>
    <w:p>
      <w:pPr>
        <w:ind w:left="40" w:right="100"/>
        <w:spacing w:after="0" w:line="291" w:lineRule="auto"/>
        <w:rPr>
          <w:sz w:val="20"/>
          <w:szCs w:val="20"/>
          <w:color w:val="auto"/>
        </w:rPr>
      </w:pPr>
      <w:r>
        <w:rPr>
          <w:rFonts w:ascii="Arial" w:cs="Arial" w:eastAsia="Arial" w:hAnsi="Arial"/>
          <w:sz w:val="16"/>
          <w:szCs w:val="16"/>
          <w:color w:val="auto"/>
        </w:rPr>
        <w:t>The aggregate net favorable impact of adjustments in contract estimates on revenue related to performance obligations satisfied or partially satisfied in previous periods was approximately $1,152,000 and $1,169,000 for the three and nine month periods ended January 25, 2020, respectively. No adjustment on any one contract was material to the Company’s unaudited consolidated financial statements for the three month period ended January 25, 2020. During the nine month period ended January 25, 2020, the Company revised its estimates of the total expected costs to complete a contract associated with a design and development agreement. The impact of the revised estimate on this contract on revenue related to performance obligations satisfied or partially satisfied in previous periods was an increase of approximately $1,036,000.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18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30,</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00" w:type="dxa"/>
            <w:vAlign w:val="bottom"/>
            <w:vMerge w:val="continue"/>
          </w:tcPr>
          <w:p>
            <w:pPr>
              <w:spacing w:after="0"/>
              <w:rPr>
                <w:sz w:val="15"/>
                <w:szCs w:val="15"/>
                <w:color w:val="auto"/>
              </w:rPr>
            </w:pPr>
          </w:p>
        </w:tc>
        <w:tc>
          <w:tcPr>
            <w:tcW w:w="1900" w:type="dxa"/>
            <w:vAlign w:val="bottom"/>
            <w:gridSpan w:val="2"/>
          </w:tcPr>
          <w:p>
            <w:pPr>
              <w:jc w:val="center"/>
              <w:ind w:left="107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$ 50,536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$ 36,965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$ 165,003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$ 162,868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TMS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19,598</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48,093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10,483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$ 78,782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$ 232,073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18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30,</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00" w:type="dxa"/>
            <w:vAlign w:val="bottom"/>
            <w:vMerge w:val="continue"/>
          </w:tcPr>
          <w:p>
            <w:pPr>
              <w:spacing w:after="0"/>
              <w:rPr>
                <w:sz w:val="15"/>
                <w:szCs w:val="15"/>
                <w:color w:val="auto"/>
              </w:rPr>
            </w:pPr>
          </w:p>
        </w:tc>
        <w:tc>
          <w:tcPr>
            <w:tcW w:w="1900" w:type="dxa"/>
            <w:vAlign w:val="bottom"/>
            <w:gridSpan w:val="2"/>
          </w:tcPr>
          <w:p>
            <w:pPr>
              <w:jc w:val="center"/>
              <w:ind w:left="107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$ 61,230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$ 40,145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$ 190,530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$ 168,607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CPFF</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17,530</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20,863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68,329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$ 78,782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$ 61,891</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$ 258,897</w:t>
            </w:r>
          </w:p>
        </w:tc>
        <w:tc>
          <w:tcPr>
            <w:tcW w:w="16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$ 232,073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30,</w:t>
            </w: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January 25,</w:t>
            </w:r>
          </w:p>
        </w:tc>
        <w:tc>
          <w:tcPr>
            <w:tcW w:w="0" w:type="dxa"/>
            <w:vAlign w:val="bottom"/>
          </w:tcPr>
          <w:p>
            <w:pPr>
              <w:spacing w:after="0"/>
              <w:rPr>
                <w:sz w:val="1"/>
                <w:szCs w:val="1"/>
                <w:color w:val="auto"/>
              </w:rPr>
            </w:pPr>
          </w:p>
        </w:tc>
      </w:tr>
      <w:tr>
        <w:trPr>
          <w:trHeight w:val="178"/>
        </w:trPr>
        <w:tc>
          <w:tcPr>
            <w:tcW w:w="3980" w:type="dxa"/>
            <w:vAlign w:val="bottom"/>
            <w:vMerge w:val="continue"/>
          </w:tcPr>
          <w:p>
            <w:pPr>
              <w:spacing w:after="0"/>
              <w:rPr>
                <w:sz w:val="15"/>
                <w:szCs w:val="15"/>
                <w:color w:val="auto"/>
              </w:rPr>
            </w:pPr>
          </w:p>
        </w:tc>
        <w:tc>
          <w:tcPr>
            <w:tcW w:w="226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5"/>
                <w:szCs w:val="15"/>
                <w:color w:val="auto"/>
              </w:rPr>
            </w:pP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$ 60,633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$ 25,535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$ 170,023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$ 124,971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Non-U.S. government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18,149</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36,356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88,874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107,102</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$ 78,782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$ 232,073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30,</w:t>
            </w: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January 25,</w:t>
            </w:r>
          </w:p>
        </w:tc>
        <w:tc>
          <w:tcPr>
            <w:tcW w:w="0" w:type="dxa"/>
            <w:vAlign w:val="bottom"/>
          </w:tcPr>
          <w:p>
            <w:pPr>
              <w:spacing w:after="0"/>
              <w:rPr>
                <w:sz w:val="1"/>
                <w:szCs w:val="1"/>
                <w:color w:val="auto"/>
              </w:rPr>
            </w:pPr>
          </w:p>
        </w:tc>
      </w:tr>
      <w:tr>
        <w:trPr>
          <w:trHeight w:val="178"/>
        </w:trPr>
        <w:tc>
          <w:tcPr>
            <w:tcW w:w="3980" w:type="dxa"/>
            <w:vAlign w:val="bottom"/>
            <w:vMerge w:val="continue"/>
          </w:tcPr>
          <w:p>
            <w:pPr>
              <w:spacing w:after="0"/>
              <w:rPr>
                <w:sz w:val="15"/>
                <w:szCs w:val="15"/>
                <w:color w:val="auto"/>
              </w:rPr>
            </w:pPr>
          </w:p>
        </w:tc>
        <w:tc>
          <w:tcPr>
            <w:tcW w:w="226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5"/>
                <w:szCs w:val="15"/>
                <w:color w:val="auto"/>
              </w:rPr>
            </w:pP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$ 51,062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$ 27,626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$ 150,890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$ 116,399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27,720</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34,265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115,674</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$ 78,782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$ 232,073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39"/>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nine month period ended January 30, 2021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Revenue recognized for the three and nine month periods ended January 30, 2021 that was included in contract liability balances at the beginning of April 30, 2020 was $0 and $5,423,000, respectively; and revenue recognized for the three and nine month periods ended January 25, 2020 that was included in contract liability balances at the beginning of April 30, 2019 was $12,000 and $1,670,000, respectively.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Investments are considered to be impaired if the fair value of the investment is less than its amortized cost basis. On a quarterly basis, the Company considers available quantitative and qualitative evidence in evaluating potential impairment of its investments. If the cost of an investment exceeds its fair value, the Company evaluates if the decline in fair value resulted from a credit loss or other factors. The Company considers factors such as general market conditions and potential adverse conditions related to the financial health of the issuer based on rating agency actions. Impairments relating to credit losses are recorded in earnings through an allowance for credit losses. The allowance is limited by the amount that the fair value is less than the amortized cost basis. Impairments not related to credit losses are recorded through other comprehensive income, net of applicable taxes.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399"/>
        <w:spacing w:after="0" w:line="273" w:lineRule="auto"/>
        <w:rPr>
          <w:sz w:val="20"/>
          <w:szCs w:val="20"/>
          <w:color w:val="auto"/>
        </w:rPr>
      </w:pPr>
      <w:r>
        <w:rPr>
          <w:rFonts w:ascii="Arial" w:cs="Arial" w:eastAsia="Arial" w:hAnsi="Arial"/>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78"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The Company’s revenue recognition policy calls for revenue recognized on all cost reimbursable government contracts to be recorded at actual rates unless collectability is not reasonably assured. During the fiscal year ended April 30, 2020, the Company settled rates for its incurred cost claims with the DCAA for fiscal year 2015 for an amount that was not significant. At January 30, 2021 and April 30, 2020, the Company had no reserve for incurred cost claim audits.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r>
      <w:tr>
        <w:trPr>
          <w:trHeight w:val="196"/>
        </w:trPr>
        <w:tc>
          <w:tcPr>
            <w:tcW w:w="40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25, 2020</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January 30, 2021</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January 25, 2020</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basic earnings (loss) per share:</w:t>
            </w: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23,942,782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23,821,145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23,924,017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23,790,788</w:t>
            </w:r>
          </w:p>
        </w:tc>
        <w:tc>
          <w:tcPr>
            <w:tcW w:w="40" w:type="dxa"/>
            <w:vAlign w:val="bottom"/>
          </w:tcPr>
          <w:p>
            <w:pPr>
              <w:spacing w:after="0"/>
              <w:rPr>
                <w:sz w:val="18"/>
                <w:szCs w:val="18"/>
                <w:color w:val="auto"/>
              </w:rPr>
            </w:pPr>
          </w:p>
        </w:tc>
      </w:tr>
      <w:tr>
        <w:trPr>
          <w:trHeight w:val="202"/>
        </w:trPr>
        <w:tc>
          <w:tcPr>
            <w:tcW w:w="4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Dilutive effect of employee stock options,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and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318,092</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292,354</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285,407</w:t>
            </w:r>
          </w:p>
        </w:tc>
        <w:tc>
          <w:tcPr>
            <w:tcW w:w="40" w:type="dxa"/>
            <w:vAlign w:val="bottom"/>
            <w:shd w:val="clear" w:color="auto" w:fill="CCEEFF"/>
          </w:tcPr>
          <w:p>
            <w:pPr>
              <w:spacing w:after="0"/>
              <w:rPr>
                <w:sz w:val="20"/>
                <w:szCs w:val="20"/>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Denominator for diluted earnings (loss) per share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24,260,874</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23,821,145</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24,216,371</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24,076,195</w:t>
            </w:r>
          </w:p>
        </w:tc>
        <w:tc>
          <w:tcPr>
            <w:tcW w:w="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Potentially dilutive shares not included in the computation of diluted weighted-average common shares because their effect would have been anti-dilutive were 0 and 24 for the three and nine months ended January 30, 2021. Due to the net loss for the three months ended January 25, 2020,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287,408 and 3,076 for the three and nine months ended January 25, 2020, respectively.</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279"/>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 Topic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i w:val="1"/>
          <w:iCs w:val="1"/>
          <w:color w:val="auto"/>
        </w:rPr>
        <w:t xml:space="preserve">815 </w:t>
      </w:r>
      <w:r>
        <w:rPr>
          <w:rFonts w:ascii="Arial" w:cs="Arial" w:eastAsia="Arial" w:hAnsi="Arial"/>
          <w:sz w:val="18"/>
          <w:szCs w:val="18"/>
          <w:color w:val="auto"/>
        </w:rPr>
        <w:t>(Topic 321, Topic 323, and Topic 815)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clarifies accounting certain topics impacted by Topic 321</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income.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a loss of discontinued operations in the consolidated statements of income for the year ended April 30, 2020.</w:t>
      </w:r>
    </w:p>
    <w:p>
      <w:pPr>
        <w:spacing w:after="0" w:line="172" w:lineRule="exact"/>
        <w:rPr>
          <w:sz w:val="20"/>
          <w:szCs w:val="20"/>
          <w:color w:val="auto"/>
        </w:rPr>
      </w:pPr>
    </w:p>
    <w:p>
      <w:pPr>
        <w:ind w:left="40" w:right="179"/>
        <w:spacing w:after="0" w:line="279"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January 30, 2021. The Company’s satisfaction of the requirements for the payment of the Holdback is currently in dispute.</w:t>
      </w:r>
    </w:p>
    <w:p>
      <w:pPr>
        <w:spacing w:after="0" w:line="171"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77"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68" w:lineRule="exact"/>
        <w:rPr>
          <w:sz w:val="20"/>
          <w:szCs w:val="20"/>
          <w:color w:val="auto"/>
        </w:rPr>
      </w:pPr>
    </w:p>
    <w:p>
      <w:pPr>
        <w:jc w:val="both"/>
        <w:ind w:left="40" w:right="239"/>
        <w:spacing w:after="0" w:line="301" w:lineRule="auto"/>
        <w:rPr>
          <w:sz w:val="20"/>
          <w:szCs w:val="20"/>
          <w:color w:val="auto"/>
        </w:rPr>
      </w:pPr>
      <w:r>
        <w:rPr>
          <w:rFonts w:ascii="Arial" w:cs="Arial" w:eastAsia="Arial" w:hAnsi="Arial"/>
          <w:sz w:val="16"/>
          <w:szCs w:val="16"/>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$0 and $38,000 and has been recorded in other income, net in the consolidated statements of operations for the three and nine months ended January 30, 2021, respectively, and $57,000 and $545,000 and has been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recorded in other income, net in the consolidated statements of operations for the three and nine months ended January 25, 2020, respectively.</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9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33,771</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20" w:type="dxa"/>
            <w:vAlign w:val="bottom"/>
            <w:shd w:val="clear" w:color="auto" w:fill="CCEEFF"/>
          </w:tcPr>
          <w:p>
            <w:pPr>
              <w:spacing w:after="0"/>
              <w:rPr>
                <w:sz w:val="18"/>
                <w:szCs w:val="18"/>
                <w:color w:val="auto"/>
              </w:rPr>
            </w:pPr>
          </w:p>
        </w:tc>
      </w:tr>
      <w:tr>
        <w:trPr>
          <w:trHeight w:val="249"/>
        </w:trPr>
        <w:tc>
          <w:tcPr>
            <w:tcW w:w="4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8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c>
          <w:tcPr>
            <w:tcW w:w="120" w:type="dxa"/>
            <w:vAlign w:val="bottom"/>
            <w:tcBorders>
              <w:bottom w:val="single" w:sz="8" w:color="CCEEFF"/>
            </w:tcBorders>
          </w:tcPr>
          <w:p>
            <w:pPr>
              <w:spacing w:after="0"/>
              <w:rPr>
                <w:sz w:val="21"/>
                <w:szCs w:val="21"/>
                <w:color w:val="auto"/>
              </w:rPr>
            </w:pPr>
          </w:p>
        </w:tc>
      </w:tr>
      <w:tr>
        <w:trPr>
          <w:trHeight w:val="197"/>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20" w:type="dxa"/>
            <w:vAlign w:val="bottom"/>
            <w:shd w:val="clear" w:color="auto" w:fill="CCEEFF"/>
          </w:tcPr>
          <w:p>
            <w:pPr>
              <w:spacing w:after="0"/>
              <w:rPr>
                <w:sz w:val="18"/>
                <w:szCs w:val="18"/>
                <w:color w:val="auto"/>
              </w:rPr>
            </w:pPr>
          </w:p>
        </w:tc>
      </w:tr>
      <w:tr>
        <w:trPr>
          <w:trHeight w:val="210"/>
        </w:trPr>
        <w:tc>
          <w:tcPr>
            <w:tcW w:w="4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CCEEFF"/>
            </w:tcBorders>
          </w:tcPr>
          <w:p>
            <w:pPr>
              <w:spacing w:after="0"/>
              <w:rPr>
                <w:sz w:val="18"/>
                <w:szCs w:val="18"/>
                <w:color w:val="auto"/>
              </w:rPr>
            </w:pPr>
          </w:p>
        </w:tc>
      </w:tr>
      <w:tr>
        <w:trPr>
          <w:trHeight w:val="209"/>
        </w:trPr>
        <w:tc>
          <w:tcPr>
            <w:tcW w:w="4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color w:val="auto"/>
        </w:rPr>
        <w:t>As of January 30, 2021 and April 30, 2020,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is recorded in interest income.</w:t>
      </w:r>
    </w:p>
    <w:p>
      <w:pPr>
        <w:spacing w:after="0" w:line="171" w:lineRule="exact"/>
        <w:rPr>
          <w:sz w:val="20"/>
          <w:szCs w:val="20"/>
          <w:color w:val="auto"/>
        </w:rPr>
      </w:pPr>
    </w:p>
    <w:p>
      <w:pPr>
        <w:ind w:left="40" w:right="359"/>
        <w:spacing w:after="0" w:line="308" w:lineRule="auto"/>
        <w:rPr>
          <w:sz w:val="20"/>
          <w:szCs w:val="20"/>
          <w:color w:val="auto"/>
        </w:rPr>
      </w:pPr>
      <w:r>
        <w:rPr>
          <w:rFonts w:ascii="Arial" w:cs="Arial" w:eastAsia="Arial" w:hAnsi="Arial"/>
          <w:sz w:val="17"/>
          <w:szCs w:val="17"/>
          <w:color w:val="auto"/>
        </w:rPr>
        <w:t>The following table is a summary of the activity related to the available-for-sale investments recorded in short-term and long-term investments as of January 30, 2021 and April 30, 2020, respectively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January 30, 2021</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53,491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00" w:type="dxa"/>
            <w:vAlign w:val="bottom"/>
            <w:tcBorders>
              <w:top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January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48,494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tcPr>
          <w:p>
            <w:pPr>
              <w:spacing w:after="0"/>
              <w:rPr>
                <w:sz w:val="18"/>
                <w:szCs w:val="18"/>
                <w:color w:val="auto"/>
              </w:rPr>
            </w:pP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53,479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January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$ 53,491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$ 53,491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2020,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$ 58,095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58,095</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58,095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40" w:type="dxa"/>
            <w:vAlign w:val="bottom"/>
            <w:vMerge w:val="restart"/>
          </w:tcPr>
          <w:p>
            <w:pPr>
              <w:jc w:val="right"/>
              <w:ind w:right="29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1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29,439</w:t>
            </w:r>
          </w:p>
        </w:tc>
        <w:tc>
          <w:tcPr>
            <w:tcW w:w="120" w:type="dxa"/>
            <w:vAlign w:val="bottom"/>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Inventories, gross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55,767</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(10,232)</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Inventories, net</w:t>
            </w:r>
          </w:p>
        </w:tc>
        <w:tc>
          <w:tcPr>
            <w:tcW w:w="1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45,535</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In December of 2017, the Company and SoftBank formed a joint venture, HAPSMobile, which is a Japanese corporation. As of January 30, 2021,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74"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During the nine months ended January 25, 2021, the Company recorded its proportion of a loss for HAPSMobile’s impairment of its investment in Loon LLC in the amount of $8,363,000. For the three and nine months ended January 30, 2021, the Company recorded its ownership percentage of the net loss of HAPSMobile, or $0 and $10,810,000, respectively, in equity method investment loss, net of tax in the unaudited consolidated statement of income. HAPSMobile initially made its investment in Loon LLC in April 2019. For the three and nine months ended January 25, 2020, the Company recorded its ownership percentage of the net loss of HAPSMobile, or $1,200,000 and $3,410,000, respectively, in equity method investment loss, net of tax in the unaudited consolidated statement of operations. At January 30, 2021 and April 30, 2020, the carrying value of the investment in HAPSMobile of $0 and $10,455,000, respectively, was recorded in other assets. As the Company’s investment has been written down to zero, no future losses of HAPSMobile will be recorded in equity method investment loss, net of tax in subsequent periods.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right="59"/>
        <w:spacing w:after="0" w:line="290"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On July 15, 2020 and January 4, 2021, the Company made additional contributions of $1,173,000 and $977,000, respectively. Under the terms of the limited partnership agreement, the Company has committed to make additional capital contributions of $2,904,000 to the fund. The Company accounts for investments in limited partnerships as equity method investments as the Company is deemed to have influence when it holds more than a minor interest. For the three and nine months ended January 30, 2021, the Company recorded its ownership percentage of the net loss of the limited partnership, or $81,000 and $361,000, respectively, in equity method investment loss in the consolidated statements of income. For the three and nine months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ended January 25, 2020, the Company recorded no net loss of the limited partnership. At January 30, 2021 and April 30, 2020, the carrying value of the investment in the limited partnership of $6,230,000 and $4,442,000, respectively, was recorded in long-term investments.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30, 2021 and January 25, 2020, respectively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10"/>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January 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6"/>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Warranty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8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14,950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Intangibles, gross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17,770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17,770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11,552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13,637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279"/>
        <w:spacing w:after="0" w:line="311" w:lineRule="auto"/>
        <w:rPr>
          <w:sz w:val="20"/>
          <w:szCs w:val="20"/>
          <w:color w:val="auto"/>
        </w:rPr>
      </w:pPr>
      <w:r>
        <w:rPr>
          <w:rFonts w:ascii="Arial" w:cs="Arial" w:eastAsia="Arial" w:hAnsi="Arial"/>
          <w:sz w:val="16"/>
          <w:szCs w:val="16"/>
          <w:color w:val="auto"/>
        </w:rPr>
        <w:t>The weighted average amortization period at January 30, 2021 and April 30, 2020 was four years. Amortization expense for the three and nine months ended January 30, 2021 was $662,000 and $2,086,000, respectively. Amortization expense for the three and nine months ended January 25, 2020 was $775,000 and $2,102,000, respectively.</w:t>
      </w:r>
    </w:p>
    <w:p>
      <w:pPr>
        <w:spacing w:after="0" w:line="1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Technology, in-process research and development, customer relationships, trademarks and tradenames, and non-compete agreements were recognized in conjunction with the Company’s acquisition of Pulse on June 10, 2019. Refer to Note 17— Business Acquisitions for further details.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color w:val="auto"/>
                <w:w w:val="84"/>
              </w:rPr>
              <w:t>2021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9. Goodwill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Additions to 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100" w:type="dxa"/>
            <w:vAlign w:val="bottom"/>
            <w:gridSpan w:val="2"/>
          </w:tcPr>
          <w:p>
            <w:pPr>
              <w:spacing w:after="0"/>
              <w:rPr>
                <w:sz w:val="20"/>
                <w:szCs w:val="20"/>
                <w:color w:val="auto"/>
              </w:rPr>
            </w:pPr>
            <w:r>
              <w:rPr>
                <w:rFonts w:ascii="Arial" w:cs="Arial" w:eastAsia="Arial" w:hAnsi="Arial"/>
                <w:sz w:val="18"/>
                <w:szCs w:val="18"/>
                <w:color w:val="auto"/>
              </w:rPr>
              <w:t>Balance at January 30, 2021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39"/>
        <w:spacing w:after="0" w:line="277" w:lineRule="auto"/>
        <w:rPr>
          <w:sz w:val="20"/>
          <w:szCs w:val="20"/>
          <w:color w:val="auto"/>
        </w:rPr>
      </w:pPr>
      <w:r>
        <w:rPr>
          <w:rFonts w:ascii="Arial" w:cs="Arial" w:eastAsia="Arial" w:hAnsi="Arial"/>
          <w:sz w:val="18"/>
          <w:szCs w:val="18"/>
          <w:color w:val="auto"/>
        </w:rPr>
        <w:t>The goodwill balance at April 30, 2020 is attributable to the acquisition of Pulse. Refer to Note 17—Business Acquisitions for further details.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66"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279"/>
        <w:spacing w:after="0" w:line="308" w:lineRule="auto"/>
        <w:rPr>
          <w:sz w:val="20"/>
          <w:szCs w:val="20"/>
          <w:color w:val="auto"/>
        </w:rPr>
      </w:pPr>
      <w:r>
        <w:rPr>
          <w:rFonts w:ascii="Arial" w:cs="Arial" w:eastAsia="Arial" w:hAnsi="Arial"/>
          <w:sz w:val="17"/>
          <w:szCs w:val="17"/>
          <w:color w:val="auto"/>
        </w:rPr>
        <w:t>The Company does not have any finance leases. The Company does not have any material restrictions or covenants in its lease agreements, sale-leaseback transactions, land easements or residual value guarantees.</w:t>
      </w:r>
    </w:p>
    <w:p>
      <w:pPr>
        <w:spacing w:after="0" w:line="146"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January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January 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Short term lease cost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January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152"/>
              <w:spacing w:after="0" w:line="119" w:lineRule="exact"/>
              <w:rPr>
                <w:sz w:val="20"/>
                <w:szCs w:val="20"/>
                <w:color w:val="auto"/>
              </w:rPr>
            </w:pPr>
            <w:r>
              <w:rPr>
                <w:rFonts w:ascii="Arial" w:cs="Arial" w:eastAsia="Arial" w:hAnsi="Arial"/>
                <w:sz w:val="13"/>
                <w:szCs w:val="13"/>
                <w:b w:val="1"/>
                <w:bCs w:val="1"/>
                <w:color w:val="auto"/>
              </w:rPr>
              <w:t>January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paid for amounts included in the measurement of operating lease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5,760</w:t>
            </w:r>
          </w:p>
        </w:tc>
        <w:tc>
          <w:tcPr>
            <w:tcW w:w="60" w:type="dxa"/>
            <w:vAlign w:val="bottom"/>
          </w:tcPr>
          <w:p>
            <w:pPr>
              <w:spacing w:after="0"/>
              <w:rPr>
                <w:sz w:val="18"/>
                <w:szCs w:val="18"/>
                <w:color w:val="auto"/>
              </w:rPr>
            </w:pPr>
          </w:p>
        </w:tc>
        <w:tc>
          <w:tcPr>
            <w:tcW w:w="3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 months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6"/>
          </w:tcPr>
          <w:p>
            <w:pPr>
              <w:spacing w:after="0"/>
              <w:rPr>
                <w:sz w:val="20"/>
                <w:szCs w:val="20"/>
                <w:color w:val="auto"/>
              </w:rPr>
            </w:pPr>
            <w:r>
              <w:rPr>
                <w:rFonts w:ascii="Arial" w:cs="Arial" w:eastAsia="Arial" w:hAnsi="Arial"/>
                <w:sz w:val="18"/>
                <w:szCs w:val="18"/>
                <w:color w:val="auto"/>
              </w:rPr>
              <w:t>Maturities of operating lease liabilities as of January 30, 2021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Accumulated Other Comprehensive Income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accumulated other comprehensive income and adjustments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rPr>
              <w:t>January 30,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rPr>
              <w:t>January 25,</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net of $0 deferred taxes, as of April 30, 2020 and April 30, 2019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Changes in foreign currency translation adjustments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Unrealized losses, net of $2 of deferred taxes for the nine months ended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30, 2021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960" w:type="dxa"/>
            <w:vAlign w:val="bottom"/>
          </w:tcPr>
          <w:p>
            <w:pPr>
              <w:spacing w:after="0" w:line="182" w:lineRule="exact"/>
              <w:rPr>
                <w:sz w:val="20"/>
                <w:szCs w:val="20"/>
                <w:color w:val="auto"/>
              </w:rPr>
            </w:pPr>
            <w:r>
              <w:rPr>
                <w:rFonts w:ascii="Arial" w:cs="Arial" w:eastAsia="Arial" w:hAnsi="Arial"/>
                <w:sz w:val="18"/>
                <w:szCs w:val="18"/>
                <w:color w:val="auto"/>
                <w:w w:val="91"/>
              </w:rPr>
              <w:t>Balance, net of $2 and $0 deferred taxes, as of January 30, 2021 and January 25,</w:t>
            </w:r>
          </w:p>
        </w:tc>
        <w:tc>
          <w:tcPr>
            <w:tcW w:w="3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5"/>
                <w:szCs w:val="15"/>
                <w:color w:val="auto"/>
              </w:rPr>
            </w:pPr>
          </w:p>
        </w:tc>
        <w:tc>
          <w:tcPr>
            <w:tcW w:w="180" w:type="dxa"/>
            <w:vAlign w:val="bottom"/>
            <w:gridSpan w:val="2"/>
            <w:vMerge w:val="restart"/>
          </w:tcPr>
          <w:p>
            <w:pPr>
              <w:jc w:val="right"/>
              <w:ind w:right="39"/>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2020, respectively</w:t>
            </w: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Customer-Funded Research &amp; Development</w:t>
      </w:r>
    </w:p>
    <w:p>
      <w:pPr>
        <w:spacing w:after="0" w:line="216" w:lineRule="exact"/>
        <w:rPr>
          <w:sz w:val="20"/>
          <w:szCs w:val="20"/>
          <w:color w:val="auto"/>
        </w:rPr>
      </w:pPr>
    </w:p>
    <w:p>
      <w:pPr>
        <w:ind w:left="40" w:right="419"/>
        <w:spacing w:after="0" w:line="381" w:lineRule="auto"/>
        <w:rPr>
          <w:sz w:val="20"/>
          <w:szCs w:val="20"/>
          <w:color w:val="auto"/>
        </w:rPr>
      </w:pPr>
      <w:r>
        <w:rPr>
          <w:rFonts w:ascii="Arial" w:cs="Arial" w:eastAsia="Arial" w:hAnsi="Arial"/>
          <w:sz w:val="15"/>
          <w:szCs w:val="15"/>
          <w:color w:val="auto"/>
        </w:rPr>
        <w:t>Customer-funded R&amp;D costs are incurred pursuant to contracts (revenue arrangements) to perform R&amp;D activities according to customer specifications. These costs are direct contract costs and are expensed to cost of sales as costs are</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incurred. Revenue from customer-funded R&amp;D contracts are recognized in accordance with Topic 606 over time as costs are incurred. Revenue from customer-funded R&amp;D was approximately $14,811,000 and $58,979,000 for the three and nine months ended January 30, 2021, respectively. Revenue from customer-funded R&amp;D was approximately $17,939,000 and $50,565,000 for the three and nine months ended January 25, 2020,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Long-Term Incentive Awards</w:t>
      </w:r>
    </w:p>
    <w:p>
      <w:pPr>
        <w:spacing w:after="0" w:line="216" w:lineRule="exact"/>
        <w:rPr>
          <w:sz w:val="20"/>
          <w:szCs w:val="20"/>
          <w:color w:val="auto"/>
        </w:rPr>
      </w:pPr>
    </w:p>
    <w:p>
      <w:pPr>
        <w:ind w:left="40" w:right="19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2" w:lineRule="exact"/>
        <w:rPr>
          <w:sz w:val="20"/>
          <w:szCs w:val="20"/>
          <w:color w:val="auto"/>
        </w:rPr>
      </w:pPr>
    </w:p>
    <w:p>
      <w:pPr>
        <w:ind w:left="40" w:right="119" w:firstLine="4"/>
        <w:spacing w:after="0" w:line="267"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30, 2021, the Company recorded $126,000 and $564,000 of compensation expense related to the Fiscal 2021 LTIP. The Company recorded no compensation expense related to the Fiscal 2021 LTIP for the three and nine months ended January 25, 2020. At January 30, 2021, the maximum compensation expense that may be recorded for the performance-based portion of the Fiscal 2021 LTIP is $7,946,000.</w:t>
      </w:r>
    </w:p>
    <w:p>
      <w:pPr>
        <w:spacing w:after="0" w:line="184"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27, 2019, the Company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January 30, 2021, the Company recorded a reduction of $26,000 of compensation expense related to the Fiscal 2020 LTIP, and for the nine months ended January 30, 2021, the Company recorded $319,000 of compensation expense related to the Fiscal 2020 LTIP. For the three and nine months ended January 25, 2020, the Company recorded $215,000 and $512,000 of compensation expense related to the Fiscal 2020 LTIP, respectively. At January 30, 2021, the maximum compensation expense that may be recorded for the performance-based portion of the Fiscal 2020 LTIP is $4,263,000.</w:t>
      </w:r>
    </w:p>
    <w:p>
      <w:pPr>
        <w:spacing w:after="0" w:line="167"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30, 2021, the Company recorded $27,000 and $291,000 of compensation expense related to the Fiscal 2019 LTIP, respectively. For the three and nine months ended January 25, 2020, the Company recorded $246,000 and $294,000 of compensation expense related to the Fiscal 2019 LTIP, respectively. At January 30, 2021, the maximum compensation expense that may be recorded for the performance-based portion of the Fiscal 2019 LTIP is $2,478,000.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90"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During the three months ended August 1, 2020, the Company issued a total of 16,228 fully-vested shares of common stock to settle the PRSUs in the Fiscal 2018 LTIP. For the three and nine months ended January 30, 2021, the Company recorded no compensation expense. For the three and nine months ended January 25, 2020, the Company recorded $201,000 and $162,000 of compensation expense related to the Fiscal 2018 LTIP, respectively.</w:t>
      </w:r>
    </w:p>
    <w:p>
      <w:pPr>
        <w:spacing w:after="0" w:line="165" w:lineRule="exact"/>
        <w:rPr>
          <w:sz w:val="20"/>
          <w:szCs w:val="20"/>
          <w:color w:val="auto"/>
        </w:rPr>
      </w:pPr>
    </w:p>
    <w:p>
      <w:pPr>
        <w:ind w:left="40" w:right="279"/>
        <w:spacing w:after="0" w:line="272" w:lineRule="auto"/>
        <w:rPr>
          <w:sz w:val="20"/>
          <w:szCs w:val="20"/>
          <w:color w:val="auto"/>
        </w:rPr>
      </w:pPr>
      <w:r>
        <w:rPr>
          <w:rFonts w:ascii="Arial" w:cs="Arial" w:eastAsia="Arial" w:hAnsi="Arial"/>
          <w:sz w:val="17"/>
          <w:szCs w:val="17"/>
          <w:color w:val="auto"/>
        </w:rPr>
        <w:t>At January 30, 2021 and April 30, 2020, the Company recorded cumulative stock-based compensation expense from the Fiscal 2021 LTIP, Fiscal 2020 LTIP and Fiscal 2019 LTIP of $2,780,000 and $1,607,000,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For the three and nine months ended January 30, 2021, the Company recorded a (benefit from) and provision for income taxes of $(924,000) and $2,774,000, respectively, yielding effective tax rates of 157.9% and 10.7%, respectively. For the three and nine months ended January 25, 2020, the Company recorded a (benefit from) and provision for income taxes of $(38,000) and $3,203,000, respectively, yielding effective tax rates of (28.4)% and 10.6%, respectively. The variance from statutory rates for the three and nine months ended January 30, 2021 was primarily due to federal R&amp;D credits, foreign derived intangible income deductions and the recording of discrete excess tax benefits resulting from the vesting of restricted stock awards and exercises of stock options. The variance from statutory rates for the three and nine months ended January 25, 2020 was primarily due to federal R&amp;D credits, foreign derived intangible income deductions and the recording of discrete excess tax benefits resulting from the vesting of restricted stock awards and exercises of stock options.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Share Repurchase</w:t>
      </w:r>
    </w:p>
    <w:p>
      <w:pPr>
        <w:spacing w:after="0" w:line="216"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In September 2015, the Company’s Board of Directors authorized a program to repurchase up to $25,000,000 of the Company’s common stock with no specified termination date for the program. No shares were repurchased under the program during the three and nine months ended January 30, 2021 or January 25, 2020. As of January 30, 2021 and April 30, 2020, approximately $21,200,000 remained authorized for future repurchases under this program.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and related efforts, the Company will use its best efforts, up to a maximum net value of $181,320,000, to design and build prototype solar powered high altitude aircraft and ground control stations for HAPSMobile and conduct low altitude and high altitude flight tests of the prototype aircraft.</w:t>
      </w:r>
    </w:p>
    <w:p>
      <w:pPr>
        <w:spacing w:after="0" w:line="192"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The Company recorded revenue under the DDA and preliminary design agreements between the Company and SoftBank of $7,480,000 and $35,318,000 for the three and nine months ended January 30, 2021, respectively. The Company recorded revenue under the DDA and preliminary design agreements between the Company and SoftBank of $11,762,000 and $37,491,000 for the three and nine months ended January 25, 2020, respectively. At January 30, 2021 and April 30, 2020, the Company had unbilled related party receivables from HAPSMobile of $6,834,000 and $15,779,000 recorded in unbilled receivables and retentions on the consolidated balance sheets, respectively. Refer to Note 6—Equity Method Investments for further details.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Business Acquisitions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left="40" w:right="299"/>
        <w:spacing w:after="0" w:line="271" w:lineRule="auto"/>
        <w:rPr>
          <w:sz w:val="20"/>
          <w:szCs w:val="20"/>
          <w:color w:val="auto"/>
        </w:rPr>
      </w:pPr>
      <w:r>
        <w:rPr>
          <w:rFonts w:ascii="Arial" w:cs="Arial" w:eastAsia="Arial" w:hAnsi="Arial"/>
          <w:sz w:val="17"/>
          <w:szCs w:val="17"/>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 During the three months ended January 30, 2021, the Company paid a total of $1,492,000 in holdback and retention payments.</w:t>
      </w:r>
    </w:p>
    <w:p>
      <w:pPr>
        <w:spacing w:after="0" w:line="178"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In addition to the consideration paid at closing, the acquisition of Pulse included contingent consideration arrangements that required additional consideration to be paid by the Company to the sellers of Pulse if two specified research and development milestones were achieved by December 10, 2021 and the continued employment of specified employees. Amounts were payable upon the achievement of the milestones. The range of the undiscounted amounts the Company could pay under each of the contingent consideration agreements were zero or $2,500,000 ($5,000,000 in total if both milestones are achieved and specific key employees continued employment). The fair value of the contingent consideration recognized on the acquisition date of $1,703,000 was estimated by applying the income approach. That measure was based on significant Level 3 inputs not observable in the market. Key assumptions include (1) a discount rate of 4.5% and (2) the probability that each of the milestones would be achieved.</w:t>
      </w:r>
    </w:p>
    <w:p>
      <w:pPr>
        <w:spacing w:after="0" w:line="181" w:lineRule="exact"/>
        <w:rPr>
          <w:sz w:val="20"/>
          <w:szCs w:val="20"/>
          <w:color w:val="auto"/>
        </w:rPr>
      </w:pPr>
    </w:p>
    <w:p>
      <w:pPr>
        <w:ind w:left="40" w:right="259"/>
        <w:spacing w:after="0" w:line="257" w:lineRule="auto"/>
        <w:rPr>
          <w:sz w:val="20"/>
          <w:szCs w:val="20"/>
          <w:color w:val="auto"/>
        </w:rPr>
      </w:pPr>
      <w:r>
        <w:rPr>
          <w:rFonts w:ascii="Arial" w:cs="Arial" w:eastAsia="Arial" w:hAnsi="Arial"/>
          <w:sz w:val="18"/>
          <w:szCs w:val="18"/>
          <w:color w:val="auto"/>
        </w:rPr>
        <w:t>During the three months ended January 25,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188" w:lineRule="exact"/>
        <w:rPr>
          <w:sz w:val="20"/>
          <w:szCs w:val="20"/>
          <w:color w:val="auto"/>
        </w:rPr>
      </w:pPr>
    </w:p>
    <w:p>
      <w:pPr>
        <w:ind w:left="40" w:right="439"/>
        <w:spacing w:after="0" w:line="308" w:lineRule="auto"/>
        <w:rPr>
          <w:sz w:val="20"/>
          <w:szCs w:val="20"/>
          <w:color w:val="auto"/>
        </w:rPr>
      </w:pPr>
      <w:r>
        <w:rPr>
          <w:rFonts w:ascii="Arial" w:cs="Arial" w:eastAsia="Arial" w:hAnsi="Arial"/>
          <w:sz w:val="17"/>
          <w:szCs w:val="17"/>
          <w:color w:val="auto"/>
        </w:rPr>
        <w:t>During the fiscal year ended April 30, 2020, the Company finalized its determination of the fair value of the assets and liabilities assumed as of the acquisition date, which is summarized in the following table (in thousands):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Retention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2018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Nine Months Ended</w:t>
            </w:r>
          </w:p>
        </w:tc>
      </w:tr>
      <w:tr>
        <w:trPr>
          <w:trHeight w:val="211"/>
        </w:trPr>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January 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January 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w w:val="98"/>
              </w:rPr>
              <w:t>January 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w w:val="98"/>
              </w:rPr>
              <w:t>January 26</w:t>
            </w:r>
          </w:p>
        </w:tc>
      </w:tr>
      <w:tr>
        <w:trPr>
          <w:trHeight w:val="201"/>
        </w:trPr>
        <w:tc>
          <w:tcPr>
            <w:tcW w:w="37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228,533</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38,471</w:t>
            </w:r>
          </w:p>
        </w:tc>
      </w:tr>
      <w:tr>
        <w:trPr>
          <w:trHeight w:val="634"/>
        </w:trPr>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39"/>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71" w:lineRule="exact"/>
        <w:rPr>
          <w:sz w:val="20"/>
          <w:szCs w:val="20"/>
          <w:color w:val="auto"/>
        </w:rPr>
      </w:pPr>
    </w:p>
    <w:p>
      <w:pPr>
        <w:ind w:left="40" w:right="199"/>
        <w:spacing w:after="0" w:line="311" w:lineRule="auto"/>
        <w:rPr>
          <w:sz w:val="20"/>
          <w:szCs w:val="20"/>
          <w:color w:val="auto"/>
        </w:rPr>
      </w:pPr>
      <w:r>
        <w:rPr>
          <w:rFonts w:ascii="Arial" w:cs="Arial" w:eastAsia="Arial" w:hAnsi="Arial"/>
          <w:sz w:val="16"/>
          <w:szCs w:val="16"/>
          <w:color w:val="auto"/>
        </w:rPr>
        <w:t>The Company incurred approximately $344,000 and $1,036,000 of acquisition-related expenses for the three and nine months ended January 25, 2020, respectively. These expenses are included in selling, general and administrative, research and development, and product cost of sales on the Company’s consolidated statement of operations.</w:t>
      </w:r>
    </w:p>
    <w:p>
      <w:pPr>
        <w:spacing w:after="0" w:line="149"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83" w:lineRule="exact"/>
        <w:rPr>
          <w:sz w:val="20"/>
          <w:szCs w:val="20"/>
          <w:color w:val="auto"/>
        </w:rPr>
      </w:pPr>
    </w:p>
    <w:p>
      <w:pPr>
        <w:ind w:left="40" w:right="7259" w:firstLine="4"/>
        <w:spacing w:after="0" w:line="603" w:lineRule="auto"/>
        <w:tabs>
          <w:tab w:leader="none" w:pos="31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Arcturus Acquisition</w:t>
      </w:r>
    </w:p>
    <w:p>
      <w:pPr>
        <w:spacing w:after="0" w:line="1"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On February 19, 2021, the Company closed its acquisition of Arcturus UAV, Inc., a California corporation (“Arcturus UAV”) pursuant to the Stock Purchase Agreement (the “Arcturus Purchase Agreement”) with Arcturus UAV and each of the shareholders and other equity interest holders of Arcturus UAV (collectively, the “Arcturus Sellers”), to purchase 100% of the issued and outstanding equity of Arcturus UAV (the “Arcturus Acquisition”). Arcturus UAV,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 Arcturus UAV became a wholly-owned subsidiary of the Company as of February 19, 2021.</w:t>
      </w:r>
    </w:p>
    <w:p>
      <w:pPr>
        <w:spacing w:after="0" w:line="192"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color w:val="auto"/>
        </w:rPr>
        <w:t>Pursuant to the Arcturus Purchase Agreement, at the closing of the Arcturus Acquisition, the Company paid approximately $431,000,000 (subject to certain customary adjustments and escrow arrangements set forth in the Arcturus Purchase Agreement), financed with a combination of approximately $159,000,000 of cash-on-hand, $200,000,000 of financing pursuant to the Term Loan Facility, described below, and the issuance of approximately $72,000,000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pacing w:after="0" w:line="195"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final cash consideration is subject to certain customary adjustments, including for net working capital, cash, debt and unpaid transaction expenses (including change in control related payments triggered by the transaction) of Arcturus UAV at the Arcturus Closing, less $6,500,000 to be held in escrow to address final purchase price adjustments post-Arcturus Closing, if any (the “Adjustment Escrow”), and $1,822,500 to be held in escrow to address Arcturus UAV’s and/or the Sellers’ indemnification obligations (the “Indemnification Escrow”). The Adjustment Escrow, less any negative post-Closing adjustment to the cash consideration paid at Closing, is to be released to the Arcturus Sellers upon completion of the post-Arcturus Closing purchase price adjustment process; the Indemnification Escrow, less any amounts paid or reserved, is to be released to the Arcturus Sellers 12 months following the Arcturus Closing. To further address potential breaches of Arcturus UAV’s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Due to the timing of the close of the acquisition, the purchase accounting for the business combination is incomplete at the time of this filing. As a result, the Company is unable to provide the amounts recognized as of the acquisition date for the major classes of assets acquired and liabilities assumed, pre-acquisition contingencies and goodwill. In addition, the Company is unable to provide pro forma revenues and earnings of the combined entity. All required disclosures will be included in the Company's Annual Report on Form 10-K for the fiscal year quarter ending April 30, 2021.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left="40" w:right="99"/>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UAV,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UAV.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99"/>
        <w:spacing w:after="0" w:line="291" w:lineRule="auto"/>
        <w:rPr>
          <w:sz w:val="20"/>
          <w:szCs w:val="20"/>
          <w:color w:val="auto"/>
        </w:rPr>
      </w:pPr>
      <w:r>
        <w:rPr>
          <w:rFonts w:ascii="Arial" w:cs="Arial" w:eastAsia="Arial" w:hAnsi="Arial"/>
          <w:sz w:val="16"/>
          <w:szCs w:val="16"/>
          <w:color w:val="auto"/>
        </w:rPr>
        <w:t>The Credit Facilities provide the Company with a choice of interest rates between (a) LIBOR (with a 0% floor) plus the Applicable Margin; or (b) Base Rate (defined as the highest of (a) the Federal Funds Rate plus one-half percent (0.50%),</w:t>
      </w:r>
    </w:p>
    <w:p>
      <w:pPr>
        <w:ind w:left="40" w:right="79" w:firstLine="4"/>
        <w:spacing w:after="0" w:line="252"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Bank of America prime rate, and (c) the one (1) month LIBOR plus one percent (1.00%)) plus the Applicable Margin. The Applicable Margin is based upon the Consolidated Leverage Ratio (as defined in the Credit Agreement) and whether the Company elects LIBOR (ranging from 1.50 - 2.25%) or Base Rate (ranging from 0.50 - 1.25%). The Company is also responsible for certain commitment fees from 0.20-0.35% depending on the Consolidated Leverage Ratio, and administrative agent expenses incurred in relation to the Credit Facilities. In the event of a default, an additional 2% default interest rate would apply.</w:t>
      </w:r>
    </w:p>
    <w:p>
      <w:pPr>
        <w:spacing w:after="0" w:line="194"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296" w:lineRule="auto"/>
        <w:rPr>
          <w:sz w:val="20"/>
          <w:szCs w:val="20"/>
          <w:color w:val="auto"/>
        </w:rPr>
      </w:pPr>
      <w:r>
        <w:rPr>
          <w:rFonts w:ascii="Arial" w:cs="Arial" w:eastAsia="Arial" w:hAnsi="Arial"/>
          <w:sz w:val="16"/>
          <w:szCs w:val="16"/>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UAV (as of the closing of its acquisition by the Company), will be guarantors for the Credit Facilities.</w:t>
      </w:r>
    </w:p>
    <w:p>
      <w:pPr>
        <w:spacing w:after="0" w:line="161"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Intelligent Systems Group Acquisition</w:t>
      </w:r>
    </w:p>
    <w:p>
      <w:pPr>
        <w:spacing w:after="0" w:line="229" w:lineRule="exact"/>
        <w:rPr>
          <w:sz w:val="20"/>
          <w:szCs w:val="20"/>
          <w:color w:val="auto"/>
        </w:rPr>
      </w:pPr>
    </w:p>
    <w:p>
      <w:pPr>
        <w:ind w:left="40" w:right="139"/>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(the “ISG Acquisition”), a Virginia corporation (the “ISG Seller”), pursuant to the terms of an Asset Purchase Agreement (the “ISG Purchase Agreement”) of the same date by and among the Company, Seller and the sole shareholder of Seller (the “Beneficial Owner”). ISG is engaged in development of artificial intelligence-enabled computer vision, machine learning and perceptive autonomy technologies and provides related services to United States government customers.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ISG Acquisition, the Company (i) paid a base purchase price of $30,000,000 in cash at closing and</w:t>
      </w:r>
    </w:p>
    <w:p>
      <w:pPr>
        <w:spacing w:after="0" w:line="46" w:lineRule="exact"/>
        <w:rPr>
          <w:sz w:val="20"/>
          <w:szCs w:val="20"/>
          <w:color w:val="auto"/>
        </w:rPr>
      </w:pPr>
    </w:p>
    <w:p>
      <w:pPr>
        <w:ind w:left="40" w:right="179" w:firstLine="4"/>
        <w:spacing w:after="0" w:line="255"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pay additional cash consideration of up to $6,000,000 based on the achievement of certain revenue targets by ISG during the 3 years following closing, in each case, subject to the terms and conditions of the ISG Purchase Agreement, including certain customary adjustments.</w:t>
      </w:r>
    </w:p>
    <w:p>
      <w:pPr>
        <w:spacing w:after="0" w:line="190" w:lineRule="exact"/>
        <w:rPr>
          <w:sz w:val="20"/>
          <w:szCs w:val="20"/>
          <w:color w:val="auto"/>
        </w:rPr>
      </w:pPr>
    </w:p>
    <w:p>
      <w:pPr>
        <w:jc w:val="both"/>
        <w:ind w:left="40" w:right="339"/>
        <w:spacing w:after="0" w:line="311" w:lineRule="auto"/>
        <w:rPr>
          <w:sz w:val="20"/>
          <w:szCs w:val="20"/>
          <w:color w:val="auto"/>
        </w:rPr>
      </w:pPr>
      <w:r>
        <w:rPr>
          <w:rFonts w:ascii="Arial" w:cs="Arial" w:eastAsia="Arial" w:hAnsi="Arial"/>
          <w:sz w:val="16"/>
          <w:szCs w:val="16"/>
          <w:color w:val="auto"/>
        </w:rPr>
        <w:t>As a condition to closing pursuant to the ISG Purchase Agreement, the Company and the ISG Seller entered into certain ancillary agreements, including a transition services agreement and two subleases pursuant to which the ISG Seller will provide the Company certain services and facilities space to accommodate the transition of ISG to the Company.</w:t>
      </w:r>
    </w:p>
    <w:p>
      <w:pPr>
        <w:spacing w:after="0" w:line="14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pacing w:after="0" w:line="188"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Due to the timing of the close of the acquisition, the purchase accounting for the business combination is incomplete at the time of this filing. As a result, the Company is unable to provide the amounts recognized as of the acquisition date for the major classes of assets acquired and liabilities assumed, pre-acquisition contingencies and goodwill. In addition, the Company is unable to provide pro forma revenues and earnings of the combined entity. All required disclosures will be included in the Company's Annual Report on Form 10-K for the fiscal year quarter ending April 30, 2021.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Telerob Acquisition</w:t>
      </w:r>
    </w:p>
    <w:p>
      <w:pPr>
        <w:spacing w:after="0" w:line="229"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On December 3, 2020, the Company entered into a Share Purchase Agreement (the “Telerob Purchase Agreement”) with Unmanned Systems Investments GmbH, a German limited liability company incorporated under the laws of Germany (the “Telerob Seller”), and each of the unit holders of the Telerob Seller (collectively, the “Shareholders”), to purchase 100% of the issued and outstanding shares of Seller’s wholly-owned subsidiary, Telerob Gesellschaft für Fernhantierungstechnik mbH, a German company based in Ostfildern (near Stuttgart), Germany (“Telerob”), including Telerob’s wholly owned subsidiary, Telerob USA, Inc. (“Telerob USA,” and collectively with Telerob, the “Telerob Group”). The Telerob Group develops, manufactures, sells, and services remote-controlled ground robots and transport vehicles for civil and defense applications. Upon closing of the transactions contemplated by the Telerob Purchase Agreement, which is anticipated in the fourth quarter, Telerob will become a wholly-owned subsidiary of the Company.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90" w:lineRule="auto"/>
        <w:rPr>
          <w:sz w:val="20"/>
          <w:szCs w:val="20"/>
          <w:color w:val="auto"/>
        </w:rPr>
      </w:pPr>
      <w:r>
        <w:rPr>
          <w:rFonts w:ascii="Arial" w:cs="Arial" w:eastAsia="Arial" w:hAnsi="Arial"/>
          <w:sz w:val="16"/>
          <w:szCs w:val="16"/>
          <w:color w:val="auto"/>
        </w:rPr>
        <w:t>Pursuant to the Telerob Purchase Agreement, the Company will pay approximately €37,455,000 (approximately $45.4 million) in cash at the closing to the Telerob Seller, subject to certain purchase price adjustments, less (a) €3,000,000 (approximately $3.6 million) to be held in escrow for breaches of the Telerob Seller’s warranties; (b) transaction-related fees and costs incurred by the Telerob Seller; (c) 50% of the cost of obtaining the warranty insurance policy; and (d) payments to Shareholders or outside the ordinary course of business if made after September 30, 2020. In addition, at closing the Company will pay off approximately €7.8 million (approximately $9.4 million) of certain indebtedness of the Telerob Group. This indebtedness may be offset by any cash on hand at the Telerob Group at closing. The escrow amount is to be released to the Telerob Seller, less any amounts paid or reserved, 30 months following the closing date.</w:t>
      </w:r>
    </w:p>
    <w:p>
      <w:pPr>
        <w:spacing w:after="0" w:line="165"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In addition, the Telerob Seller may receive up to a total of €6,000,000 (approximately $7.3 million) in additional cash consideration over a three year period contingent upon the achievement of three distinct milestones. The first two milestones are the achievement of specific revenue targets and the third milestone is obtaining certain contract awards from the U.S. military.</w:t>
      </w:r>
    </w:p>
    <w:p>
      <w:pPr>
        <w:spacing w:after="0" w:line="187"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The transactions contemplated by the Telerob Purchase Agreement are subject to certain closing conditions, including: (i) clearance by the German government; (ii) the accuracy of each party’s warranties (subject to customary materiality qualifiers); (iii) each party’s compliance with its covenants and agreements contained in the Telerob Purchase Agreement (subject to customary materiality qualifiers); and (iv) other customary closing conditions.</w:t>
      </w:r>
    </w:p>
    <w:p>
      <w:pPr>
        <w:spacing w:after="0" w:line="167"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2020,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2020.</w:t>
      </w:r>
    </w:p>
    <w:p>
      <w:pPr>
        <w:spacing w:after="0" w:line="170"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that are not readily apparent from other sources. Our actual results may differ from these estimates under different assumptions or conditions.</w:t>
      </w:r>
    </w:p>
    <w:p>
      <w:pPr>
        <w:spacing w:after="0" w:line="170"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Revenue for small UAS product contracts with both the U.S. government and foreign governments are recognized at the point in time when the transfer of control passes to the customer, which is generally when title and risk of loss transfer. Revenue for TMS contracts is recognized over time as costs are incurred. Revenue for Customer-Funded R&amp;D contracts is recognized over time as costs are incurred.</w:t>
      </w:r>
    </w:p>
    <w:p>
      <w:pPr>
        <w:spacing w:after="0" w:line="187"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nine months ended January 30, 2021 and January 25, 2020, changes in accounting estimates on contracts recognized over time are presented below.</w:t>
      </w:r>
    </w:p>
    <w:p>
      <w:pPr>
        <w:spacing w:after="0" w:line="177"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For the three months ended January 30, 2021 and January 25, 2020,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5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January 25,</w:t>
            </w:r>
          </w:p>
        </w:tc>
        <w:tc>
          <w:tcPr>
            <w:tcW w:w="10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For the three months ended January 30, 2021, favorable cumulative catch-up adjustments of $0.4 million were primarily due to final cost adjustments on nine contracts, which individually were not material. For the same period, unfavorable cumulative catch-up adjustments of $0.2 million were primarily related to higher than expected costs on 12 contracts, which individually were not material.</w:t>
      </w:r>
    </w:p>
    <w:p>
      <w:pPr>
        <w:spacing w:after="0" w:line="187"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For the three months ended January 25, 2020, favorable cumulative catch-up adjustments of $1.4 million were primarily due to final cost adjustments on seven contracts, which individually were not material. For the same period, unfavorable cumulative catch-up adjustments of $0.2 million were primarily related to higher than expected costs on 13 contracts, which individually were not material.</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w w:val="97"/>
              </w:rPr>
              <w:t>January 30,</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January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For the nine months ended January 30, 2021, favorable cumulative catch-up adjustments of $1.9 million were primarily due to final cost adjustments on 15 contracts, which individually were not material. For the same period, unfavorable cumulative catch-up adjustments of $1.1 million were primarily related to higher than expected costs on 23 contracts, which individually were not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For the nine months ended January 25, 2020, favorable cumulative catch-up adjustments of $1.9 million were primarily due to final cost adjustments on 17 contracts. The Company revised its estimates of the total expected costs to complete a contract associated with a design and development agreement, which had a favorable impact of $1.0 million. For the same period, unfavorable cumulative catch-up adjustments of $0.7 million were primarily related to higher than expected costs on 16 contracts, which individually were not material.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2021 fiscal year ends on April 30, 2021 and our fiscal quarters end on August 1, 2020, October 31, 2020 and January 30, 2021, respectively.</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January 30, 2021 Compared to Three Months Ended January 25,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w w:val="97"/>
              </w:rPr>
              <w:t>January 25,</w:t>
            </w:r>
          </w:p>
        </w:tc>
        <w:tc>
          <w:tcPr>
            <w:tcW w:w="10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38,395</w:t>
            </w:r>
          </w:p>
        </w:tc>
        <w:tc>
          <w:tcPr>
            <w:tcW w:w="10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shd w:val="clear" w:color="auto" w:fill="CCEEFF"/>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January 30, 2021 was $78.8 million, as compared to $61.9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January 25, 2020, representing an increase of $16.9 million, or 27%. The increase in revenue was due to an increase in product revenue of $21.9 million, partially offset by a decrease in service revenue of $5.0 million. The increase in product revenue was primarily due to an increase in small UAS and TMS revenue. Within small UAS, increases in product deliveries to customers within the U.S. Department of Defense were partially offset by decreases in product deliveries to international allied customers. The decrease in service revenue was primarily due to a decrease in customer-funded R&amp;D revenue.</w:t>
      </w:r>
    </w:p>
    <w:p>
      <w:pPr>
        <w:spacing w:after="0" w:line="195"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three months ended January 30, 2021 was $50.1 million, as compared to $38.4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January 25, 2020, representing an increase of $11.7 million, or 31%. The increase in cost of sales was a result of an increase in product cost of sales of $14.7 million, partially offset by a decrease in service costs of sales of $3.0 million. The increase in product cost of sales was primarily due to an increase in product sales and an unfavorable mix. The decrease in service costs of sales was primarily due to the decrease in service revenue. As a percentage of revenue, cost of sales increased from 62% to 64%, primarily due to an unfavorable product mix, partially offset by an increase in the proportion of product sales to total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three months ended January 30, 2021 was $28.6 million, as compared to $23.5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January 25, 2020, representing an increase of $5.1 million, or 22%. The increase in gross margin was due to an increase in product margin of $7.2 million, partially offset by a decrease in service margin of $2.1 million. The increase in product margin was primarily due to the increase in product sales, partially offset by an unfavorable product mix. The decrease in service margin was primarily due to the decrease in service revenue. As a percentage of revenue, gross margin decreased from 38% to 36%, primarily due to an unfavorable product mix, partially offset by an increase in the proportion of product sales to total revenue.</w:t>
      </w:r>
    </w:p>
    <w:p>
      <w:pPr>
        <w:spacing w:after="0" w:line="173" w:lineRule="exact"/>
        <w:rPr>
          <w:sz w:val="20"/>
          <w:szCs w:val="20"/>
          <w:color w:val="auto"/>
        </w:rPr>
      </w:pPr>
    </w:p>
    <w:p>
      <w:pPr>
        <w:jc w:val="both"/>
        <w:ind w:left="40" w:right="239"/>
        <w:spacing w:after="0" w:line="281"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 for the three months ended January 30, 2021 was $15.7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of revenue, as compared to SG&amp;A expense of $13.2 million, or 21% of revenue, for the three months ended January 25, 2020. The increase in SG&amp;A expense was primarily due to an increase in acquisition related expenses of $3.1 million related to the Arcturus Acquisition, ISG Acquisition and the pending acquisition of Telerob.</w:t>
      </w:r>
    </w:p>
    <w:p>
      <w:pPr>
        <w:spacing w:after="0" w:line="169" w:lineRule="exact"/>
        <w:rPr>
          <w:sz w:val="20"/>
          <w:szCs w:val="20"/>
          <w:color w:val="auto"/>
        </w:rPr>
      </w:pPr>
    </w:p>
    <w:p>
      <w:pPr>
        <w:ind w:left="40" w:right="79"/>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 for the three months ended January 30, 2021 was $13.6 million, or 17%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as compared to R&amp;D expense of $11.4 million, or 18% of revenue, for the three months ended January 25, 2020. R&amp;D expense increased by $2.3 million, or 20%, for the three months ended January 30, 2021, primarily due to an increase in development activities regarding enhanced capabilities for our products and development of new product lines.</w:t>
      </w:r>
    </w:p>
    <w:p>
      <w:pPr>
        <w:spacing w:after="0" w:line="157" w:lineRule="exact"/>
        <w:rPr>
          <w:sz w:val="20"/>
          <w:szCs w:val="20"/>
          <w:color w:val="auto"/>
        </w:rPr>
      </w:pPr>
    </w:p>
    <w:p>
      <w:pPr>
        <w:jc w:val="both"/>
        <w:ind w:left="40" w:right="499"/>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three months ended January 30, 2021 was $0.1 million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income, net of $1.1 million for the three months ended January 25, 2020. The decrease in interest income was primarily due to a decrease in the average interest rate earned on our investment portfolio.</w:t>
      </w:r>
    </w:p>
    <w:p>
      <w:pPr>
        <w:spacing w:after="0" w:line="165" w:lineRule="exact"/>
        <w:rPr>
          <w:sz w:val="20"/>
          <w:szCs w:val="20"/>
          <w:color w:val="auto"/>
        </w:rPr>
      </w:pPr>
    </w:p>
    <w:p>
      <w:pPr>
        <w:ind w:left="40" w:right="759"/>
        <w:spacing w:after="0" w:line="308" w:lineRule="auto"/>
        <w:rPr>
          <w:sz w:val="20"/>
          <w:szCs w:val="20"/>
          <w:color w:val="auto"/>
        </w:rPr>
      </w:pPr>
      <w:r>
        <w:rPr>
          <w:rFonts w:ascii="Arial" w:cs="Arial" w:eastAsia="Arial" w:hAnsi="Arial"/>
          <w:sz w:val="17"/>
          <w:szCs w:val="17"/>
          <w:b w:val="1"/>
          <w:bCs w:val="1"/>
          <w:i w:val="1"/>
          <w:iCs w:val="1"/>
          <w:color w:val="auto"/>
        </w:rPr>
        <w:t xml:space="preserve">Other (Expense) Income, net. </w:t>
      </w:r>
      <w:r>
        <w:rPr>
          <w:rFonts w:ascii="Arial" w:cs="Arial" w:eastAsia="Arial" w:hAnsi="Arial"/>
          <w:sz w:val="17"/>
          <w:szCs w:val="17"/>
          <w:color w:val="auto"/>
        </w:rPr>
        <w:t>Other expense, net, for the three months ended January 30, 2021 was $37 thousand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other income, net of $0.1 million for the three months ended January 25, 2020.</w:t>
      </w:r>
    </w:p>
    <w:p>
      <w:pPr>
        <w:spacing w:after="0" w:line="146" w:lineRule="exact"/>
        <w:rPr>
          <w:sz w:val="20"/>
          <w:szCs w:val="20"/>
          <w:color w:val="auto"/>
        </w:rPr>
      </w:pPr>
    </w:p>
    <w:p>
      <w:pPr>
        <w:ind w:left="40" w:right="339"/>
        <w:spacing w:after="0" w:line="286" w:lineRule="auto"/>
        <w:rPr>
          <w:sz w:val="20"/>
          <w:szCs w:val="20"/>
          <w:color w:val="auto"/>
        </w:rPr>
      </w:pPr>
      <w:r>
        <w:rPr>
          <w:rFonts w:ascii="Arial" w:cs="Arial" w:eastAsia="Arial" w:hAnsi="Arial"/>
          <w:sz w:val="17"/>
          <w:szCs w:val="17"/>
          <w:b w:val="1"/>
          <w:bCs w:val="1"/>
          <w:i w:val="1"/>
          <w:iCs w:val="1"/>
          <w:color w:val="auto"/>
        </w:rPr>
        <w:t xml:space="preserve">Benefit from Income Taxes. </w:t>
      </w:r>
      <w:r>
        <w:rPr>
          <w:rFonts w:ascii="Arial" w:cs="Arial" w:eastAsia="Arial" w:hAnsi="Arial"/>
          <w:sz w:val="17"/>
          <w:szCs w:val="17"/>
          <w:color w:val="auto"/>
        </w:rPr>
        <w:t>Our effective income tax rate was 157.9% for the three months ended January 30, 2021,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(28.4)% for the three months ended January 25, 2020. The decrease in the effective income tax rate was primarily due to lower projected annual effective tax rate in the current fiscal year over last fiscal year.</w:t>
      </w:r>
    </w:p>
    <w:p>
      <w:pPr>
        <w:spacing w:after="0" w:line="165"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b w:val="1"/>
          <w:bCs w:val="1"/>
          <w:i w:val="1"/>
          <w:iCs w:val="1"/>
          <w:color w:val="auto"/>
        </w:rPr>
        <w:t xml:space="preserve">Equity Method Investment Loss, net of Tax. </w:t>
      </w:r>
      <w:r>
        <w:rPr>
          <w:rFonts w:ascii="Arial" w:cs="Arial" w:eastAsia="Arial" w:hAnsi="Arial"/>
          <w:sz w:val="17"/>
          <w:szCs w:val="17"/>
          <w:color w:val="auto"/>
        </w:rPr>
        <w:t>Equity method investment loss, net of tax for the three months ended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was $0.1 million compared to $1.2 million for the three months ended January 25, 2020.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Nine Months Ended January 30, 2021 Compared to Nine Months Ended January 25,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3"/>
              <w:spacing w:after="0" w:line="119" w:lineRule="exact"/>
              <w:rPr>
                <w:sz w:val="20"/>
                <w:szCs w:val="20"/>
                <w:color w:val="auto"/>
              </w:rPr>
            </w:pPr>
            <w:r>
              <w:rPr>
                <w:rFonts w:ascii="Arial" w:cs="Arial" w:eastAsia="Arial" w:hAnsi="Arial"/>
                <w:sz w:val="13"/>
                <w:szCs w:val="13"/>
                <w:b w:val="1"/>
                <w:bCs w:val="1"/>
                <w:color w:val="auto"/>
              </w:rPr>
              <w:t>January 30,</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258,897</w:t>
            </w:r>
          </w:p>
        </w:tc>
        <w:tc>
          <w:tcPr>
            <w:tcW w:w="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153,994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 loss, net of tax</w:t>
            </w:r>
          </w:p>
        </w:tc>
        <w:tc>
          <w:tcPr>
            <w:tcW w:w="1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nine months ended January 30, 2021 was $258.9 million, as compared to $232.1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January 25, 2020, representing an increase of $26.8 million, or 12%. The increase in revenue was due an increase in product revenue of $22.6 million and an increase in service revenue of $4.2 million. The increase in product deliveries was primarily due to an increase in TMS revenue and an increase in product deliveries of small UAS. Within small UAS, increases in product deliveries to customers within the U.S. Department of Defense were partially offset by decreases in product deliveries to international allied customers. The increase in service revenue was primarily due to an increase in customer-funded R&amp;D revenue, partially offset by a decrease in engineering services revenue.</w:t>
      </w:r>
    </w:p>
    <w:p>
      <w:pPr>
        <w:spacing w:after="0" w:line="166"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nine months ended January 30, 2021 was $154.0 million, as compared to $132.1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January 25, 2020, representing an increase of $21.9 million, or 17%. The increase in cost of sales was a result of an increase in product cost of sales of $19.8 million and an increase in service costs of sales of $2.1 million. The increase in product costs was primarily due to the increase in product deliveries and an unfavorable product mix. The increase in service costs of sales was primarily due to the increase in service revenue. As a percentage of revenue, cost of sales increased from 57% to 59%, primarily due to an unfavorable product mix.</w:t>
      </w:r>
    </w:p>
    <w:p>
      <w:pPr>
        <w:spacing w:after="0" w:line="178"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nine months ended January 30, 2021 was $104.9 million, as compared to $99.9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January 25, 2020. The increase in gross margin was primarily due to an increase in product margin of $2.8 million and an increase in service margin of $2.2 million. The increase in product margin was primarily due to an increase in product sales, partially offset by an unfavorable product mix. The increase in service margin was primarily due to an increase in service revenue. As a percentage of revenue, gross margin decreased from 43% to 41%, primarily due to an unfavorable product mix.</w:t>
      </w:r>
    </w:p>
    <w:p>
      <w:pPr>
        <w:spacing w:after="0" w:line="188" w:lineRule="exact"/>
        <w:rPr>
          <w:sz w:val="20"/>
          <w:szCs w:val="20"/>
          <w:color w:val="auto"/>
        </w:rPr>
      </w:pPr>
    </w:p>
    <w:p>
      <w:pPr>
        <w:ind w:left="40" w:right="139"/>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nine months ended January 30, 2021 was $42.6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of revenue, as compared to SG&amp;A expense of $43.1 million, or 19% of revenue, for the nine months ended January 25, 2020. The decrease in SG&amp;A expense was primarily due to lower advertising, business travel and trade show expenses primarily related to COVID-19 related restrictions, partially offset by an increase in employee related expenses and acquisition related expenses of $3.1 million related to the Arcturus Acquisition, ISG Acquisition and the pending acquisition of Telerob.</w:t>
      </w:r>
    </w:p>
    <w:p>
      <w:pPr>
        <w:spacing w:after="0" w:line="191"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 for the nine months ended January 30, 2021 was $36.7 million, or 14%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as compared to R&amp;D expense of $30.9 million, or 13% of revenue, for the nine months ended January 25, 2020. R&amp;D expense increased by $5.8 million, or 19%, for the nine months ended January 30, 2021, primarily due to an increase in development activities regarding enhanced capabilities for our products and development of new product lines.</w:t>
      </w:r>
    </w:p>
    <w:p>
      <w:pPr>
        <w:spacing w:after="0" w:line="157" w:lineRule="exact"/>
        <w:rPr>
          <w:sz w:val="20"/>
          <w:szCs w:val="20"/>
          <w:color w:val="auto"/>
        </w:rPr>
      </w:pPr>
    </w:p>
    <w:p>
      <w:pPr>
        <w:jc w:val="both"/>
        <w:ind w:left="40" w:right="539"/>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nine months ended January 30, 2021 was $0.4 million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income, net of $3.7 million for the nine months ended January 25, 2020. The decrease in interest income was primarily due to a decrease in the average interest rate earned on our investment portfolio.</w:t>
      </w:r>
    </w:p>
    <w:p>
      <w:pPr>
        <w:spacing w:after="0" w:line="165"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nine months ended January 30, 2021 was $0.1 million compared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$0.6 million for the nine months ended January 25, 2020. The decrease in other income, net was primarily due to a decrease in transition services performed on behalf of the buyer of the discontinued EES Business.</w:t>
      </w:r>
    </w:p>
    <w:p>
      <w:pPr>
        <w:spacing w:after="0" w:line="149"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effective income tax rate was 10.7% for the nine months ended January 30,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10.6% for the nine months ended January 25, 2020.</w:t>
      </w:r>
    </w:p>
    <w:p>
      <w:pPr>
        <w:spacing w:after="0" w:line="170"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nine months ended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2021 was a loss of $10.9 million compared to equity method investment loss, net of tax of $3.4 million for the nine months ended January 25, 2020. The increase was primarily due to a loss of $8.4 million for our proportion of HAPSMobile’s impairment of its investment in Loon LLC.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January 30, 2021, our funded backlog was approximately $103.9 million.</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In addition to our funded backlog, we also had unfunded backlog of $116.1 million as of January 30, 2021.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68"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99"/>
        <w:spacing w:after="0" w:line="26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for (i) a five-year $100 million revolving credit facility, which includes a $10 million sublimit for the issuance of standby and commercial letters of credit, and (ii) a five-year amortized $200 million term A loan (together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 Refer to Note 18—Subsequent Events to our unaudited consolidated financial statements in Part I, Item 1 of this Quarterly Report on Form 10-Q for further details.</w:t>
      </w:r>
    </w:p>
    <w:p>
      <w:pPr>
        <w:spacing w:after="0" w:line="185"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UAV and ISG and our pending acquisition of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82" w:lineRule="exact"/>
        <w:rPr>
          <w:sz w:val="20"/>
          <w:szCs w:val="20"/>
          <w:color w:val="auto"/>
        </w:rPr>
      </w:pPr>
    </w:p>
    <w:p>
      <w:pPr>
        <w:ind w:left="40" w:right="99"/>
        <w:spacing w:after="0" w:line="301"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marketing acceptance and adoption of our products and services and financing our pending acquisition of Telerob. Our future capital requirements, to a certain extent, are also subject to general conditions in or affecting the defense industry and are subject to general economic,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color w:val="auto"/>
        </w:rPr>
        <w:t>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92"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U.S. government and U.S. government agency securities.</w:t>
      </w:r>
    </w:p>
    <w:p>
      <w:pPr>
        <w:spacing w:after="0" w:line="188"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color w:val="auto"/>
        </w:rPr>
        <w:t>Although not material in value alone or in aggregate, during the nine months ended January 30, 2021, we made certain commitments outside of the ordinary course of business, including capital contributions of $2.1 million to a limited partnership fund. Under the terms of the limited partnership agreement, we have committed to make capital contributions totaling $10.0 million to the fund of which $2.9 million was remaining at January 30, 2021.</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The following table provides our cash flow data for the nine months ended January 30, 2021 and January 25,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61"/>
              <w:spacing w:after="0" w:line="119" w:lineRule="exact"/>
              <w:rPr>
                <w:sz w:val="20"/>
                <w:szCs w:val="20"/>
                <w:color w:val="auto"/>
              </w:rPr>
            </w:pPr>
            <w:r>
              <w:rPr>
                <w:rFonts w:ascii="Arial" w:cs="Arial" w:eastAsia="Arial" w:hAnsi="Arial"/>
                <w:sz w:val="13"/>
                <w:szCs w:val="13"/>
                <w:b w:val="1"/>
                <w:bCs w:val="1"/>
                <w:color w:val="auto"/>
              </w:rPr>
              <w:t>January 30,</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Pr>
          <w:p>
            <w:pPr>
              <w:spacing w:after="0"/>
              <w:rPr>
                <w:sz w:val="10"/>
                <w:szCs w:val="10"/>
                <w:color w:val="auto"/>
              </w:rPr>
            </w:pPr>
          </w:p>
        </w:tc>
      </w:tr>
      <w:tr>
        <w:trPr>
          <w:trHeight w:val="171"/>
        </w:trPr>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28"/>
        </w:trPr>
        <w:tc>
          <w:tcPr>
            <w:tcW w:w="4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65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78,962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(50,362)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nine months ended January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increased by $63.9 million to $79.0 million, as compared to net cash provided by operating activities of $15.1 million for the nine months ended January 25, 2020. The increase in net cash provided by operating activities was primarily due to an increase in cash as a result of changes in operating assets and liabilities of $64.3 million, largely related to collections of receivables, and losses from equity method investments of $7.5 million, partially offset by a decrease in net income $11.2 million.</w:t>
      </w:r>
    </w:p>
    <w:p>
      <w:pPr>
        <w:spacing w:after="0" w:line="192" w:lineRule="exact"/>
        <w:rPr>
          <w:sz w:val="20"/>
          <w:szCs w:val="20"/>
          <w:color w:val="auto"/>
        </w:rPr>
      </w:pPr>
    </w:p>
    <w:p>
      <w:pPr>
        <w:ind w:left="40" w:right="199"/>
        <w:spacing w:after="0" w:line="255" w:lineRule="auto"/>
        <w:rPr>
          <w:sz w:val="20"/>
          <w:szCs w:val="20"/>
          <w:color w:val="auto"/>
        </w:rPr>
      </w:pPr>
      <w:r>
        <w:rPr>
          <w:rFonts w:ascii="Arial" w:cs="Arial" w:eastAsia="Arial" w:hAnsi="Arial"/>
          <w:sz w:val="18"/>
          <w:szCs w:val="18"/>
          <w:b w:val="1"/>
          <w:bCs w:val="1"/>
          <w:i w:val="1"/>
          <w:iCs w:val="1"/>
          <w:color w:val="auto"/>
        </w:rPr>
        <w:t xml:space="preserve">Cash Used in Investing Activities. </w:t>
      </w:r>
      <w:r>
        <w:rPr>
          <w:rFonts w:ascii="Arial" w:cs="Arial" w:eastAsia="Arial" w:hAnsi="Arial"/>
          <w:sz w:val="18"/>
          <w:szCs w:val="18"/>
          <w:color w:val="auto"/>
        </w:rPr>
        <w:t>Net cash used in investing activities decreased by $44.2 million to $6.2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January 30, 2021, as compared to net cash used by investing activities of $50.4 million for the nine months ended January 25, 2020. The decrease in net cash used in investing activities was primarily due a decrease in cash used in business acquisition of $18.6 million and a decrease in purchases net of redemptions of available-for-sale investments of $22.6 million, partially offset by an increase in purchases net of redemptions of held-to-maturity investments of $4.4 million.</w:t>
      </w:r>
    </w:p>
    <w:p>
      <w:pPr>
        <w:spacing w:after="0" w:line="192" w:lineRule="exact"/>
        <w:rPr>
          <w:sz w:val="20"/>
          <w:szCs w:val="20"/>
          <w:color w:val="auto"/>
        </w:rPr>
      </w:pPr>
    </w:p>
    <w:p>
      <w:pPr>
        <w:ind w:left="40" w:right="219"/>
        <w:spacing w:after="0" w:line="275" w:lineRule="auto"/>
        <w:rPr>
          <w:sz w:val="20"/>
          <w:szCs w:val="20"/>
          <w:color w:val="auto"/>
        </w:rPr>
      </w:pPr>
      <w:r>
        <w:rPr>
          <w:rFonts w:ascii="Arial" w:cs="Arial" w:eastAsia="Arial" w:hAnsi="Arial"/>
          <w:sz w:val="17"/>
          <w:szCs w:val="17"/>
          <w:b w:val="1"/>
          <w:bCs w:val="1"/>
          <w:i w:val="1"/>
          <w:iCs w:val="1"/>
          <w:color w:val="auto"/>
        </w:rPr>
        <w:t xml:space="preserve">Cash Used in Financing Activities. </w:t>
      </w:r>
      <w:r>
        <w:rPr>
          <w:rFonts w:ascii="Arial" w:cs="Arial" w:eastAsia="Arial" w:hAnsi="Arial"/>
          <w:sz w:val="17"/>
          <w:szCs w:val="17"/>
          <w:color w:val="auto"/>
        </w:rPr>
        <w:t>Net cash used in financing activities increased by $2.4 million to $3.4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January 30, 2021, as compared to net cash used by financing activities of $0.9 million for the nine months ended January 25, 2020. The increase in net cash used by financing activities was primarily due to an increase in holdback and retention payments related to a prior business acquisition of $1.5 million and an increase in tax withholding payments related to net settlement of equity awards of $0.9 million.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439"/>
        <w:spacing w:after="0" w:line="263" w:lineRule="auto"/>
        <w:rPr>
          <w:sz w:val="20"/>
          <w:szCs w:val="20"/>
          <w:color w:val="auto"/>
        </w:rPr>
      </w:pPr>
      <w:r>
        <w:rPr>
          <w:rFonts w:ascii="Arial" w:cs="Arial" w:eastAsia="Arial" w:hAnsi="Arial"/>
          <w:sz w:val="18"/>
          <w:szCs w:val="18"/>
          <w:color w:val="auto"/>
        </w:rPr>
        <w:t>During the three months ended January 30, 2021, there were no material changes in our contractual obligations and commercial commitments from those disclosed in our Annual Report on Form 10-K for the fiscal year ended April 30,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As of January 30, 2021, we had no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in Item 303(a)(4) of Regulation S</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nine months ended January 30,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$200 million and bears a variable interest rate. If market interest rates increase significantly, interest due on the Credit Facilities would increase.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339"/>
        <w:spacing w:after="0" w:line="296"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On December 3, 2020, we entered into a share purchase agreement to purchase 100% of the issued and outstanding shares of Seller’s wholly-owned subsidiary, Telerob Gesellschaft für Fernhantierungstechnik mbH for €51 million inclusive of certain contingent consideration payments. In addition, we occasionally engage in forward contracts in foreign currencies to limit our exposure on non-U.S. dollar transactions.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419"/>
        <w:spacing w:after="0" w:line="342"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control objectives, and management is required to apply its judgment in evaluating the cost-benefit relationship of possible controls and procedures.</w:t>
      </w:r>
    </w:p>
    <w:p>
      <w:pPr>
        <w:spacing w:after="0" w:line="170"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30, 2021, the end of the period covered by this Quarterly Report on Form 10-Q.</w:t>
      </w:r>
    </w:p>
    <w:p>
      <w:pPr>
        <w:spacing w:after="0" w:line="18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January 30, 2021,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139"/>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January 30, 2021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On February 22, 2019, Webasto filed a lawsuit, which was subsequently amended on April 5, 2019, against us in Delaware Superior Court, arising from the sale of the EES Business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and is ongoing and, as of June 17, 2020, a trial has been set for July 14, 2021. At present, the parties continue to engage in discovery and started conducting depositions in October 2020. Depositions ceased in November 2020 due to restrictions resulting from the global COVID-19 pandemic and began again in February 2021. We expect to seek and obtain a trial continuance to account for pandemic-related delays, and therefore anticipate a new trial date in early 2022. We continue to mount a vigorous defense.</w:t>
      </w:r>
    </w:p>
    <w:p>
      <w:pPr>
        <w:spacing w:after="0" w:line="176"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color w:val="auto"/>
        </w:rPr>
        <w:t>On August 14, 2019,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w:t>
      </w:r>
    </w:p>
    <w:p>
      <w:pPr>
        <w:spacing w:after="0" w:line="187"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2020. Please refer to that section for disclosures regarding the risks and uncertainties related to our business.</w:t>
      </w:r>
    </w:p>
    <w:p>
      <w:pPr>
        <w:spacing w:after="0" w:line="184"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70"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In February 2021 we announced the acquisition of Arcturus UAV, Inc., which designs, engineers, tools, manufactures and provides unmanned UAS and related products and services, and ISG, which develops artificial intelligence-enabled computer vision, machine learning and perceptive autonomy technologies and provides related services. Additionally, in December 2020, we announced the planned acquisition of Telerob Gesellschaft für Fernhantierungstechnik mbH, a German company ("Telerob") that develops, manufactures, sells, and services remote-controlled ground robots and transport vehicles for civil and defense applications. We intend to consider additional acquisitions that could add to our customer base, technological capabilities or system offerings. Acquisitions involve numerous risks, any of which could harm our business, including the following:</w:t>
      </w:r>
    </w:p>
    <w:p>
      <w:pPr>
        <w:spacing w:after="0" w:line="178" w:lineRule="exact"/>
        <w:rPr>
          <w:sz w:val="20"/>
          <w:szCs w:val="20"/>
          <w:color w:val="auto"/>
        </w:rPr>
      </w:pPr>
    </w:p>
    <w:p>
      <w:pPr>
        <w:ind w:left="1040" w:right="139" w:hanging="321"/>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each target company and realizing the anticipated synergies of the combined businesses;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each target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2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25" w:lineRule="exact"/>
        <w:rPr>
          <w:rFonts w:ascii="Arial" w:cs="Arial" w:eastAsia="Arial" w:hAnsi="Arial"/>
          <w:sz w:val="18"/>
          <w:szCs w:val="18"/>
          <w:color w:val="auto"/>
        </w:rPr>
      </w:pPr>
    </w:p>
    <w:p>
      <w:pPr>
        <w:ind w:left="1040" w:right="339" w:hanging="321"/>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46" w:lineRule="exact"/>
        <w:rPr>
          <w:rFonts w:ascii="Arial" w:cs="Arial" w:eastAsia="Arial" w:hAnsi="Arial"/>
          <w:sz w:val="17"/>
          <w:szCs w:val="17"/>
          <w:color w:val="auto"/>
        </w:rPr>
      </w:pPr>
    </w:p>
    <w:p>
      <w:pPr>
        <w:ind w:left="1040" w:right="57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 (including the introduction of international operations upon the planned acquisition of Telerob);</w:t>
      </w:r>
    </w:p>
    <w:p>
      <w:pPr>
        <w:spacing w:after="0" w:line="170" w:lineRule="exact"/>
        <w:rPr>
          <w:rFonts w:ascii="Arial" w:cs="Arial" w:eastAsia="Arial" w:hAnsi="Arial"/>
          <w:sz w:val="18"/>
          <w:szCs w:val="18"/>
          <w:color w:val="auto"/>
        </w:rPr>
      </w:pPr>
    </w:p>
    <w:p>
      <w:pPr>
        <w:ind w:left="1040" w:right="45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170" w:lineRule="exact"/>
        <w:rPr>
          <w:rFonts w:ascii="Arial" w:cs="Arial" w:eastAsia="Arial" w:hAnsi="Arial"/>
          <w:sz w:val="18"/>
          <w:szCs w:val="18"/>
          <w:color w:val="auto"/>
        </w:rPr>
      </w:pPr>
    </w:p>
    <w:p>
      <w:pPr>
        <w:ind w:left="1040" w:right="45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regulatory compliance complexity and risk;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left="40" w:right="179"/>
        <w:spacing w:after="0" w:line="293" w:lineRule="auto"/>
        <w:rPr>
          <w:sz w:val="20"/>
          <w:szCs w:val="20"/>
          <w:color w:val="auto"/>
        </w:rPr>
      </w:pPr>
      <w:r>
        <w:rPr>
          <w:rFonts w:ascii="Arial" w:cs="Arial" w:eastAsia="Arial" w:hAnsi="Arial"/>
          <w:sz w:val="16"/>
          <w:szCs w:val="16"/>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such as the stock consideration issued in the Arcturus Closing, then our existing stockholders may be diluted, which could lower the market price of our common stock. If we finance acquisitions through debt, such as the Credit Facilities we entered into in connection with the consummation of the Arcturus Acquisition, then such future debt financing may contain covenants or other provisions that limit our operational or financial flexibility.</w:t>
      </w:r>
    </w:p>
    <w:p>
      <w:pPr>
        <w:spacing w:after="0" w:line="164"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87"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Borrowings under our credit facilities could adversely affect our financial condition and restrict our operating flexibility.</w:t>
      </w:r>
    </w:p>
    <w:p>
      <w:pPr>
        <w:spacing w:after="0" w:line="170" w:lineRule="exact"/>
        <w:rPr>
          <w:sz w:val="20"/>
          <w:szCs w:val="20"/>
          <w:color w:val="auto"/>
        </w:rPr>
      </w:pPr>
    </w:p>
    <w:p>
      <w:pPr>
        <w:ind w:left="40" w:right="259"/>
        <w:spacing w:after="0" w:line="27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the Credit Agreement, which, together with its associated Security and Pledge Agreement, sets forth the terms and conditions of the Term Loan Facility and Revolving Facility. Upon execution of the Credit Agreement, we drew down $200.0 million, the full principal amount of the Term Loan Facility, to partially finance the acquisition of Arcturus UAV.</w:t>
      </w:r>
    </w:p>
    <w:p>
      <w:pPr>
        <w:spacing w:after="0" w:line="171" w:lineRule="exact"/>
        <w:rPr>
          <w:sz w:val="20"/>
          <w:szCs w:val="20"/>
          <w:color w:val="auto"/>
        </w:rPr>
      </w:pPr>
    </w:p>
    <w:p>
      <w:pPr>
        <w:ind w:left="40" w:right="159"/>
        <w:spacing w:after="0" w:line="272" w:lineRule="auto"/>
        <w:rPr>
          <w:sz w:val="20"/>
          <w:szCs w:val="20"/>
          <w:color w:val="auto"/>
        </w:rPr>
      </w:pPr>
      <w:r>
        <w:rPr>
          <w:rFonts w:ascii="Arial" w:cs="Arial" w:eastAsia="Arial" w:hAnsi="Arial"/>
          <w:sz w:val="17"/>
          <w:szCs w:val="17"/>
          <w:color w:val="auto"/>
        </w:rPr>
        <w:t>The Term Loan Facility has a five-year term expiring in February 2026 and bears interest, at our option, either at a LIBOR rate or a base rate plus a fixed applicable margin dependent on our consolidated leverage ratio under the terms of the agreement. We are required to pay 5.0% of the outstanding obligations under the Term Loan Facility in each of the first four loan years, with the remaining 80.0% payable in the fifth loan year, consisting of three quarterly payments of 1.25% each, with the remaining outstanding principal amount of the Term Loan Facility due and payable on the maturity date. The Revolving Facility as a term of 5 years. As of February 19, 2021 we have only letters of credit issued pursuant to the Revolving Facility, totaling $3.6 million and replacing prior letters of credit outstanding.</w:t>
      </w:r>
    </w:p>
    <w:p>
      <w:pPr>
        <w:spacing w:after="0" w:line="177"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Arcturus UAV, are required to be guarantors of the Credit Facilities.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addition, our increased level of indebtedness may have important consequences to us, including:</w:t>
      </w:r>
    </w:p>
    <w:p>
      <w:pPr>
        <w:spacing w:after="0" w:line="225" w:lineRule="exact"/>
        <w:rPr>
          <w:sz w:val="20"/>
          <w:szCs w:val="20"/>
          <w:color w:val="auto"/>
        </w:rPr>
      </w:pPr>
    </w:p>
    <w:p>
      <w:pPr>
        <w:ind w:left="1040" w:hanging="32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225" w:lineRule="exact"/>
        <w:rPr>
          <w:rFonts w:ascii="Arial" w:cs="Arial" w:eastAsia="Arial" w:hAnsi="Arial"/>
          <w:sz w:val="18"/>
          <w:szCs w:val="18"/>
          <w:color w:val="auto"/>
        </w:rPr>
      </w:pPr>
    </w:p>
    <w:p>
      <w:pPr>
        <w:ind w:left="1040" w:right="119" w:hanging="321"/>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research and development efforts, execution of our business strategy, acquisitions and other general corporate purposes;</w:t>
      </w:r>
    </w:p>
    <w:p>
      <w:pPr>
        <w:spacing w:after="0" w:line="186"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the defense industry, and the markets in which we operate;</w:t>
      </w:r>
    </w:p>
    <w:p>
      <w:pPr>
        <w:spacing w:after="0" w:line="170" w:lineRule="exact"/>
        <w:rPr>
          <w:rFonts w:ascii="Arial" w:cs="Arial" w:eastAsia="Arial" w:hAnsi="Arial"/>
          <w:sz w:val="18"/>
          <w:szCs w:val="18"/>
          <w:color w:val="auto"/>
        </w:rPr>
      </w:pPr>
    </w:p>
    <w:p>
      <w:pPr>
        <w:ind w:left="1040" w:right="199" w:hanging="321"/>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subjecting us to maintenance of various financial covenants and adherence to certain other affirmative and negative covenants, requiring us to seek lender consent or waiver in relation to our financial performance or other potential strategic actions in the future;</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225" w:lineRule="exact"/>
        <w:rPr>
          <w:rFonts w:ascii="Arial" w:cs="Arial" w:eastAsia="Arial" w:hAnsi="Arial"/>
          <w:sz w:val="18"/>
          <w:szCs w:val="18"/>
          <w:color w:val="auto"/>
        </w:rPr>
      </w:pPr>
    </w:p>
    <w:p>
      <w:pPr>
        <w:ind w:left="1040" w:right="319" w:hanging="321"/>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r>
    </w:p>
    <w:p>
      <w:pPr>
        <w:spacing w:after="0" w:line="186" w:lineRule="exact"/>
        <w:rPr>
          <w:rFonts w:ascii="Arial" w:cs="Arial" w:eastAsia="Arial" w:hAnsi="Arial"/>
          <w:sz w:val="18"/>
          <w:szCs w:val="18"/>
          <w:color w:val="auto"/>
        </w:rPr>
      </w:pPr>
    </w:p>
    <w:p>
      <w:pPr>
        <w:ind w:left="1040" w:right="519" w:hanging="321"/>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it more difficult for us to borrow additional funds in the future to fund our growth, acquisitions, working capital, capital expenditures, and other purposes.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extent we incur additional indebtedness, the risks described above could increase.</w:t>
      </w:r>
    </w:p>
    <w:p>
      <w:pPr>
        <w:spacing w:after="0" w:line="225" w:lineRule="exact"/>
        <w:rPr>
          <w:sz w:val="20"/>
          <w:szCs w:val="20"/>
          <w:color w:val="auto"/>
        </w:rPr>
      </w:pPr>
    </w:p>
    <w:p>
      <w:pPr>
        <w:ind w:left="40" w:right="259"/>
        <w:spacing w:after="0" w:line="279" w:lineRule="auto"/>
        <w:rPr>
          <w:sz w:val="20"/>
          <w:szCs w:val="20"/>
          <w:color w:val="auto"/>
        </w:rPr>
      </w:pPr>
      <w:r>
        <w:rPr>
          <w:rFonts w:ascii="Arial" w:cs="Arial" w:eastAsia="Arial" w:hAnsi="Arial"/>
          <w:sz w:val="17"/>
          <w:szCs w:val="17"/>
          <w:color w:val="auto"/>
        </w:rPr>
        <w:t>If we do not have sufficient funds to repay the Term Loan Facility when it becomes due in 2026, it may be necessary to refinance our debt through additional debt or equity financings. If, at the time of any such refinancing, prevailing interest rates or other factors result in higher interest rates on such refinanced debt, such increases in our interest expense could have an adverse effect on our business, results of operations and financial condition.</w:t>
      </w:r>
    </w:p>
    <w:p>
      <w:pPr>
        <w:spacing w:after="0" w:line="171"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The Credit Agreement contain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76" w:lineRule="exact"/>
        <w:rPr>
          <w:sz w:val="20"/>
          <w:szCs w:val="20"/>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additional liens on our assets.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incurring additional indebtedness.</w:t>
      </w:r>
    </w:p>
    <w:p>
      <w:pPr>
        <w:spacing w:after="0" w:line="225" w:lineRule="exact"/>
        <w:rPr>
          <w:rFonts w:ascii="Arial" w:cs="Arial" w:eastAsia="Arial" w:hAnsi="Arial"/>
          <w:sz w:val="18"/>
          <w:szCs w:val="18"/>
          <w:color w:val="auto"/>
        </w:rPr>
      </w:pPr>
    </w:p>
    <w:p>
      <w:pPr>
        <w:ind w:left="720" w:right="739" w:hanging="325"/>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new investments, including acquisitions, mergers, investments in subsidiaries that are not guarantors of the debt, and joint ventures.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disposal of assets.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payments of cash dividends.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changing the nature of our business.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requirement to maintain a maximum consolidated leverage ratio and a minimum fixed charge coverage ratio.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changes to our accounting policies.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payments of any junior indebtedness.</w:t>
      </w:r>
    </w:p>
    <w:p>
      <w:pPr>
        <w:spacing w:after="0" w:line="200" w:lineRule="exact"/>
        <w:rPr>
          <w:sz w:val="20"/>
          <w:szCs w:val="20"/>
          <w:color w:val="auto"/>
        </w:rPr>
      </w:pPr>
    </w:p>
    <w:p>
      <w:pPr>
        <w:spacing w:after="0" w:line="241"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7"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Any of the foregoing limitations or events could materially and adversely affect our financial condition and results of operations.</w:t>
      </w:r>
    </w:p>
    <w:p>
      <w:pPr>
        <w:spacing w:after="0" w:line="170" w:lineRule="exact"/>
        <w:rPr>
          <w:sz w:val="20"/>
          <w:szCs w:val="20"/>
          <w:color w:val="auto"/>
        </w:rPr>
      </w:pPr>
    </w:p>
    <w:p>
      <w:pPr>
        <w:ind w:left="40" w:right="719"/>
        <w:spacing w:after="0" w:line="342" w:lineRule="auto"/>
        <w:rPr>
          <w:sz w:val="20"/>
          <w:szCs w:val="20"/>
          <w:color w:val="auto"/>
        </w:rPr>
      </w:pPr>
      <w:r>
        <w:rPr>
          <w:rFonts w:ascii="Arial" w:cs="Arial" w:eastAsia="Arial" w:hAnsi="Arial"/>
          <w:sz w:val="16"/>
          <w:szCs w:val="16"/>
          <w:b w:val="1"/>
          <w:bCs w:val="1"/>
          <w:i w:val="1"/>
          <w:iCs w:val="1"/>
          <w:color w:val="auto"/>
        </w:rPr>
        <w:t>We are presently classified as a small business Defense contractor and the loss of our small business status may adversely affect our ability to compete for small business set-aside US government contracts.</w:t>
      </w:r>
    </w:p>
    <w:p>
      <w:pPr>
        <w:spacing w:after="0" w:line="124" w:lineRule="exact"/>
        <w:rPr>
          <w:sz w:val="20"/>
          <w:szCs w:val="20"/>
          <w:color w:val="auto"/>
        </w:rPr>
      </w:pPr>
    </w:p>
    <w:p>
      <w:pPr>
        <w:ind w:left="40" w:right="119"/>
        <w:spacing w:after="0" w:line="267" w:lineRule="auto"/>
        <w:rPr>
          <w:sz w:val="20"/>
          <w:szCs w:val="20"/>
          <w:color w:val="auto"/>
        </w:rPr>
      </w:pPr>
      <w:r>
        <w:rPr>
          <w:rFonts w:ascii="Arial" w:cs="Arial" w:eastAsia="Arial" w:hAnsi="Arial"/>
          <w:sz w:val="17"/>
          <w:szCs w:val="17"/>
          <w:color w:val="auto"/>
        </w:rPr>
        <w:t>Because we have fewer than 1,500 employees,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set-aside contracts. While we do not presently derive a substantial portion of our business from contracts which are set-aside for small businesses, we are able to bid on small business set-aside contracts as well as contracts which are open to non-small business entities. As we continue to grow and add employees, including through acquisitions, or if NAICS codes are revised, we could cease to qualify as a small business, which could adversely impact our eligibility for special small business programs and limit our ability to partner with other business entities that seek to team with small business entities as may be required under a specific contract. If we out grow our small business classification, we would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 Additionally, if we are no longer eligible for the small business exemption from compliance with the full range of Cost Accounting Standards (“CAS”),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spacing w:after="0" w:line="190"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including government-imposed stay-at-home orders and quarantines, travel restrictions and other public health safety measures. Although our operations have mostly continued uninterrupted during the COVID-19 outbreak, adoption of work from home protocols, social distancing measures in the workplace and other responsive actions have required certain changes to our operations. If the current COVID-19 outbreak continues and results in additional periods of travel and other similar logistics restrictions, this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79" w:lineRule="exact"/>
        <w:rPr>
          <w:sz w:val="20"/>
          <w:szCs w:val="20"/>
          <w:color w:val="auto"/>
        </w:rPr>
      </w:pPr>
    </w:p>
    <w:p>
      <w:pPr>
        <w:ind w:left="40" w:right="119"/>
        <w:spacing w:after="0" w:line="286" w:lineRule="auto"/>
        <w:rPr>
          <w:sz w:val="20"/>
          <w:szCs w:val="20"/>
          <w:color w:val="auto"/>
        </w:rPr>
      </w:pPr>
      <w:r>
        <w:rPr>
          <w:rFonts w:ascii="Arial" w:cs="Arial" w:eastAsia="Arial" w:hAnsi="Arial"/>
          <w:sz w:val="17"/>
          <w:szCs w:val="17"/>
          <w:color w:val="auto"/>
        </w:rPr>
        <w:t>Global health concerns, such as coronavirus,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condition and results of operations and those of our third party partners will depend on future developments as to the geographic presence of COVID-19 and government and healthcare responses to such spread including the duration of the outbreak, new information that may emerge concerning the severity of the coronavirus and the actions to contain the coronavirus or treat its impact, among others, which remain highly uncertain. We cannot presently predict the scope and severity of any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and while such delays have not yet had a significant impact on our business, there can be no assurances that any such delays would not have a material adverse impact on our business and results of operations in the future. 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80"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Because we generate a significant portion of our total sales and our small UAS and tactical missile systems sales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as a result of the 2020 presidential election, as well as future election cycles.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68"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Additionally, there is a possibility that political decisions following the 2020 presidential and congressional campaigns, or an impasse on policy issues, could impact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including in response to the COVID-19 pandemic, and the number and intensity of military conflicts or other factors.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79"/>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nine months ended January 30, 2021. As of January 30, 2021, approximately $21.2 million remained authorized for future repurchases under the Share Repurchase Program.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80" w:type="dxa"/>
            <w:vAlign w:val="bottom"/>
            <w:gridSpan w:val="13"/>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tcBorders>
              <w:top w:val="single" w:sz="8" w:color="auto"/>
            </w:tcBorders>
            <w:gridSpan w:val="17"/>
          </w:tcPr>
          <w:p>
            <w:pPr>
              <w:spacing w:after="0"/>
              <w:rPr>
                <w:rFonts w:ascii="Arial" w:cs="Arial" w:eastAsia="Arial" w:hAnsi="Arial"/>
                <w:sz w:val="18"/>
                <w:szCs w:val="18"/>
                <w:color w:val="0000EE"/>
              </w:rPr>
            </w:pPr>
            <w:hyperlink r:id="rId58">
              <w:r>
                <w:rPr>
                  <w:rFonts w:ascii="Arial" w:cs="Arial" w:eastAsia="Arial" w:hAnsi="Arial"/>
                  <w:sz w:val="18"/>
                  <w:szCs w:val="18"/>
                  <w:u w:val="single" w:color="auto"/>
                  <w:color w:val="0000EE"/>
                </w:rPr>
                <w:t>Amended and Restated Certificate of Incorporation of AeroVironment,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42"/>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3.2(2)</w:t>
            </w:r>
          </w:p>
        </w:tc>
        <w:tc>
          <w:tcPr>
            <w:tcW w:w="180" w:type="dxa"/>
            <w:vAlign w:val="bottom"/>
          </w:tcPr>
          <w:p>
            <w:pPr>
              <w:spacing w:after="0"/>
              <w:rPr>
                <w:sz w:val="21"/>
                <w:szCs w:val="21"/>
                <w:color w:val="auto"/>
              </w:rPr>
            </w:pPr>
          </w:p>
        </w:tc>
        <w:tc>
          <w:tcPr>
            <w:tcW w:w="7940" w:type="dxa"/>
            <w:vAlign w:val="bottom"/>
            <w:gridSpan w:val="18"/>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Third Amended and Restated Bylaws of AeroVironment, Inc.</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w:t>
            </w:r>
          </w:p>
        </w:tc>
        <w:tc>
          <w:tcPr>
            <w:tcW w:w="180" w:type="dxa"/>
            <w:vAlign w:val="bottom"/>
          </w:tcPr>
          <w:p>
            <w:pPr>
              <w:spacing w:after="0"/>
              <w:rPr>
                <w:sz w:val="17"/>
                <w:szCs w:val="17"/>
                <w:color w:val="auto"/>
              </w:rPr>
            </w:pPr>
          </w:p>
        </w:tc>
        <w:tc>
          <w:tcPr>
            <w:tcW w:w="7880" w:type="dxa"/>
            <w:vAlign w:val="bottom"/>
            <w:tcBorders>
              <w:bottom w:val="single" w:sz="8" w:color="0000EE"/>
            </w:tcBorders>
            <w:gridSpan w:val="17"/>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Stock Purchase Agreement, dated January 11, 2021, by and among AeroVironment, Inc., Arcturus UAV, Inc.,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and the shareholders and other equity interest holders of Arcturus UAV, Inc.</w:t>
              </w:r>
            </w:hyperlink>
          </w:p>
        </w:tc>
        <w:tc>
          <w:tcPr>
            <w:tcW w:w="24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19"/>
                <w:szCs w:val="19"/>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Loan commitment letter, dated January 11, 2021, by and among AeroVironment, Inc., Bank of America,</w:t>
              </w:r>
            </w:hyperlink>
          </w:p>
        </w:tc>
        <w:tc>
          <w:tcPr>
            <w:tcW w:w="4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8"/>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N.A., BofA Securities, Inc., JPMorgan Chase Bank, N.A., and U.S. Bank National Association.</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8"/>
              </w:rPr>
              <w:t>10.3†</w:t>
            </w:r>
          </w:p>
        </w:tc>
        <w:tc>
          <w:tcPr>
            <w:tcW w:w="180" w:type="dxa"/>
            <w:vAlign w:val="bottom"/>
          </w:tcPr>
          <w:p>
            <w:pPr>
              <w:spacing w:after="0"/>
              <w:rPr>
                <w:sz w:val="17"/>
                <w:szCs w:val="17"/>
                <w:color w:val="auto"/>
              </w:rPr>
            </w:pPr>
          </w:p>
        </w:tc>
        <w:tc>
          <w:tcPr>
            <w:tcW w:w="7600" w:type="dxa"/>
            <w:vAlign w:val="bottom"/>
            <w:tcBorders>
              <w:bottom w:val="single" w:sz="8" w:color="0000EE"/>
            </w:tcBorders>
            <w:gridSpan w:val="14"/>
          </w:tcPr>
          <w:p>
            <w:pPr>
              <w:spacing w:after="0" w:line="202"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Credit Agreement, dated February 19, 2021, by and among AeroVironment, Inc., certain lenders, letter of</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credit issuers, Bank of America, N.A., as the administrative agent and the swingline lender, and BofA</w:t>
              </w:r>
            </w:hyperlink>
          </w:p>
        </w:tc>
        <w:tc>
          <w:tcPr>
            <w:tcW w:w="6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Securities, Inc., JPMorgan Chase Bank, N.A., and U.S. Bank National Association, as joint lead arrangers</w:t>
              </w:r>
            </w:hyperlink>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10.4ǂ</w:t>
            </w:r>
          </w:p>
        </w:tc>
        <w:tc>
          <w:tcPr>
            <w:tcW w:w="180" w:type="dxa"/>
            <w:vAlign w:val="bottom"/>
          </w:tcPr>
          <w:p>
            <w:pPr>
              <w:spacing w:after="0"/>
              <w:rPr>
                <w:sz w:val="19"/>
                <w:szCs w:val="19"/>
                <w:color w:val="auto"/>
              </w:rPr>
            </w:pPr>
          </w:p>
        </w:tc>
        <w:tc>
          <w:tcPr>
            <w:tcW w:w="16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and joint bookrunners.</w:t>
              </w:r>
            </w:hyperlink>
          </w:p>
        </w:tc>
        <w:tc>
          <w:tcPr>
            <w:tcW w:w="630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18"/>
          </w:tcPr>
          <w:p>
            <w:pPr>
              <w:spacing w:after="0"/>
              <w:rPr>
                <w:rFonts w:ascii="Arial" w:cs="Arial" w:eastAsia="Arial" w:hAnsi="Arial"/>
                <w:sz w:val="18"/>
                <w:szCs w:val="18"/>
                <w:color w:val="0000EE"/>
                <w:w w:val="97"/>
              </w:rPr>
            </w:pPr>
            <w:hyperlink w:anchor="page397">
              <w:r>
                <w:rPr>
                  <w:rFonts w:ascii="Arial" w:cs="Arial" w:eastAsia="Arial" w:hAnsi="Arial"/>
                  <w:sz w:val="18"/>
                  <w:szCs w:val="18"/>
                  <w:color w:val="0000EE"/>
                  <w:w w:val="97"/>
                </w:rPr>
                <w:t>Security and Pledge Agreement, dated February 19, 2021, by and among AeroVironment, Inc., certain</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10.5ǂ</w:t>
            </w:r>
          </w:p>
        </w:tc>
        <w:tc>
          <w:tcPr>
            <w:tcW w:w="180" w:type="dxa"/>
            <w:vAlign w:val="bottom"/>
          </w:tcPr>
          <w:p>
            <w:pPr>
              <w:spacing w:after="0"/>
              <w:rPr>
                <w:sz w:val="19"/>
                <w:szCs w:val="19"/>
                <w:color w:val="auto"/>
              </w:rPr>
            </w:pPr>
          </w:p>
        </w:tc>
        <w:tc>
          <w:tcPr>
            <w:tcW w:w="4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397">
              <w:r>
                <w:rPr>
                  <w:rFonts w:ascii="Arial" w:cs="Arial" w:eastAsia="Arial" w:hAnsi="Arial"/>
                  <w:sz w:val="18"/>
                  <w:szCs w:val="18"/>
                  <w:color w:val="0000EE"/>
                  <w:w w:val="91"/>
                </w:rPr>
                <w:t>obligors, and Bank of America, N.A., as the administrative agent.</w:t>
              </w:r>
            </w:hyperlink>
          </w:p>
        </w:tc>
        <w:tc>
          <w:tcPr>
            <w:tcW w:w="2620" w:type="dxa"/>
            <w:vAlign w:val="bottom"/>
            <w:tcBorders>
              <w:top w:val="single" w:sz="8" w:color="0000EE"/>
            </w:tcBorders>
            <w:gridSpan w:val="5"/>
          </w:tcPr>
          <w:p>
            <w:pPr>
              <w:spacing w:after="0"/>
              <w:rPr>
                <w:sz w:val="19"/>
                <w:szCs w:val="19"/>
                <w:color w:val="auto"/>
              </w:rPr>
            </w:pPr>
          </w:p>
        </w:tc>
        <w:tc>
          <w:tcPr>
            <w:tcW w:w="5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28">
              <w:r>
                <w:rPr>
                  <w:rFonts w:ascii="Arial" w:cs="Arial" w:eastAsia="Arial" w:hAnsi="Arial"/>
                  <w:sz w:val="18"/>
                  <w:szCs w:val="18"/>
                  <w:color w:val="0000EE"/>
                  <w:w w:val="90"/>
                </w:rPr>
                <w:t>Amendment No. 14 to the Design and Development Agreement by and between AeroVironment, Inc. and</w:t>
              </w:r>
            </w:hyperlink>
          </w:p>
        </w:tc>
        <w:tc>
          <w:tcPr>
            <w:tcW w:w="3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6"/>
              </w:rPr>
              <w:t>10.6ǂ†</w:t>
            </w:r>
          </w:p>
        </w:tc>
        <w:tc>
          <w:tcPr>
            <w:tcW w:w="180" w:type="dxa"/>
            <w:vAlign w:val="bottom"/>
          </w:tcPr>
          <w:p>
            <w:pPr>
              <w:spacing w:after="0"/>
              <w:rPr>
                <w:sz w:val="19"/>
                <w:szCs w:val="19"/>
                <w:color w:val="auto"/>
              </w:rPr>
            </w:pPr>
          </w:p>
        </w:tc>
        <w:tc>
          <w:tcPr>
            <w:tcW w:w="34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28">
              <w:r>
                <w:rPr>
                  <w:rFonts w:ascii="Arial" w:cs="Arial" w:eastAsia="Arial" w:hAnsi="Arial"/>
                  <w:sz w:val="18"/>
                  <w:szCs w:val="18"/>
                  <w:color w:val="0000EE"/>
                  <w:w w:val="90"/>
                </w:rPr>
                <w:t>HAPSMobile Inc., dated as of January 11, 2021</w:t>
              </w:r>
            </w:hyperlink>
          </w:p>
        </w:tc>
        <w:tc>
          <w:tcPr>
            <w:tcW w:w="44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18"/>
          </w:tcPr>
          <w:p>
            <w:pPr>
              <w:spacing w:after="0"/>
              <w:rPr>
                <w:rFonts w:ascii="Arial" w:cs="Arial" w:eastAsia="Arial" w:hAnsi="Arial"/>
                <w:sz w:val="18"/>
                <w:szCs w:val="18"/>
                <w:color w:val="0000EE"/>
                <w:w w:val="95"/>
              </w:rPr>
            </w:pPr>
            <w:hyperlink w:anchor="page476">
              <w:r>
                <w:rPr>
                  <w:rFonts w:ascii="Arial" w:cs="Arial" w:eastAsia="Arial" w:hAnsi="Arial"/>
                  <w:sz w:val="18"/>
                  <w:szCs w:val="18"/>
                  <w:color w:val="0000EE"/>
                  <w:w w:val="95"/>
                </w:rPr>
                <w:t>Share Purchase Agreement, dated December 3, 2020, by and between AeroVironment, Inc., Unmanned</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40" w:type="dxa"/>
            <w:vAlign w:val="bottom"/>
            <w:tcBorders>
              <w:top w:val="single" w:sz="8" w:color="0000EE"/>
            </w:tcBorders>
            <w:gridSpan w:val="12"/>
          </w:tcPr>
          <w:p>
            <w:pPr>
              <w:spacing w:after="0"/>
              <w:rPr>
                <w:rFonts w:ascii="Arial" w:cs="Arial" w:eastAsia="Arial" w:hAnsi="Arial"/>
                <w:sz w:val="18"/>
                <w:szCs w:val="18"/>
                <w:u w:val="single" w:color="auto"/>
                <w:color w:val="0000EE"/>
                <w:w w:val="91"/>
              </w:rPr>
            </w:pPr>
            <w:hyperlink w:anchor="page476">
              <w:r>
                <w:rPr>
                  <w:rFonts w:ascii="Arial" w:cs="Arial" w:eastAsia="Arial" w:hAnsi="Arial"/>
                  <w:sz w:val="18"/>
                  <w:szCs w:val="18"/>
                  <w:u w:val="single" w:color="auto"/>
                  <w:color w:val="0000EE"/>
                  <w:w w:val="91"/>
                </w:rPr>
                <w:t>Systems Investments GmbH, and each of the unit holders of Unmanned Systems Investments GmbH.</w:t>
              </w:r>
            </w:hyperlink>
          </w:p>
        </w:tc>
        <w:tc>
          <w:tcPr>
            <w:tcW w:w="5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7"/>
                <w:szCs w:val="17"/>
                <w:color w:val="auto"/>
              </w:rPr>
            </w:pPr>
          </w:p>
        </w:tc>
        <w:tc>
          <w:tcPr>
            <w:tcW w:w="7940" w:type="dxa"/>
            <w:vAlign w:val="bottom"/>
            <w:gridSpan w:val="18"/>
          </w:tcPr>
          <w:p>
            <w:pPr>
              <w:spacing w:after="0" w:line="202" w:lineRule="exact"/>
              <w:rPr>
                <w:rFonts w:ascii="Arial" w:cs="Arial" w:eastAsia="Arial" w:hAnsi="Arial"/>
                <w:sz w:val="18"/>
                <w:szCs w:val="18"/>
                <w:color w:val="0000EE"/>
                <w:w w:val="96"/>
              </w:rPr>
            </w:pPr>
            <w:hyperlink w:anchor="page554">
              <w:r>
                <w:rPr>
                  <w:rFonts w:ascii="Arial" w:cs="Arial" w:eastAsia="Arial" w:hAnsi="Arial"/>
                  <w:sz w:val="18"/>
                  <w:szCs w:val="18"/>
                  <w:color w:val="0000EE"/>
                  <w:w w:val="96"/>
                </w:rPr>
                <w:t>Certification of Chief Executive Officer pursuant to Rule 13a-14(a) and Rule 15d-14(a) of the Securities</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20" w:type="dxa"/>
            <w:vAlign w:val="bottom"/>
            <w:tcBorders>
              <w:top w:val="single" w:sz="8" w:color="0000EE"/>
            </w:tcBorders>
            <w:gridSpan w:val="13"/>
          </w:tcPr>
          <w:p>
            <w:pPr>
              <w:spacing w:after="0"/>
              <w:rPr>
                <w:rFonts w:ascii="Arial" w:cs="Arial" w:eastAsia="Arial" w:hAnsi="Arial"/>
                <w:sz w:val="18"/>
                <w:szCs w:val="18"/>
                <w:color w:val="0000EE"/>
              </w:rPr>
            </w:pPr>
            <w:hyperlink w:anchor="page554">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4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9"/>
                <w:szCs w:val="19"/>
                <w:color w:val="auto"/>
              </w:rPr>
            </w:pPr>
          </w:p>
        </w:tc>
        <w:tc>
          <w:tcPr>
            <w:tcW w:w="73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55">
              <w:r>
                <w:rPr>
                  <w:rFonts w:ascii="Arial" w:cs="Arial" w:eastAsia="Arial" w:hAnsi="Arial"/>
                  <w:sz w:val="18"/>
                  <w:szCs w:val="18"/>
                  <w:color w:val="0000EE"/>
                  <w:w w:val="92"/>
                </w:rPr>
                <w:t>Certification of Interim Chief Financial Officer pursuant to Rule 13a-14(a) and Rule 15d-14(a) of the</w:t>
              </w:r>
            </w:hyperlink>
          </w:p>
        </w:tc>
        <w:tc>
          <w:tcPr>
            <w:tcW w:w="6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18"/>
          </w:tcPr>
          <w:p>
            <w:pPr>
              <w:spacing w:after="0"/>
              <w:rPr>
                <w:rFonts w:ascii="Arial" w:cs="Arial" w:eastAsia="Arial" w:hAnsi="Arial"/>
                <w:sz w:val="18"/>
                <w:szCs w:val="18"/>
                <w:color w:val="0000EE"/>
              </w:rPr>
            </w:pPr>
            <w:hyperlink w:anchor="page555">
              <w:r>
                <w:rPr>
                  <w:rFonts w:ascii="Arial" w:cs="Arial" w:eastAsia="Arial" w:hAnsi="Arial"/>
                  <w:sz w:val="18"/>
                  <w:szCs w:val="18"/>
                  <w:color w:val="0000EE"/>
                </w:rPr>
                <w:t>Securities Exchange Act of 1934, as amended</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w:t>
            </w:r>
          </w:p>
        </w:tc>
        <w:tc>
          <w:tcPr>
            <w:tcW w:w="180" w:type="dxa"/>
            <w:vAlign w:val="bottom"/>
          </w:tcPr>
          <w:p>
            <w:pPr>
              <w:spacing w:after="0"/>
              <w:rPr>
                <w:sz w:val="19"/>
                <w:szCs w:val="19"/>
                <w:color w:val="auto"/>
              </w:rPr>
            </w:pPr>
          </w:p>
        </w:tc>
        <w:tc>
          <w:tcPr>
            <w:tcW w:w="7940" w:type="dxa"/>
            <w:vAlign w:val="bottom"/>
            <w:gridSpan w:val="18"/>
          </w:tcPr>
          <w:p>
            <w:pPr>
              <w:spacing w:after="0"/>
              <w:rPr>
                <w:rFonts w:ascii="Arial" w:cs="Arial" w:eastAsia="Arial" w:hAnsi="Arial"/>
                <w:sz w:val="18"/>
                <w:szCs w:val="18"/>
                <w:color w:val="0000EE"/>
              </w:rPr>
            </w:pPr>
            <w:hyperlink w:anchor="page556">
              <w:r>
                <w:rPr>
                  <w:rFonts w:ascii="Arial" w:cs="Arial" w:eastAsia="Arial" w:hAnsi="Arial"/>
                  <w:sz w:val="18"/>
                  <w:szCs w:val="18"/>
                  <w:color w:val="0000EE"/>
                </w:rPr>
                <w:t>Certification of Chief Executive Officer and Interim Chief Financial Officer pursuant to 18 U.S.C.</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8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556">
              <w:r>
                <w:rPr>
                  <w:rFonts w:ascii="Arial" w:cs="Arial" w:eastAsia="Arial" w:hAnsi="Arial"/>
                  <w:sz w:val="18"/>
                  <w:szCs w:val="18"/>
                  <w:u w:val="single" w:color="auto"/>
                  <w:color w:val="0000EE"/>
                </w:rPr>
                <w:t>Section 1350, as adopted pursuant to Section 906 of the Sarbanes-Oxley Act of 2002</w:t>
              </w:r>
              <w:r>
                <w:rPr>
                  <w:rFonts w:ascii="Arial" w:cs="Arial" w:eastAsia="Arial" w:hAnsi="Arial"/>
                  <w:sz w:val="18"/>
                  <w:szCs w:val="18"/>
                  <w:u w:val="single" w:color="auto"/>
                  <w:color w:val="000000"/>
                </w:rPr>
                <w:t>.</w:t>
              </w:r>
            </w:hyperlink>
          </w:p>
        </w:tc>
        <w:tc>
          <w:tcPr>
            <w:tcW w:w="8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Files because 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1"/>
                <w:szCs w:val="21"/>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20" w:hanging="713"/>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2" w:lineRule="exact"/>
        <w:rPr>
          <w:rFonts w:ascii="Arial" w:cs="Arial" w:eastAsia="Arial" w:hAnsi="Arial"/>
          <w:sz w:val="18"/>
          <w:szCs w:val="18"/>
          <w:color w:val="auto"/>
        </w:rPr>
      </w:pPr>
    </w:p>
    <w:p>
      <w:pPr>
        <w:ind w:left="360" w:right="79" w:hanging="316"/>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right="179" w:hanging="316"/>
        <w:spacing w:after="0" w:line="308" w:lineRule="auto"/>
        <w:tabs>
          <w:tab w:leader="none" w:pos="3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Items 601(b)(2) and/or 601(b)(10) of Regulation S-K, certain immaterial provisions of the agreement that would likely cause competitive harm to the Company if publicly disclosed have been redacted or omitted.</w:t>
      </w:r>
    </w:p>
    <w:p>
      <w:pPr>
        <w:spacing w:after="0" w:line="146" w:lineRule="exact"/>
        <w:rPr>
          <w:sz w:val="20"/>
          <w:szCs w:val="20"/>
          <w:color w:val="auto"/>
        </w:rPr>
      </w:pPr>
    </w:p>
    <w:p>
      <w:pPr>
        <w:ind w:left="360" w:hanging="316"/>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Schedules (or similar attachments) to this Exhibit have been omitted in accordance with Items 601(a)(5) and/or 601(b)</w:t>
      </w:r>
    </w:p>
    <w:p>
      <w:pPr>
        <w:spacing w:after="0" w:line="46" w:lineRule="exact"/>
        <w:rPr>
          <w:rFonts w:ascii="Arial" w:cs="Arial" w:eastAsia="Arial" w:hAnsi="Arial"/>
          <w:sz w:val="16"/>
          <w:szCs w:val="16"/>
          <w:color w:val="auto"/>
        </w:rPr>
      </w:pPr>
    </w:p>
    <w:p>
      <w:pPr>
        <w:ind w:left="360" w:right="799"/>
        <w:spacing w:after="0" w:line="260" w:lineRule="auto"/>
        <w:rPr>
          <w:rFonts w:ascii="Arial" w:cs="Arial" w:eastAsia="Arial" w:hAnsi="Arial"/>
          <w:sz w:val="16"/>
          <w:szCs w:val="16"/>
          <w:color w:val="auto"/>
        </w:rPr>
      </w:pPr>
      <w:r>
        <w:rPr>
          <w:rFonts w:ascii="Arial" w:cs="Arial" w:eastAsia="Arial" w:hAnsi="Arial"/>
          <w:sz w:val="18"/>
          <w:szCs w:val="18"/>
          <w:color w:val="auto"/>
        </w:rPr>
        <w:t>(2) of Regulation S-K. The Registrant agrees to furnish supplementally a copy of all omitted schedules to the Securities and Exchange Commission on a confidential basis upon request.</w:t>
      </w:r>
    </w:p>
    <w:p>
      <w:pPr>
        <w:spacing w:after="0" w:line="185" w:lineRule="exact"/>
        <w:rPr>
          <w:sz w:val="20"/>
          <w:szCs w:val="20"/>
          <w:color w:val="auto"/>
        </w:rPr>
      </w:pPr>
    </w:p>
    <w:p>
      <w:pPr>
        <w:ind w:left="360" w:right="79" w:hanging="316"/>
        <w:spacing w:after="0" w:line="257"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March 9, 2021</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900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representations and warranties contained in this agreement were made for the purposes of allocating contractual risk between the parties and not as a means of establishing facts and are qualified by information in disclosure schedules that the parties exchanged in connection with the signing of this agreement. Moreover, the representations and warranties were made only as of the date of execution of this agreement and information concerning the subject matter of the representations and warranties may change after the date of this agreement. Only parties to this agreement have a right to enforce the agreement. Accordingly, third parties, including securityholders and prospective investors, should not rely on the representations and warranties in this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AEROVIRONMENT,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ARCTURUS UAV,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799465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4"/>
                <w:szCs w:val="24"/>
                <w:color w:val="auto"/>
              </w:rPr>
            </w:pPr>
          </w:p>
        </w:tc>
        <w:tc>
          <w:tcPr>
            <w:tcW w:w="8340" w:type="dxa"/>
            <w:vAlign w:val="bottom"/>
          </w:tcPr>
          <w:p>
            <w:pPr>
              <w:ind w:left="2860"/>
              <w:spacing w:after="0"/>
              <w:rPr>
                <w:sz w:val="20"/>
                <w:szCs w:val="20"/>
                <w:color w:val="auto"/>
              </w:rPr>
            </w:pPr>
            <w:r>
              <w:rPr>
                <w:rFonts w:ascii="Arial" w:cs="Arial" w:eastAsia="Arial" w:hAnsi="Arial"/>
                <w:sz w:val="22"/>
                <w:szCs w:val="22"/>
                <w:b w:val="1"/>
                <w:bCs w:val="1"/>
                <w:color w:val="auto"/>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auto"/>
                <w:w w:val="98"/>
              </w:rPr>
              <w:t>Page</w:t>
            </w:r>
          </w:p>
        </w:tc>
        <w:tc>
          <w:tcPr>
            <w:tcW w:w="0" w:type="dxa"/>
            <w:vAlign w:val="bottom"/>
          </w:tcPr>
          <w:p>
            <w:pPr>
              <w:spacing w:after="0"/>
              <w:rPr>
                <w:sz w:val="1"/>
                <w:szCs w:val="1"/>
                <w:color w:val="auto"/>
              </w:rPr>
            </w:pPr>
          </w:p>
        </w:tc>
      </w:tr>
      <w:tr>
        <w:trPr>
          <w:trHeight w:val="44"/>
        </w:trPr>
        <w:tc>
          <w:tcPr>
            <w:tcW w:w="9280" w:type="dxa"/>
            <w:vAlign w:val="bottom"/>
            <w:gridSpan w:val="2"/>
            <w:vMerge w:val="restart"/>
          </w:tcPr>
          <w:p>
            <w:pPr>
              <w:ind w:left="100"/>
              <w:spacing w:after="0"/>
              <w:rPr>
                <w:sz w:val="20"/>
                <w:szCs w:val="20"/>
                <w:color w:val="auto"/>
              </w:rPr>
            </w:pPr>
            <w:r>
              <w:rPr>
                <w:rFonts w:ascii="Arial" w:cs="Arial" w:eastAsia="Arial" w:hAnsi="Arial"/>
                <w:sz w:val="22"/>
                <w:szCs w:val="22"/>
                <w:color w:val="auto"/>
              </w:rPr>
              <w:t>ARTICLE I PURCHASE AND SALE</w:t>
            </w: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9280" w:type="dxa"/>
            <w:vAlign w:val="bottom"/>
            <w:gridSpan w:val="2"/>
            <w:vMerge w:val="continue"/>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6"/>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1.1</w:t>
            </w:r>
          </w:p>
        </w:tc>
        <w:tc>
          <w:tcPr>
            <w:tcW w:w="8340" w:type="dxa"/>
            <w:vAlign w:val="bottom"/>
          </w:tcPr>
          <w:p>
            <w:pPr>
              <w:ind w:left="200"/>
              <w:spacing w:after="0"/>
              <w:rPr>
                <w:sz w:val="20"/>
                <w:szCs w:val="20"/>
                <w:color w:val="auto"/>
              </w:rPr>
            </w:pPr>
            <w:r>
              <w:rPr>
                <w:rFonts w:ascii="Arial" w:cs="Arial" w:eastAsia="Arial" w:hAnsi="Arial"/>
                <w:sz w:val="22"/>
                <w:szCs w:val="22"/>
                <w:color w:val="auto"/>
              </w:rPr>
              <w:t>Purchase and Sale of the Shares</w:t>
            </w:r>
          </w:p>
        </w:tc>
        <w:tc>
          <w:tcPr>
            <w:tcW w:w="6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1.2</w:t>
            </w:r>
          </w:p>
        </w:tc>
        <w:tc>
          <w:tcPr>
            <w:tcW w:w="8340" w:type="dxa"/>
            <w:vAlign w:val="bottom"/>
          </w:tcPr>
          <w:p>
            <w:pPr>
              <w:ind w:left="200"/>
              <w:spacing w:after="0"/>
              <w:rPr>
                <w:sz w:val="20"/>
                <w:szCs w:val="20"/>
                <w:color w:val="auto"/>
              </w:rPr>
            </w:pPr>
            <w:r>
              <w:rPr>
                <w:rFonts w:ascii="Arial" w:cs="Arial" w:eastAsia="Arial" w:hAnsi="Arial"/>
                <w:sz w:val="22"/>
                <w:szCs w:val="22"/>
                <w:color w:val="auto"/>
              </w:rPr>
              <w:t>Purchase Price</w:t>
            </w:r>
          </w:p>
        </w:tc>
        <w:tc>
          <w:tcPr>
            <w:tcW w:w="64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1.3</w:t>
            </w:r>
          </w:p>
        </w:tc>
        <w:tc>
          <w:tcPr>
            <w:tcW w:w="8340" w:type="dxa"/>
            <w:vAlign w:val="bottom"/>
          </w:tcPr>
          <w:p>
            <w:pPr>
              <w:ind w:left="200"/>
              <w:spacing w:after="0"/>
              <w:rPr>
                <w:sz w:val="20"/>
                <w:szCs w:val="20"/>
                <w:color w:val="auto"/>
              </w:rPr>
            </w:pPr>
            <w:r>
              <w:rPr>
                <w:rFonts w:ascii="Arial" w:cs="Arial" w:eastAsia="Arial" w:hAnsi="Arial"/>
                <w:sz w:val="22"/>
                <w:szCs w:val="22"/>
                <w:color w:val="auto"/>
              </w:rPr>
              <w:t>Closing Payments</w:t>
            </w:r>
          </w:p>
        </w:tc>
        <w:tc>
          <w:tcPr>
            <w:tcW w:w="64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1.4</w:t>
            </w:r>
          </w:p>
        </w:tc>
        <w:tc>
          <w:tcPr>
            <w:tcW w:w="8340" w:type="dxa"/>
            <w:vAlign w:val="bottom"/>
          </w:tcPr>
          <w:p>
            <w:pPr>
              <w:ind w:left="200"/>
              <w:spacing w:after="0"/>
              <w:rPr>
                <w:sz w:val="20"/>
                <w:szCs w:val="20"/>
                <w:color w:val="auto"/>
              </w:rPr>
            </w:pPr>
            <w:r>
              <w:rPr>
                <w:rFonts w:ascii="Arial" w:cs="Arial" w:eastAsia="Arial" w:hAnsi="Arial"/>
                <w:sz w:val="22"/>
                <w:szCs w:val="22"/>
                <w:color w:val="auto"/>
              </w:rPr>
              <w:t>Adjustment of the Purchase Price</w:t>
            </w:r>
          </w:p>
        </w:tc>
        <w:tc>
          <w:tcPr>
            <w:tcW w:w="64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1.5</w:t>
            </w:r>
          </w:p>
        </w:tc>
        <w:tc>
          <w:tcPr>
            <w:tcW w:w="8340" w:type="dxa"/>
            <w:vAlign w:val="bottom"/>
          </w:tcPr>
          <w:p>
            <w:pPr>
              <w:ind w:left="200"/>
              <w:spacing w:after="0"/>
              <w:rPr>
                <w:sz w:val="20"/>
                <w:szCs w:val="20"/>
                <w:color w:val="auto"/>
              </w:rPr>
            </w:pPr>
            <w:r>
              <w:rPr>
                <w:rFonts w:ascii="Arial" w:cs="Arial" w:eastAsia="Arial" w:hAnsi="Arial"/>
                <w:sz w:val="22"/>
                <w:szCs w:val="22"/>
                <w:color w:val="auto"/>
              </w:rPr>
              <w:t>Withholding</w:t>
            </w:r>
          </w:p>
        </w:tc>
        <w:tc>
          <w:tcPr>
            <w:tcW w:w="64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97"/>
        </w:trPr>
        <w:tc>
          <w:tcPr>
            <w:tcW w:w="9280" w:type="dxa"/>
            <w:vAlign w:val="bottom"/>
            <w:gridSpan w:val="2"/>
          </w:tcPr>
          <w:p>
            <w:pPr>
              <w:ind w:left="100"/>
              <w:spacing w:after="0"/>
              <w:rPr>
                <w:sz w:val="20"/>
                <w:szCs w:val="20"/>
                <w:color w:val="auto"/>
              </w:rPr>
            </w:pPr>
            <w:r>
              <w:rPr>
                <w:rFonts w:ascii="Arial" w:cs="Arial" w:eastAsia="Arial" w:hAnsi="Arial"/>
                <w:sz w:val="22"/>
                <w:szCs w:val="22"/>
                <w:color w:val="auto"/>
              </w:rPr>
              <w:t>ARTICLE II CLOSING</w:t>
            </w:r>
          </w:p>
        </w:tc>
        <w:tc>
          <w:tcPr>
            <w:tcW w:w="6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2.1</w:t>
            </w:r>
          </w:p>
        </w:tc>
        <w:tc>
          <w:tcPr>
            <w:tcW w:w="8340" w:type="dxa"/>
            <w:vAlign w:val="bottom"/>
          </w:tcPr>
          <w:p>
            <w:pPr>
              <w:ind w:left="200"/>
              <w:spacing w:after="0"/>
              <w:rPr>
                <w:sz w:val="20"/>
                <w:szCs w:val="20"/>
                <w:color w:val="auto"/>
              </w:rPr>
            </w:pPr>
            <w:r>
              <w:rPr>
                <w:rFonts w:ascii="Arial" w:cs="Arial" w:eastAsia="Arial" w:hAnsi="Arial"/>
                <w:sz w:val="22"/>
                <w:szCs w:val="22"/>
                <w:color w:val="auto"/>
              </w:rPr>
              <w:t>Closing</w:t>
            </w:r>
          </w:p>
        </w:tc>
        <w:tc>
          <w:tcPr>
            <w:tcW w:w="6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2.2</w:t>
            </w:r>
          </w:p>
        </w:tc>
        <w:tc>
          <w:tcPr>
            <w:tcW w:w="8340" w:type="dxa"/>
            <w:vAlign w:val="bottom"/>
          </w:tcPr>
          <w:p>
            <w:pPr>
              <w:ind w:left="200"/>
              <w:spacing w:after="0"/>
              <w:rPr>
                <w:sz w:val="20"/>
                <w:szCs w:val="20"/>
                <w:color w:val="auto"/>
              </w:rPr>
            </w:pPr>
            <w:r>
              <w:rPr>
                <w:rFonts w:ascii="Arial" w:cs="Arial" w:eastAsia="Arial" w:hAnsi="Arial"/>
                <w:sz w:val="22"/>
                <w:szCs w:val="22"/>
                <w:color w:val="auto"/>
              </w:rPr>
              <w:t>Deliveries by Sellers at Closing</w:t>
            </w:r>
          </w:p>
        </w:tc>
        <w:tc>
          <w:tcPr>
            <w:tcW w:w="6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2.3</w:t>
            </w:r>
          </w:p>
        </w:tc>
        <w:tc>
          <w:tcPr>
            <w:tcW w:w="8340" w:type="dxa"/>
            <w:vAlign w:val="bottom"/>
          </w:tcPr>
          <w:p>
            <w:pPr>
              <w:ind w:left="200"/>
              <w:spacing w:after="0"/>
              <w:rPr>
                <w:sz w:val="20"/>
                <w:szCs w:val="20"/>
                <w:color w:val="auto"/>
              </w:rPr>
            </w:pPr>
            <w:r>
              <w:rPr>
                <w:rFonts w:ascii="Arial" w:cs="Arial" w:eastAsia="Arial" w:hAnsi="Arial"/>
                <w:sz w:val="22"/>
                <w:szCs w:val="22"/>
                <w:color w:val="auto"/>
              </w:rPr>
              <w:t>Deliveries by Purchaser at the Closing</w:t>
            </w:r>
          </w:p>
        </w:tc>
        <w:tc>
          <w:tcPr>
            <w:tcW w:w="64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9280" w:type="dxa"/>
            <w:vAlign w:val="bottom"/>
            <w:gridSpan w:val="2"/>
          </w:tcPr>
          <w:p>
            <w:pPr>
              <w:ind w:left="100"/>
              <w:spacing w:after="0"/>
              <w:rPr>
                <w:sz w:val="20"/>
                <w:szCs w:val="20"/>
                <w:color w:val="auto"/>
              </w:rPr>
            </w:pPr>
            <w:r>
              <w:rPr>
                <w:rFonts w:ascii="Arial" w:cs="Arial" w:eastAsia="Arial" w:hAnsi="Arial"/>
                <w:sz w:val="22"/>
                <w:szCs w:val="22"/>
                <w:color w:val="auto"/>
                <w:w w:val="99"/>
              </w:rPr>
              <w:t>ARTICLE III REPRESENTATIONS AND WARRANTIES WITH RESPECT TO THE COMPANY</w:t>
            </w:r>
          </w:p>
        </w:tc>
        <w:tc>
          <w:tcPr>
            <w:tcW w:w="64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3.1</w:t>
            </w:r>
          </w:p>
        </w:tc>
        <w:tc>
          <w:tcPr>
            <w:tcW w:w="8340" w:type="dxa"/>
            <w:vAlign w:val="bottom"/>
          </w:tcPr>
          <w:p>
            <w:pPr>
              <w:ind w:left="200"/>
              <w:spacing w:after="0"/>
              <w:rPr>
                <w:sz w:val="20"/>
                <w:szCs w:val="20"/>
                <w:color w:val="auto"/>
              </w:rPr>
            </w:pPr>
            <w:r>
              <w:rPr>
                <w:rFonts w:ascii="Arial" w:cs="Arial" w:eastAsia="Arial" w:hAnsi="Arial"/>
                <w:sz w:val="22"/>
                <w:szCs w:val="22"/>
                <w:color w:val="auto"/>
              </w:rPr>
              <w:t>Organization</w:t>
            </w:r>
          </w:p>
        </w:tc>
        <w:tc>
          <w:tcPr>
            <w:tcW w:w="64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3.2</w:t>
            </w:r>
          </w:p>
        </w:tc>
        <w:tc>
          <w:tcPr>
            <w:tcW w:w="8340" w:type="dxa"/>
            <w:vAlign w:val="bottom"/>
          </w:tcPr>
          <w:p>
            <w:pPr>
              <w:ind w:left="200"/>
              <w:spacing w:after="0"/>
              <w:rPr>
                <w:sz w:val="20"/>
                <w:szCs w:val="20"/>
                <w:color w:val="auto"/>
              </w:rPr>
            </w:pPr>
            <w:r>
              <w:rPr>
                <w:rFonts w:ascii="Arial" w:cs="Arial" w:eastAsia="Arial" w:hAnsi="Arial"/>
                <w:sz w:val="22"/>
                <w:szCs w:val="22"/>
                <w:color w:val="auto"/>
              </w:rPr>
              <w:t>Authority; Conflicts; Consents of Third Parties</w:t>
            </w:r>
          </w:p>
        </w:tc>
        <w:tc>
          <w:tcPr>
            <w:tcW w:w="64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3.3</w:t>
            </w:r>
          </w:p>
        </w:tc>
        <w:tc>
          <w:tcPr>
            <w:tcW w:w="8340" w:type="dxa"/>
            <w:vAlign w:val="bottom"/>
          </w:tcPr>
          <w:p>
            <w:pPr>
              <w:ind w:left="200"/>
              <w:spacing w:after="0"/>
              <w:rPr>
                <w:sz w:val="20"/>
                <w:szCs w:val="20"/>
                <w:color w:val="auto"/>
              </w:rPr>
            </w:pPr>
            <w:r>
              <w:rPr>
                <w:rFonts w:ascii="Arial" w:cs="Arial" w:eastAsia="Arial" w:hAnsi="Arial"/>
                <w:sz w:val="22"/>
                <w:szCs w:val="22"/>
                <w:color w:val="auto"/>
              </w:rPr>
              <w:t>Capitalization; No Subsidiaries</w:t>
            </w:r>
          </w:p>
        </w:tc>
        <w:tc>
          <w:tcPr>
            <w:tcW w:w="64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3.4</w:t>
            </w:r>
          </w:p>
        </w:tc>
        <w:tc>
          <w:tcPr>
            <w:tcW w:w="8340" w:type="dxa"/>
            <w:vAlign w:val="bottom"/>
          </w:tcPr>
          <w:p>
            <w:pPr>
              <w:ind w:left="200"/>
              <w:spacing w:after="0"/>
              <w:rPr>
                <w:sz w:val="20"/>
                <w:szCs w:val="20"/>
                <w:color w:val="auto"/>
              </w:rPr>
            </w:pPr>
            <w:r>
              <w:rPr>
                <w:rFonts w:ascii="Arial" w:cs="Arial" w:eastAsia="Arial" w:hAnsi="Arial"/>
                <w:sz w:val="22"/>
                <w:szCs w:val="22"/>
                <w:color w:val="auto"/>
              </w:rPr>
              <w:t>Financial Statements</w:t>
            </w:r>
          </w:p>
        </w:tc>
        <w:tc>
          <w:tcPr>
            <w:tcW w:w="6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3.5</w:t>
            </w:r>
          </w:p>
        </w:tc>
        <w:tc>
          <w:tcPr>
            <w:tcW w:w="8340" w:type="dxa"/>
            <w:vAlign w:val="bottom"/>
          </w:tcPr>
          <w:p>
            <w:pPr>
              <w:ind w:left="200"/>
              <w:spacing w:after="0"/>
              <w:rPr>
                <w:sz w:val="20"/>
                <w:szCs w:val="20"/>
                <w:color w:val="auto"/>
              </w:rPr>
            </w:pPr>
            <w:r>
              <w:rPr>
                <w:rFonts w:ascii="Arial" w:cs="Arial" w:eastAsia="Arial" w:hAnsi="Arial"/>
                <w:sz w:val="22"/>
                <w:szCs w:val="22"/>
                <w:color w:val="auto"/>
              </w:rPr>
              <w:t>Undisclosed Liabilities</w:t>
            </w:r>
          </w:p>
        </w:tc>
        <w:tc>
          <w:tcPr>
            <w:tcW w:w="6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3.6</w:t>
            </w:r>
          </w:p>
        </w:tc>
        <w:tc>
          <w:tcPr>
            <w:tcW w:w="8340" w:type="dxa"/>
            <w:vAlign w:val="bottom"/>
          </w:tcPr>
          <w:p>
            <w:pPr>
              <w:ind w:left="200"/>
              <w:spacing w:after="0"/>
              <w:rPr>
                <w:sz w:val="20"/>
                <w:szCs w:val="20"/>
                <w:color w:val="auto"/>
              </w:rPr>
            </w:pPr>
            <w:r>
              <w:rPr>
                <w:rFonts w:ascii="Arial" w:cs="Arial" w:eastAsia="Arial" w:hAnsi="Arial"/>
                <w:sz w:val="22"/>
                <w:szCs w:val="22"/>
                <w:color w:val="auto"/>
              </w:rPr>
              <w:t>Absence of Certain Developments</w:t>
            </w:r>
          </w:p>
        </w:tc>
        <w:tc>
          <w:tcPr>
            <w:tcW w:w="6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3.7</w:t>
            </w:r>
          </w:p>
        </w:tc>
        <w:tc>
          <w:tcPr>
            <w:tcW w:w="8340" w:type="dxa"/>
            <w:vAlign w:val="bottom"/>
          </w:tcPr>
          <w:p>
            <w:pPr>
              <w:ind w:left="200"/>
              <w:spacing w:after="0"/>
              <w:rPr>
                <w:sz w:val="20"/>
                <w:szCs w:val="20"/>
                <w:color w:val="auto"/>
              </w:rPr>
            </w:pPr>
            <w:r>
              <w:rPr>
                <w:rFonts w:ascii="Arial" w:cs="Arial" w:eastAsia="Arial" w:hAnsi="Arial"/>
                <w:sz w:val="22"/>
                <w:szCs w:val="22"/>
                <w:color w:val="auto"/>
              </w:rPr>
              <w:t>Legal Proceedings</w:t>
            </w:r>
          </w:p>
        </w:tc>
        <w:tc>
          <w:tcPr>
            <w:tcW w:w="6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3.8</w:t>
            </w:r>
          </w:p>
        </w:tc>
        <w:tc>
          <w:tcPr>
            <w:tcW w:w="8340" w:type="dxa"/>
            <w:vAlign w:val="bottom"/>
          </w:tcPr>
          <w:p>
            <w:pPr>
              <w:ind w:left="200"/>
              <w:spacing w:after="0"/>
              <w:rPr>
                <w:sz w:val="20"/>
                <w:szCs w:val="20"/>
                <w:color w:val="auto"/>
              </w:rPr>
            </w:pPr>
            <w:r>
              <w:rPr>
                <w:rFonts w:ascii="Arial" w:cs="Arial" w:eastAsia="Arial" w:hAnsi="Arial"/>
                <w:sz w:val="22"/>
                <w:szCs w:val="22"/>
                <w:color w:val="auto"/>
              </w:rPr>
              <w:t>Compliance with Laws; Permits</w:t>
            </w:r>
          </w:p>
        </w:tc>
        <w:tc>
          <w:tcPr>
            <w:tcW w:w="64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4"/>
              </w:rPr>
              <w:t>3.9</w:t>
            </w:r>
          </w:p>
        </w:tc>
        <w:tc>
          <w:tcPr>
            <w:tcW w:w="8340" w:type="dxa"/>
            <w:vAlign w:val="bottom"/>
          </w:tcPr>
          <w:p>
            <w:pPr>
              <w:ind w:left="200"/>
              <w:spacing w:after="0"/>
              <w:rPr>
                <w:sz w:val="20"/>
                <w:szCs w:val="20"/>
                <w:color w:val="auto"/>
              </w:rPr>
            </w:pPr>
            <w:r>
              <w:rPr>
                <w:rFonts w:ascii="Arial" w:cs="Arial" w:eastAsia="Arial" w:hAnsi="Arial"/>
                <w:sz w:val="22"/>
                <w:szCs w:val="22"/>
                <w:color w:val="auto"/>
              </w:rPr>
              <w:t>Taxes</w:t>
            </w:r>
          </w:p>
        </w:tc>
        <w:tc>
          <w:tcPr>
            <w:tcW w:w="6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3.10</w:t>
            </w:r>
          </w:p>
        </w:tc>
        <w:tc>
          <w:tcPr>
            <w:tcW w:w="8340" w:type="dxa"/>
            <w:vAlign w:val="bottom"/>
          </w:tcPr>
          <w:p>
            <w:pPr>
              <w:ind w:left="200"/>
              <w:spacing w:after="0"/>
              <w:rPr>
                <w:sz w:val="20"/>
                <w:szCs w:val="20"/>
                <w:color w:val="auto"/>
              </w:rPr>
            </w:pPr>
            <w:r>
              <w:rPr>
                <w:rFonts w:ascii="Arial" w:cs="Arial" w:eastAsia="Arial" w:hAnsi="Arial"/>
                <w:sz w:val="22"/>
                <w:szCs w:val="22"/>
                <w:color w:val="auto"/>
              </w:rPr>
              <w:t>Assets</w:t>
            </w:r>
          </w:p>
        </w:tc>
        <w:tc>
          <w:tcPr>
            <w:tcW w:w="6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3.11</w:t>
            </w:r>
          </w:p>
        </w:tc>
        <w:tc>
          <w:tcPr>
            <w:tcW w:w="8340" w:type="dxa"/>
            <w:vAlign w:val="bottom"/>
          </w:tcPr>
          <w:p>
            <w:pPr>
              <w:ind w:left="200"/>
              <w:spacing w:after="0"/>
              <w:rPr>
                <w:sz w:val="20"/>
                <w:szCs w:val="20"/>
                <w:color w:val="auto"/>
              </w:rPr>
            </w:pPr>
            <w:r>
              <w:rPr>
                <w:rFonts w:ascii="Arial" w:cs="Arial" w:eastAsia="Arial" w:hAnsi="Arial"/>
                <w:sz w:val="22"/>
                <w:szCs w:val="22"/>
                <w:color w:val="auto"/>
              </w:rPr>
              <w:t>Environmental Matters</w:t>
            </w:r>
          </w:p>
        </w:tc>
        <w:tc>
          <w:tcPr>
            <w:tcW w:w="6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3.12</w:t>
            </w:r>
          </w:p>
        </w:tc>
        <w:tc>
          <w:tcPr>
            <w:tcW w:w="8340" w:type="dxa"/>
            <w:vAlign w:val="bottom"/>
          </w:tcPr>
          <w:p>
            <w:pPr>
              <w:ind w:left="200"/>
              <w:spacing w:after="0"/>
              <w:rPr>
                <w:sz w:val="20"/>
                <w:szCs w:val="20"/>
                <w:color w:val="auto"/>
              </w:rPr>
            </w:pPr>
            <w:r>
              <w:rPr>
                <w:rFonts w:ascii="Arial" w:cs="Arial" w:eastAsia="Arial" w:hAnsi="Arial"/>
                <w:sz w:val="22"/>
                <w:szCs w:val="22"/>
                <w:color w:val="auto"/>
              </w:rPr>
              <w:t>Material Contracts</w:t>
            </w:r>
          </w:p>
        </w:tc>
        <w:tc>
          <w:tcPr>
            <w:tcW w:w="6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3.13</w:t>
            </w:r>
          </w:p>
        </w:tc>
        <w:tc>
          <w:tcPr>
            <w:tcW w:w="8340" w:type="dxa"/>
            <w:vAlign w:val="bottom"/>
          </w:tcPr>
          <w:p>
            <w:pPr>
              <w:ind w:left="200"/>
              <w:spacing w:after="0"/>
              <w:rPr>
                <w:sz w:val="20"/>
                <w:szCs w:val="20"/>
                <w:color w:val="auto"/>
              </w:rPr>
            </w:pPr>
            <w:r>
              <w:rPr>
                <w:rFonts w:ascii="Arial" w:cs="Arial" w:eastAsia="Arial" w:hAnsi="Arial"/>
                <w:sz w:val="22"/>
                <w:szCs w:val="22"/>
                <w:color w:val="auto"/>
              </w:rPr>
              <w:t>Government Contracts and Government Bids</w:t>
            </w:r>
          </w:p>
        </w:tc>
        <w:tc>
          <w:tcPr>
            <w:tcW w:w="6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3.14</w:t>
            </w:r>
          </w:p>
        </w:tc>
        <w:tc>
          <w:tcPr>
            <w:tcW w:w="8340" w:type="dxa"/>
            <w:vAlign w:val="bottom"/>
          </w:tcPr>
          <w:p>
            <w:pPr>
              <w:ind w:left="200"/>
              <w:spacing w:after="0"/>
              <w:rPr>
                <w:sz w:val="20"/>
                <w:szCs w:val="20"/>
                <w:color w:val="auto"/>
              </w:rPr>
            </w:pPr>
            <w:r>
              <w:rPr>
                <w:rFonts w:ascii="Arial" w:cs="Arial" w:eastAsia="Arial" w:hAnsi="Arial"/>
                <w:sz w:val="22"/>
                <w:szCs w:val="22"/>
                <w:color w:val="auto"/>
              </w:rPr>
              <w:t>Intellectual Property and Data Privacy</w:t>
            </w:r>
          </w:p>
        </w:tc>
        <w:tc>
          <w:tcPr>
            <w:tcW w:w="6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3.15</w:t>
            </w:r>
          </w:p>
        </w:tc>
        <w:tc>
          <w:tcPr>
            <w:tcW w:w="8340" w:type="dxa"/>
            <w:vAlign w:val="bottom"/>
          </w:tcPr>
          <w:p>
            <w:pPr>
              <w:ind w:left="200"/>
              <w:spacing w:after="0"/>
              <w:rPr>
                <w:sz w:val="20"/>
                <w:szCs w:val="20"/>
                <w:color w:val="auto"/>
              </w:rPr>
            </w:pPr>
            <w:r>
              <w:rPr>
                <w:rFonts w:ascii="Arial" w:cs="Arial" w:eastAsia="Arial" w:hAnsi="Arial"/>
                <w:sz w:val="22"/>
                <w:szCs w:val="22"/>
                <w:color w:val="auto"/>
              </w:rPr>
              <w:t>Trade Compliance Laws</w:t>
            </w:r>
          </w:p>
        </w:tc>
        <w:tc>
          <w:tcPr>
            <w:tcW w:w="6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3.16</w:t>
            </w:r>
          </w:p>
        </w:tc>
        <w:tc>
          <w:tcPr>
            <w:tcW w:w="8340" w:type="dxa"/>
            <w:vAlign w:val="bottom"/>
          </w:tcPr>
          <w:p>
            <w:pPr>
              <w:ind w:left="200"/>
              <w:spacing w:after="0"/>
              <w:rPr>
                <w:sz w:val="20"/>
                <w:szCs w:val="20"/>
                <w:color w:val="auto"/>
              </w:rPr>
            </w:pPr>
            <w:r>
              <w:rPr>
                <w:rFonts w:ascii="Arial" w:cs="Arial" w:eastAsia="Arial" w:hAnsi="Arial"/>
                <w:sz w:val="22"/>
                <w:szCs w:val="22"/>
                <w:color w:val="auto"/>
              </w:rPr>
              <w:t>Employee Benefits Plans</w:t>
            </w:r>
          </w:p>
        </w:tc>
        <w:tc>
          <w:tcPr>
            <w:tcW w:w="6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3.17</w:t>
            </w:r>
          </w:p>
        </w:tc>
        <w:tc>
          <w:tcPr>
            <w:tcW w:w="8340" w:type="dxa"/>
            <w:vAlign w:val="bottom"/>
          </w:tcPr>
          <w:p>
            <w:pPr>
              <w:ind w:left="200"/>
              <w:spacing w:after="0"/>
              <w:rPr>
                <w:sz w:val="20"/>
                <w:szCs w:val="20"/>
                <w:color w:val="auto"/>
              </w:rPr>
            </w:pPr>
            <w:r>
              <w:rPr>
                <w:rFonts w:ascii="Arial" w:cs="Arial" w:eastAsia="Arial" w:hAnsi="Arial"/>
                <w:sz w:val="22"/>
                <w:szCs w:val="22"/>
                <w:color w:val="auto"/>
              </w:rPr>
              <w:t>Labor and Employment Matters</w:t>
            </w:r>
          </w:p>
        </w:tc>
        <w:tc>
          <w:tcPr>
            <w:tcW w:w="64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97"/>
        </w:trPr>
        <w:tc>
          <w:tcPr>
            <w:tcW w:w="940" w:type="dxa"/>
            <w:vAlign w:val="bottom"/>
          </w:tcPr>
          <w:p>
            <w:pPr>
              <w:jc w:val="center"/>
              <w:ind w:left="12"/>
              <w:spacing w:after="0"/>
              <w:rPr>
                <w:sz w:val="20"/>
                <w:szCs w:val="20"/>
                <w:color w:val="auto"/>
              </w:rPr>
            </w:pPr>
            <w:r>
              <w:rPr>
                <w:rFonts w:ascii="Arial" w:cs="Arial" w:eastAsia="Arial" w:hAnsi="Arial"/>
                <w:sz w:val="22"/>
                <w:szCs w:val="22"/>
                <w:color w:val="auto"/>
                <w:w w:val="88"/>
              </w:rPr>
              <w:t>3.18</w:t>
            </w:r>
          </w:p>
        </w:tc>
        <w:tc>
          <w:tcPr>
            <w:tcW w:w="8340" w:type="dxa"/>
            <w:vAlign w:val="bottom"/>
          </w:tcPr>
          <w:p>
            <w:pPr>
              <w:ind w:left="200"/>
              <w:spacing w:after="0"/>
              <w:rPr>
                <w:sz w:val="20"/>
                <w:szCs w:val="20"/>
                <w:color w:val="auto"/>
              </w:rPr>
            </w:pPr>
            <w:r>
              <w:rPr>
                <w:rFonts w:ascii="Arial" w:cs="Arial" w:eastAsia="Arial" w:hAnsi="Arial"/>
                <w:sz w:val="22"/>
                <w:szCs w:val="22"/>
                <w:color w:val="auto"/>
              </w:rPr>
              <w:t>Transactions With Related Parties</w:t>
            </w:r>
          </w:p>
        </w:tc>
        <w:tc>
          <w:tcPr>
            <w:tcW w:w="6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1036"/>
        </w:trPr>
        <w:tc>
          <w:tcPr>
            <w:tcW w:w="94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2" w:right="99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0" w:type="dxa"/>
            <w:vAlign w:val="bottom"/>
          </w:tcPr>
          <w:p>
            <w:pPr>
              <w:jc w:val="center"/>
              <w:spacing w:after="0"/>
              <w:rPr>
                <w:sz w:val="20"/>
                <w:szCs w:val="20"/>
                <w:color w:val="auto"/>
              </w:rPr>
            </w:pPr>
            <w:r>
              <w:rPr>
                <w:rFonts w:ascii="Arial" w:cs="Arial" w:eastAsia="Arial" w:hAnsi="Arial"/>
                <w:sz w:val="22"/>
                <w:szCs w:val="22"/>
                <w:color w:val="auto"/>
                <w:w w:val="88"/>
              </w:rPr>
              <w:t>3.19</w:t>
            </w:r>
          </w:p>
        </w:tc>
        <w:tc>
          <w:tcPr>
            <w:tcW w:w="8080" w:type="dxa"/>
            <w:vAlign w:val="bottom"/>
          </w:tcPr>
          <w:p>
            <w:pPr>
              <w:ind w:left="220"/>
              <w:spacing w:after="0"/>
              <w:rPr>
                <w:sz w:val="20"/>
                <w:szCs w:val="20"/>
                <w:color w:val="auto"/>
              </w:rPr>
            </w:pPr>
            <w:r>
              <w:rPr>
                <w:rFonts w:ascii="Arial" w:cs="Arial" w:eastAsia="Arial" w:hAnsi="Arial"/>
                <w:sz w:val="22"/>
                <w:szCs w:val="22"/>
                <w:color w:val="auto"/>
              </w:rPr>
              <w:t>Insurance</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3.20</w:t>
            </w:r>
          </w:p>
        </w:tc>
        <w:tc>
          <w:tcPr>
            <w:tcW w:w="8080" w:type="dxa"/>
            <w:vAlign w:val="bottom"/>
          </w:tcPr>
          <w:p>
            <w:pPr>
              <w:ind w:left="220"/>
              <w:spacing w:after="0"/>
              <w:rPr>
                <w:sz w:val="20"/>
                <w:szCs w:val="20"/>
                <w:color w:val="auto"/>
              </w:rPr>
            </w:pPr>
            <w:r>
              <w:rPr>
                <w:rFonts w:ascii="Arial" w:cs="Arial" w:eastAsia="Arial" w:hAnsi="Arial"/>
                <w:sz w:val="22"/>
                <w:szCs w:val="22"/>
                <w:color w:val="auto"/>
              </w:rPr>
              <w:t>Financial Advisors</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3.21</w:t>
            </w:r>
          </w:p>
        </w:tc>
        <w:tc>
          <w:tcPr>
            <w:tcW w:w="8080" w:type="dxa"/>
            <w:vAlign w:val="bottom"/>
          </w:tcPr>
          <w:p>
            <w:pPr>
              <w:ind w:left="220"/>
              <w:spacing w:after="0"/>
              <w:rPr>
                <w:sz w:val="20"/>
                <w:szCs w:val="20"/>
                <w:color w:val="auto"/>
              </w:rPr>
            </w:pPr>
            <w:r>
              <w:rPr>
                <w:rFonts w:ascii="Arial" w:cs="Arial" w:eastAsia="Arial" w:hAnsi="Arial"/>
                <w:sz w:val="22"/>
                <w:szCs w:val="22"/>
                <w:color w:val="auto"/>
              </w:rPr>
              <w:t>Customer and Vendors</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3.22</w:t>
            </w:r>
          </w:p>
        </w:tc>
        <w:tc>
          <w:tcPr>
            <w:tcW w:w="8080" w:type="dxa"/>
            <w:vAlign w:val="bottom"/>
          </w:tcPr>
          <w:p>
            <w:pPr>
              <w:ind w:left="220"/>
              <w:spacing w:after="0"/>
              <w:rPr>
                <w:sz w:val="20"/>
                <w:szCs w:val="20"/>
                <w:color w:val="auto"/>
              </w:rPr>
            </w:pPr>
            <w:r>
              <w:rPr>
                <w:rFonts w:ascii="Arial" w:cs="Arial" w:eastAsia="Arial" w:hAnsi="Arial"/>
                <w:sz w:val="22"/>
                <w:szCs w:val="22"/>
                <w:color w:val="auto"/>
              </w:rPr>
              <w:t>Officers and Directors; Bank Accounts</w:t>
            </w:r>
          </w:p>
        </w:tc>
        <w:tc>
          <w:tcPr>
            <w:tcW w:w="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3.23</w:t>
            </w:r>
          </w:p>
        </w:tc>
        <w:tc>
          <w:tcPr>
            <w:tcW w:w="8080" w:type="dxa"/>
            <w:vAlign w:val="bottom"/>
          </w:tcPr>
          <w:p>
            <w:pPr>
              <w:ind w:left="220"/>
              <w:spacing w:after="0"/>
              <w:rPr>
                <w:sz w:val="20"/>
                <w:szCs w:val="20"/>
                <w:color w:val="auto"/>
              </w:rPr>
            </w:pPr>
            <w:r>
              <w:rPr>
                <w:rFonts w:ascii="Arial" w:cs="Arial" w:eastAsia="Arial" w:hAnsi="Arial"/>
                <w:sz w:val="22"/>
                <w:szCs w:val="22"/>
                <w:color w:val="auto"/>
              </w:rPr>
              <w:t>Product Warranty; Product Liability</w:t>
            </w:r>
          </w:p>
        </w:tc>
        <w:tc>
          <w:tcPr>
            <w:tcW w:w="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3.24</w:t>
            </w:r>
          </w:p>
        </w:tc>
        <w:tc>
          <w:tcPr>
            <w:tcW w:w="8080" w:type="dxa"/>
            <w:vAlign w:val="bottom"/>
          </w:tcPr>
          <w:p>
            <w:pPr>
              <w:ind w:left="220"/>
              <w:spacing w:after="0"/>
              <w:rPr>
                <w:sz w:val="20"/>
                <w:szCs w:val="20"/>
                <w:color w:val="auto"/>
              </w:rPr>
            </w:pPr>
            <w:r>
              <w:rPr>
                <w:rFonts w:ascii="Arial" w:cs="Arial" w:eastAsia="Arial" w:hAnsi="Arial"/>
                <w:sz w:val="22"/>
                <w:szCs w:val="22"/>
                <w:color w:val="auto"/>
              </w:rPr>
              <w:t>Real Property</w:t>
            </w:r>
          </w:p>
        </w:tc>
        <w:tc>
          <w:tcPr>
            <w:tcW w:w="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3.25</w:t>
            </w:r>
          </w:p>
        </w:tc>
        <w:tc>
          <w:tcPr>
            <w:tcW w:w="8080" w:type="dxa"/>
            <w:vAlign w:val="bottom"/>
          </w:tcPr>
          <w:p>
            <w:pPr>
              <w:ind w:left="220"/>
              <w:spacing w:after="0"/>
              <w:rPr>
                <w:sz w:val="20"/>
                <w:szCs w:val="20"/>
                <w:color w:val="auto"/>
              </w:rPr>
            </w:pPr>
            <w:r>
              <w:rPr>
                <w:rFonts w:ascii="Arial" w:cs="Arial" w:eastAsia="Arial" w:hAnsi="Arial"/>
                <w:sz w:val="22"/>
                <w:szCs w:val="22"/>
                <w:color w:val="auto"/>
              </w:rPr>
              <w:t>Government Stimulus Payments</w:t>
            </w:r>
          </w:p>
        </w:tc>
        <w:tc>
          <w:tcPr>
            <w:tcW w:w="7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3.26</w:t>
            </w:r>
          </w:p>
        </w:tc>
        <w:tc>
          <w:tcPr>
            <w:tcW w:w="8080" w:type="dxa"/>
            <w:vAlign w:val="bottom"/>
          </w:tcPr>
          <w:p>
            <w:pPr>
              <w:ind w:left="220"/>
              <w:spacing w:after="0"/>
              <w:rPr>
                <w:sz w:val="20"/>
                <w:szCs w:val="20"/>
                <w:color w:val="auto"/>
              </w:rPr>
            </w:pPr>
            <w:r>
              <w:rPr>
                <w:rFonts w:ascii="Arial" w:cs="Arial" w:eastAsia="Arial" w:hAnsi="Arial"/>
                <w:sz w:val="22"/>
                <w:szCs w:val="22"/>
                <w:color w:val="auto"/>
              </w:rPr>
              <w:t>NO OTHER REPRESENTATIONS OR WARRANTIES</w:t>
            </w:r>
          </w:p>
        </w:tc>
        <w:tc>
          <w:tcPr>
            <w:tcW w:w="7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ARTICLE IV REPRESENTATIONS AND WARRANTIES WITH RESPECT TO SELLERS</w:t>
            </w:r>
          </w:p>
        </w:tc>
        <w:tc>
          <w:tcPr>
            <w:tcW w:w="7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4.1</w:t>
            </w:r>
          </w:p>
        </w:tc>
        <w:tc>
          <w:tcPr>
            <w:tcW w:w="8080" w:type="dxa"/>
            <w:vAlign w:val="bottom"/>
          </w:tcPr>
          <w:p>
            <w:pPr>
              <w:ind w:left="220"/>
              <w:spacing w:after="0"/>
              <w:rPr>
                <w:sz w:val="20"/>
                <w:szCs w:val="20"/>
                <w:color w:val="auto"/>
              </w:rPr>
            </w:pPr>
            <w:r>
              <w:rPr>
                <w:rFonts w:ascii="Arial" w:cs="Arial" w:eastAsia="Arial" w:hAnsi="Arial"/>
                <w:sz w:val="22"/>
                <w:szCs w:val="22"/>
                <w:color w:val="auto"/>
              </w:rPr>
              <w:t>Authorization of Agreement</w:t>
            </w:r>
          </w:p>
        </w:tc>
        <w:tc>
          <w:tcPr>
            <w:tcW w:w="7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4.2</w:t>
            </w:r>
          </w:p>
        </w:tc>
        <w:tc>
          <w:tcPr>
            <w:tcW w:w="8080" w:type="dxa"/>
            <w:vAlign w:val="bottom"/>
          </w:tcPr>
          <w:p>
            <w:pPr>
              <w:ind w:left="220"/>
              <w:spacing w:after="0"/>
              <w:rPr>
                <w:sz w:val="20"/>
                <w:szCs w:val="20"/>
                <w:color w:val="auto"/>
              </w:rPr>
            </w:pPr>
            <w:r>
              <w:rPr>
                <w:rFonts w:ascii="Arial" w:cs="Arial" w:eastAsia="Arial" w:hAnsi="Arial"/>
                <w:sz w:val="22"/>
                <w:szCs w:val="22"/>
                <w:color w:val="auto"/>
              </w:rPr>
              <w:t>Equity Interests</w:t>
            </w:r>
          </w:p>
        </w:tc>
        <w:tc>
          <w:tcPr>
            <w:tcW w:w="7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4.3</w:t>
            </w:r>
          </w:p>
        </w:tc>
        <w:tc>
          <w:tcPr>
            <w:tcW w:w="8080" w:type="dxa"/>
            <w:vAlign w:val="bottom"/>
          </w:tcPr>
          <w:p>
            <w:pPr>
              <w:ind w:left="220"/>
              <w:spacing w:after="0"/>
              <w:rPr>
                <w:sz w:val="20"/>
                <w:szCs w:val="20"/>
                <w:color w:val="auto"/>
              </w:rPr>
            </w:pPr>
            <w:r>
              <w:rPr>
                <w:rFonts w:ascii="Arial" w:cs="Arial" w:eastAsia="Arial" w:hAnsi="Arial"/>
                <w:sz w:val="22"/>
                <w:szCs w:val="22"/>
                <w:color w:val="auto"/>
              </w:rPr>
              <w:t>Conflicts; Consents of Third Parties</w:t>
            </w:r>
          </w:p>
        </w:tc>
        <w:tc>
          <w:tcPr>
            <w:tcW w:w="7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4.4</w:t>
            </w:r>
          </w:p>
        </w:tc>
        <w:tc>
          <w:tcPr>
            <w:tcW w:w="8080" w:type="dxa"/>
            <w:vAlign w:val="bottom"/>
          </w:tcPr>
          <w:p>
            <w:pPr>
              <w:ind w:left="220"/>
              <w:spacing w:after="0"/>
              <w:rPr>
                <w:sz w:val="20"/>
                <w:szCs w:val="20"/>
                <w:color w:val="auto"/>
              </w:rPr>
            </w:pPr>
            <w:r>
              <w:rPr>
                <w:rFonts w:ascii="Arial" w:cs="Arial" w:eastAsia="Arial" w:hAnsi="Arial"/>
                <w:sz w:val="22"/>
                <w:szCs w:val="22"/>
                <w:color w:val="auto"/>
              </w:rPr>
              <w:t>Legal Proceedings</w:t>
            </w:r>
          </w:p>
        </w:tc>
        <w:tc>
          <w:tcPr>
            <w:tcW w:w="7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4.5</w:t>
            </w:r>
          </w:p>
        </w:tc>
        <w:tc>
          <w:tcPr>
            <w:tcW w:w="8080" w:type="dxa"/>
            <w:vAlign w:val="bottom"/>
          </w:tcPr>
          <w:p>
            <w:pPr>
              <w:ind w:left="220"/>
              <w:spacing w:after="0"/>
              <w:rPr>
                <w:sz w:val="20"/>
                <w:szCs w:val="20"/>
                <w:color w:val="auto"/>
              </w:rPr>
            </w:pPr>
            <w:r>
              <w:rPr>
                <w:rFonts w:ascii="Arial" w:cs="Arial" w:eastAsia="Arial" w:hAnsi="Arial"/>
                <w:sz w:val="22"/>
                <w:szCs w:val="22"/>
                <w:color w:val="auto"/>
              </w:rPr>
              <w:t>Stock Consideration.</w:t>
            </w:r>
          </w:p>
        </w:tc>
        <w:tc>
          <w:tcPr>
            <w:tcW w:w="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4.6</w:t>
            </w:r>
          </w:p>
        </w:tc>
        <w:tc>
          <w:tcPr>
            <w:tcW w:w="8080" w:type="dxa"/>
            <w:vAlign w:val="bottom"/>
          </w:tcPr>
          <w:p>
            <w:pPr>
              <w:ind w:left="220"/>
              <w:spacing w:after="0"/>
              <w:rPr>
                <w:sz w:val="20"/>
                <w:szCs w:val="20"/>
                <w:color w:val="auto"/>
              </w:rPr>
            </w:pPr>
            <w:r>
              <w:rPr>
                <w:rFonts w:ascii="Arial" w:cs="Arial" w:eastAsia="Arial" w:hAnsi="Arial"/>
                <w:sz w:val="22"/>
                <w:szCs w:val="22"/>
                <w:color w:val="auto"/>
              </w:rPr>
              <w:t>NO OTHER REPRESENTATIONS OR WARRANTIES</w:t>
            </w:r>
          </w:p>
        </w:tc>
        <w:tc>
          <w:tcPr>
            <w:tcW w:w="7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w w:val="99"/>
              </w:rPr>
              <w:t>ARTICLE V REPRESENTATIONS AND WARRANTIES WITH RESPECT TO PURCHASER</w:t>
            </w:r>
          </w:p>
        </w:tc>
        <w:tc>
          <w:tcPr>
            <w:tcW w:w="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5.1</w:t>
            </w:r>
          </w:p>
        </w:tc>
        <w:tc>
          <w:tcPr>
            <w:tcW w:w="8080" w:type="dxa"/>
            <w:vAlign w:val="bottom"/>
          </w:tcPr>
          <w:p>
            <w:pPr>
              <w:ind w:left="220"/>
              <w:spacing w:after="0"/>
              <w:rPr>
                <w:sz w:val="20"/>
                <w:szCs w:val="20"/>
                <w:color w:val="auto"/>
              </w:rPr>
            </w:pPr>
            <w:r>
              <w:rPr>
                <w:rFonts w:ascii="Arial" w:cs="Arial" w:eastAsia="Arial" w:hAnsi="Arial"/>
                <w:sz w:val="22"/>
                <w:szCs w:val="22"/>
                <w:color w:val="auto"/>
              </w:rPr>
              <w:t>Organization</w:t>
            </w:r>
          </w:p>
        </w:tc>
        <w:tc>
          <w:tcPr>
            <w:tcW w:w="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5.2</w:t>
            </w:r>
          </w:p>
        </w:tc>
        <w:tc>
          <w:tcPr>
            <w:tcW w:w="8080" w:type="dxa"/>
            <w:vAlign w:val="bottom"/>
          </w:tcPr>
          <w:p>
            <w:pPr>
              <w:ind w:left="220"/>
              <w:spacing w:after="0"/>
              <w:rPr>
                <w:sz w:val="20"/>
                <w:szCs w:val="20"/>
                <w:color w:val="auto"/>
              </w:rPr>
            </w:pPr>
            <w:r>
              <w:rPr>
                <w:rFonts w:ascii="Arial" w:cs="Arial" w:eastAsia="Arial" w:hAnsi="Arial"/>
                <w:sz w:val="22"/>
                <w:szCs w:val="22"/>
                <w:color w:val="auto"/>
              </w:rPr>
              <w:t>Authorization of Agreement</w:t>
            </w:r>
          </w:p>
        </w:tc>
        <w:tc>
          <w:tcPr>
            <w:tcW w:w="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5.3</w:t>
            </w:r>
          </w:p>
        </w:tc>
        <w:tc>
          <w:tcPr>
            <w:tcW w:w="8080" w:type="dxa"/>
            <w:vAlign w:val="bottom"/>
          </w:tcPr>
          <w:p>
            <w:pPr>
              <w:ind w:left="220"/>
              <w:spacing w:after="0"/>
              <w:rPr>
                <w:sz w:val="20"/>
                <w:szCs w:val="20"/>
                <w:color w:val="auto"/>
              </w:rPr>
            </w:pPr>
            <w:r>
              <w:rPr>
                <w:rFonts w:ascii="Arial" w:cs="Arial" w:eastAsia="Arial" w:hAnsi="Arial"/>
                <w:sz w:val="22"/>
                <w:szCs w:val="22"/>
                <w:color w:val="auto"/>
              </w:rPr>
              <w:t>Conflicts; Consents of Third Parties</w:t>
            </w:r>
          </w:p>
        </w:tc>
        <w:tc>
          <w:tcPr>
            <w:tcW w:w="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5.4</w:t>
            </w:r>
          </w:p>
        </w:tc>
        <w:tc>
          <w:tcPr>
            <w:tcW w:w="8080" w:type="dxa"/>
            <w:vAlign w:val="bottom"/>
          </w:tcPr>
          <w:p>
            <w:pPr>
              <w:ind w:left="220"/>
              <w:spacing w:after="0"/>
              <w:rPr>
                <w:sz w:val="20"/>
                <w:szCs w:val="20"/>
                <w:color w:val="auto"/>
              </w:rPr>
            </w:pPr>
            <w:r>
              <w:rPr>
                <w:rFonts w:ascii="Arial" w:cs="Arial" w:eastAsia="Arial" w:hAnsi="Arial"/>
                <w:sz w:val="22"/>
                <w:szCs w:val="22"/>
                <w:color w:val="auto"/>
              </w:rPr>
              <w:t>Legal Proceedings</w:t>
            </w:r>
          </w:p>
        </w:tc>
        <w:tc>
          <w:tcPr>
            <w:tcW w:w="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5.5</w:t>
            </w:r>
          </w:p>
        </w:tc>
        <w:tc>
          <w:tcPr>
            <w:tcW w:w="8080" w:type="dxa"/>
            <w:vAlign w:val="bottom"/>
          </w:tcPr>
          <w:p>
            <w:pPr>
              <w:ind w:left="220"/>
              <w:spacing w:after="0"/>
              <w:rPr>
                <w:sz w:val="20"/>
                <w:szCs w:val="20"/>
                <w:color w:val="auto"/>
              </w:rPr>
            </w:pPr>
            <w:r>
              <w:rPr>
                <w:rFonts w:ascii="Arial" w:cs="Arial" w:eastAsia="Arial" w:hAnsi="Arial"/>
                <w:sz w:val="22"/>
                <w:szCs w:val="22"/>
                <w:color w:val="auto"/>
              </w:rPr>
              <w:t>Financial Capability</w:t>
            </w:r>
          </w:p>
        </w:tc>
        <w:tc>
          <w:tcPr>
            <w:tcW w:w="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5.6</w:t>
            </w:r>
          </w:p>
        </w:tc>
        <w:tc>
          <w:tcPr>
            <w:tcW w:w="8080" w:type="dxa"/>
            <w:vAlign w:val="bottom"/>
          </w:tcPr>
          <w:p>
            <w:pPr>
              <w:ind w:left="220"/>
              <w:spacing w:after="0"/>
              <w:rPr>
                <w:sz w:val="20"/>
                <w:szCs w:val="20"/>
                <w:color w:val="auto"/>
              </w:rPr>
            </w:pPr>
            <w:r>
              <w:rPr>
                <w:rFonts w:ascii="Arial" w:cs="Arial" w:eastAsia="Arial" w:hAnsi="Arial"/>
                <w:sz w:val="22"/>
                <w:szCs w:val="22"/>
                <w:color w:val="auto"/>
              </w:rPr>
              <w:t>Investment</w:t>
            </w:r>
          </w:p>
        </w:tc>
        <w:tc>
          <w:tcPr>
            <w:tcW w:w="7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5.7</w:t>
            </w:r>
          </w:p>
        </w:tc>
        <w:tc>
          <w:tcPr>
            <w:tcW w:w="8080" w:type="dxa"/>
            <w:vAlign w:val="bottom"/>
          </w:tcPr>
          <w:p>
            <w:pPr>
              <w:ind w:left="220"/>
              <w:spacing w:after="0"/>
              <w:rPr>
                <w:sz w:val="20"/>
                <w:szCs w:val="20"/>
                <w:color w:val="auto"/>
              </w:rPr>
            </w:pPr>
            <w:r>
              <w:rPr>
                <w:rFonts w:ascii="Arial" w:cs="Arial" w:eastAsia="Arial" w:hAnsi="Arial"/>
                <w:sz w:val="22"/>
                <w:szCs w:val="22"/>
                <w:color w:val="auto"/>
              </w:rPr>
              <w:t>Solvency</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5.8</w:t>
            </w:r>
          </w:p>
        </w:tc>
        <w:tc>
          <w:tcPr>
            <w:tcW w:w="8080" w:type="dxa"/>
            <w:vAlign w:val="bottom"/>
          </w:tcPr>
          <w:p>
            <w:pPr>
              <w:ind w:left="220"/>
              <w:spacing w:after="0"/>
              <w:rPr>
                <w:sz w:val="20"/>
                <w:szCs w:val="20"/>
                <w:color w:val="auto"/>
              </w:rPr>
            </w:pPr>
            <w:r>
              <w:rPr>
                <w:rFonts w:ascii="Arial" w:cs="Arial" w:eastAsia="Arial" w:hAnsi="Arial"/>
                <w:sz w:val="22"/>
                <w:szCs w:val="22"/>
                <w:color w:val="auto"/>
              </w:rPr>
              <w:t>Financial Advisors</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5.9</w:t>
            </w:r>
          </w:p>
        </w:tc>
        <w:tc>
          <w:tcPr>
            <w:tcW w:w="8080" w:type="dxa"/>
            <w:vAlign w:val="bottom"/>
          </w:tcPr>
          <w:p>
            <w:pPr>
              <w:ind w:left="220"/>
              <w:spacing w:after="0"/>
              <w:rPr>
                <w:sz w:val="20"/>
                <w:szCs w:val="20"/>
                <w:color w:val="auto"/>
              </w:rPr>
            </w:pPr>
            <w:r>
              <w:rPr>
                <w:rFonts w:ascii="Arial" w:cs="Arial" w:eastAsia="Arial" w:hAnsi="Arial"/>
                <w:sz w:val="22"/>
                <w:szCs w:val="22"/>
                <w:color w:val="auto"/>
              </w:rPr>
              <w:t>Non-U.S. Ownership</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5.10</w:t>
            </w:r>
          </w:p>
        </w:tc>
        <w:tc>
          <w:tcPr>
            <w:tcW w:w="8080" w:type="dxa"/>
            <w:vAlign w:val="bottom"/>
          </w:tcPr>
          <w:p>
            <w:pPr>
              <w:ind w:left="220"/>
              <w:spacing w:after="0"/>
              <w:rPr>
                <w:sz w:val="20"/>
                <w:szCs w:val="20"/>
                <w:color w:val="auto"/>
              </w:rPr>
            </w:pPr>
            <w:r>
              <w:rPr>
                <w:rFonts w:ascii="Arial" w:cs="Arial" w:eastAsia="Arial" w:hAnsi="Arial"/>
                <w:sz w:val="22"/>
                <w:szCs w:val="22"/>
                <w:color w:val="auto"/>
              </w:rPr>
              <w:t>Purchaser Shares</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5.11</w:t>
            </w:r>
          </w:p>
        </w:tc>
        <w:tc>
          <w:tcPr>
            <w:tcW w:w="8080" w:type="dxa"/>
            <w:vAlign w:val="bottom"/>
          </w:tcPr>
          <w:p>
            <w:pPr>
              <w:ind w:left="220"/>
              <w:spacing w:after="0"/>
              <w:rPr>
                <w:sz w:val="20"/>
                <w:szCs w:val="20"/>
                <w:color w:val="auto"/>
              </w:rPr>
            </w:pPr>
            <w:r>
              <w:rPr>
                <w:rFonts w:ascii="Arial" w:cs="Arial" w:eastAsia="Arial" w:hAnsi="Arial"/>
                <w:sz w:val="22"/>
                <w:szCs w:val="22"/>
                <w:color w:val="auto"/>
              </w:rPr>
              <w:t>SEC Reports; Financial Statements</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5.12</w:t>
            </w:r>
          </w:p>
        </w:tc>
        <w:tc>
          <w:tcPr>
            <w:tcW w:w="8080" w:type="dxa"/>
            <w:vAlign w:val="bottom"/>
          </w:tcPr>
          <w:p>
            <w:pPr>
              <w:ind w:left="220"/>
              <w:spacing w:after="0"/>
              <w:rPr>
                <w:sz w:val="20"/>
                <w:szCs w:val="20"/>
                <w:color w:val="auto"/>
              </w:rPr>
            </w:pPr>
            <w:r>
              <w:rPr>
                <w:rFonts w:ascii="Arial" w:cs="Arial" w:eastAsia="Arial" w:hAnsi="Arial"/>
                <w:sz w:val="22"/>
                <w:szCs w:val="22"/>
                <w:color w:val="auto"/>
                <w:w w:val="99"/>
              </w:rPr>
              <w:t>No Other Representations and Warranties; No Reliance; Purchaser Investigation</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ARTICLE VI CONDUCT OF BUSINESS</w:t>
            </w:r>
          </w:p>
        </w:tc>
        <w:tc>
          <w:tcPr>
            <w:tcW w:w="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6.1</w:t>
            </w:r>
          </w:p>
        </w:tc>
        <w:tc>
          <w:tcPr>
            <w:tcW w:w="8080" w:type="dxa"/>
            <w:vAlign w:val="bottom"/>
          </w:tcPr>
          <w:p>
            <w:pPr>
              <w:ind w:left="220"/>
              <w:spacing w:after="0"/>
              <w:rPr>
                <w:sz w:val="20"/>
                <w:szCs w:val="20"/>
                <w:color w:val="auto"/>
              </w:rPr>
            </w:pPr>
            <w:r>
              <w:rPr>
                <w:rFonts w:ascii="Arial" w:cs="Arial" w:eastAsia="Arial" w:hAnsi="Arial"/>
                <w:sz w:val="22"/>
                <w:szCs w:val="22"/>
                <w:color w:val="auto"/>
              </w:rPr>
              <w:t>Conduct of the Company Pending the Closing</w:t>
            </w:r>
          </w:p>
        </w:tc>
        <w:tc>
          <w:tcPr>
            <w:tcW w:w="780" w:type="dxa"/>
            <w:vAlign w:val="bottom"/>
          </w:tcPr>
          <w:p>
            <w:pPr>
              <w:jc w:val="right"/>
              <w:spacing w:after="0"/>
              <w:rPr>
                <w:sz w:val="20"/>
                <w:szCs w:val="20"/>
                <w:color w:val="auto"/>
              </w:rPr>
            </w:pPr>
            <w:r>
              <w:rPr>
                <w:rFonts w:ascii="Arial" w:cs="Arial" w:eastAsia="Arial" w:hAnsi="Arial"/>
                <w:sz w:val="22"/>
                <w:szCs w:val="22"/>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504190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334" w:right="10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74"/>
        </w:trPr>
        <w:tc>
          <w:tcPr>
            <w:tcW w:w="860" w:type="dxa"/>
            <w:vAlign w:val="bottom"/>
          </w:tcPr>
          <w:p>
            <w:pPr>
              <w:jc w:val="center"/>
              <w:spacing w:after="0"/>
              <w:rPr>
                <w:sz w:val="20"/>
                <w:szCs w:val="20"/>
                <w:color w:val="auto"/>
              </w:rPr>
            </w:pPr>
            <w:r>
              <w:rPr>
                <w:rFonts w:ascii="Arial" w:cs="Arial" w:eastAsia="Arial" w:hAnsi="Arial"/>
                <w:sz w:val="22"/>
                <w:szCs w:val="22"/>
                <w:color w:val="auto"/>
                <w:w w:val="84"/>
              </w:rPr>
              <w:t>6.2</w:t>
            </w:r>
          </w:p>
        </w:tc>
        <w:tc>
          <w:tcPr>
            <w:tcW w:w="7240" w:type="dxa"/>
            <w:vAlign w:val="bottom"/>
          </w:tcPr>
          <w:p>
            <w:pPr>
              <w:ind w:left="220"/>
              <w:spacing w:after="0"/>
              <w:rPr>
                <w:sz w:val="20"/>
                <w:szCs w:val="20"/>
                <w:color w:val="auto"/>
              </w:rPr>
            </w:pPr>
            <w:r>
              <w:rPr>
                <w:rFonts w:ascii="Arial" w:cs="Arial" w:eastAsia="Arial" w:hAnsi="Arial"/>
                <w:sz w:val="22"/>
                <w:szCs w:val="22"/>
                <w:color w:val="auto"/>
              </w:rPr>
              <w:t>Control of Business</w:t>
            </w:r>
          </w:p>
        </w:tc>
        <w:tc>
          <w:tcPr>
            <w:tcW w:w="16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8100" w:type="dxa"/>
            <w:vAlign w:val="bottom"/>
            <w:gridSpan w:val="2"/>
          </w:tcPr>
          <w:p>
            <w:pPr>
              <w:spacing w:after="0"/>
              <w:rPr>
                <w:sz w:val="20"/>
                <w:szCs w:val="20"/>
                <w:color w:val="auto"/>
              </w:rPr>
            </w:pPr>
            <w:r>
              <w:rPr>
                <w:rFonts w:ascii="Arial" w:cs="Arial" w:eastAsia="Arial" w:hAnsi="Arial"/>
                <w:sz w:val="22"/>
                <w:szCs w:val="22"/>
                <w:color w:val="auto"/>
              </w:rPr>
              <w:t>ARTICLE VII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7.1</w:t>
            </w:r>
          </w:p>
        </w:tc>
        <w:tc>
          <w:tcPr>
            <w:tcW w:w="7240" w:type="dxa"/>
            <w:vAlign w:val="bottom"/>
          </w:tcPr>
          <w:p>
            <w:pPr>
              <w:ind w:left="220"/>
              <w:spacing w:after="0"/>
              <w:rPr>
                <w:sz w:val="20"/>
                <w:szCs w:val="20"/>
                <w:color w:val="auto"/>
              </w:rPr>
            </w:pPr>
            <w:r>
              <w:rPr>
                <w:rFonts w:ascii="Arial" w:cs="Arial" w:eastAsia="Arial" w:hAnsi="Arial"/>
                <w:sz w:val="22"/>
                <w:szCs w:val="22"/>
                <w:color w:val="auto"/>
              </w:rPr>
              <w:t>Access to Information</w:t>
            </w:r>
          </w:p>
        </w:tc>
        <w:tc>
          <w:tcPr>
            <w:tcW w:w="16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7.2</w:t>
            </w:r>
          </w:p>
        </w:tc>
        <w:tc>
          <w:tcPr>
            <w:tcW w:w="7240" w:type="dxa"/>
            <w:vAlign w:val="bottom"/>
          </w:tcPr>
          <w:p>
            <w:pPr>
              <w:ind w:left="220"/>
              <w:spacing w:after="0"/>
              <w:rPr>
                <w:sz w:val="20"/>
                <w:szCs w:val="20"/>
                <w:color w:val="auto"/>
              </w:rPr>
            </w:pPr>
            <w:r>
              <w:rPr>
                <w:rFonts w:ascii="Arial" w:cs="Arial" w:eastAsia="Arial" w:hAnsi="Arial"/>
                <w:sz w:val="22"/>
                <w:szCs w:val="22"/>
                <w:color w:val="auto"/>
              </w:rPr>
              <w:t>Cooperation; Filings and Approvals</w:t>
            </w:r>
          </w:p>
        </w:tc>
        <w:tc>
          <w:tcPr>
            <w:tcW w:w="16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7.3</w:t>
            </w:r>
          </w:p>
        </w:tc>
        <w:tc>
          <w:tcPr>
            <w:tcW w:w="724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16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7.4</w:t>
            </w:r>
          </w:p>
        </w:tc>
        <w:tc>
          <w:tcPr>
            <w:tcW w:w="7240" w:type="dxa"/>
            <w:vAlign w:val="bottom"/>
          </w:tcPr>
          <w:p>
            <w:pPr>
              <w:ind w:left="220"/>
              <w:spacing w:after="0"/>
              <w:rPr>
                <w:sz w:val="20"/>
                <w:szCs w:val="20"/>
                <w:color w:val="auto"/>
              </w:rPr>
            </w:pPr>
            <w:r>
              <w:rPr>
                <w:rFonts w:ascii="Arial" w:cs="Arial" w:eastAsia="Arial" w:hAnsi="Arial"/>
                <w:sz w:val="22"/>
                <w:szCs w:val="22"/>
                <w:color w:val="auto"/>
              </w:rPr>
              <w:t>Preservation of Records</w:t>
            </w:r>
          </w:p>
        </w:tc>
        <w:tc>
          <w:tcPr>
            <w:tcW w:w="16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7.5</w:t>
            </w:r>
          </w:p>
        </w:tc>
        <w:tc>
          <w:tcPr>
            <w:tcW w:w="7240" w:type="dxa"/>
            <w:vAlign w:val="bottom"/>
          </w:tcPr>
          <w:p>
            <w:pPr>
              <w:ind w:left="220"/>
              <w:spacing w:after="0"/>
              <w:rPr>
                <w:sz w:val="20"/>
                <w:szCs w:val="20"/>
                <w:color w:val="auto"/>
              </w:rPr>
            </w:pPr>
            <w:r>
              <w:rPr>
                <w:rFonts w:ascii="Arial" w:cs="Arial" w:eastAsia="Arial" w:hAnsi="Arial"/>
                <w:sz w:val="22"/>
                <w:szCs w:val="22"/>
                <w:color w:val="auto"/>
              </w:rPr>
              <w:t>Publicity</w:t>
            </w:r>
          </w:p>
        </w:tc>
        <w:tc>
          <w:tcPr>
            <w:tcW w:w="16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7.6</w:t>
            </w:r>
          </w:p>
        </w:tc>
        <w:tc>
          <w:tcPr>
            <w:tcW w:w="7240" w:type="dxa"/>
            <w:vAlign w:val="bottom"/>
          </w:tcPr>
          <w:p>
            <w:pPr>
              <w:ind w:left="220"/>
              <w:spacing w:after="0"/>
              <w:rPr>
                <w:sz w:val="20"/>
                <w:szCs w:val="20"/>
                <w:color w:val="auto"/>
              </w:rPr>
            </w:pPr>
            <w:r>
              <w:rPr>
                <w:rFonts w:ascii="Arial" w:cs="Arial" w:eastAsia="Arial" w:hAnsi="Arial"/>
                <w:sz w:val="22"/>
                <w:szCs w:val="22"/>
                <w:color w:val="auto"/>
              </w:rPr>
              <w:t>Satisfaction of Indebtedness</w:t>
            </w:r>
          </w:p>
        </w:tc>
        <w:tc>
          <w:tcPr>
            <w:tcW w:w="16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7.7</w:t>
            </w:r>
          </w:p>
        </w:tc>
        <w:tc>
          <w:tcPr>
            <w:tcW w:w="7240" w:type="dxa"/>
            <w:vAlign w:val="bottom"/>
          </w:tcPr>
          <w:p>
            <w:pPr>
              <w:ind w:left="220"/>
              <w:spacing w:after="0"/>
              <w:rPr>
                <w:sz w:val="20"/>
                <w:szCs w:val="20"/>
                <w:color w:val="auto"/>
              </w:rPr>
            </w:pPr>
            <w:r>
              <w:rPr>
                <w:rFonts w:ascii="Arial" w:cs="Arial" w:eastAsia="Arial" w:hAnsi="Arial"/>
                <w:sz w:val="22"/>
                <w:szCs w:val="22"/>
                <w:color w:val="auto"/>
              </w:rPr>
              <w:t>Employee Benefit Matters</w:t>
            </w:r>
          </w:p>
        </w:tc>
        <w:tc>
          <w:tcPr>
            <w:tcW w:w="16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7.8</w:t>
            </w:r>
          </w:p>
        </w:tc>
        <w:tc>
          <w:tcPr>
            <w:tcW w:w="7240" w:type="dxa"/>
            <w:vAlign w:val="bottom"/>
          </w:tcPr>
          <w:p>
            <w:pPr>
              <w:ind w:left="220"/>
              <w:spacing w:after="0"/>
              <w:rPr>
                <w:sz w:val="20"/>
                <w:szCs w:val="20"/>
                <w:color w:val="auto"/>
              </w:rPr>
            </w:pPr>
            <w:r>
              <w:rPr>
                <w:rFonts w:ascii="Arial" w:cs="Arial" w:eastAsia="Arial" w:hAnsi="Arial"/>
                <w:sz w:val="22"/>
                <w:szCs w:val="22"/>
                <w:color w:val="auto"/>
              </w:rPr>
              <w:t>Director and Officer Liability; Indemnification</w:t>
            </w:r>
          </w:p>
        </w:tc>
        <w:tc>
          <w:tcPr>
            <w:tcW w:w="16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7.9</w:t>
            </w:r>
          </w:p>
        </w:tc>
        <w:tc>
          <w:tcPr>
            <w:tcW w:w="7240" w:type="dxa"/>
            <w:vAlign w:val="bottom"/>
          </w:tcPr>
          <w:p>
            <w:pPr>
              <w:ind w:left="220"/>
              <w:spacing w:after="0"/>
              <w:rPr>
                <w:sz w:val="20"/>
                <w:szCs w:val="20"/>
                <w:color w:val="auto"/>
              </w:rPr>
            </w:pPr>
            <w:r>
              <w:rPr>
                <w:rFonts w:ascii="Arial" w:cs="Arial" w:eastAsia="Arial" w:hAnsi="Arial"/>
                <w:sz w:val="22"/>
                <w:szCs w:val="22"/>
                <w:color w:val="auto"/>
              </w:rPr>
              <w:t>Contact with Customers, Suppliers and Other Business Relations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7.10</w:t>
            </w:r>
          </w:p>
        </w:tc>
        <w:tc>
          <w:tcPr>
            <w:tcW w:w="7240" w:type="dxa"/>
            <w:vAlign w:val="bottom"/>
          </w:tcPr>
          <w:p>
            <w:pPr>
              <w:ind w:left="220"/>
              <w:spacing w:after="0"/>
              <w:rPr>
                <w:sz w:val="20"/>
                <w:szCs w:val="20"/>
                <w:color w:val="auto"/>
              </w:rPr>
            </w:pPr>
            <w:r>
              <w:rPr>
                <w:rFonts w:ascii="Arial" w:cs="Arial" w:eastAsia="Arial" w:hAnsi="Arial"/>
                <w:sz w:val="22"/>
                <w:szCs w:val="22"/>
                <w:color w:val="auto"/>
              </w:rPr>
              <w:t>Exclusivity</w:t>
            </w:r>
          </w:p>
        </w:tc>
        <w:tc>
          <w:tcPr>
            <w:tcW w:w="16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7.11</w:t>
            </w:r>
          </w:p>
        </w:tc>
        <w:tc>
          <w:tcPr>
            <w:tcW w:w="7240" w:type="dxa"/>
            <w:vAlign w:val="bottom"/>
          </w:tcPr>
          <w:p>
            <w:pPr>
              <w:ind w:left="220"/>
              <w:spacing w:after="0"/>
              <w:rPr>
                <w:sz w:val="20"/>
                <w:szCs w:val="20"/>
                <w:color w:val="auto"/>
              </w:rPr>
            </w:pPr>
            <w:r>
              <w:rPr>
                <w:rFonts w:ascii="Arial" w:cs="Arial" w:eastAsia="Arial" w:hAnsi="Arial"/>
                <w:sz w:val="22"/>
                <w:szCs w:val="22"/>
                <w:color w:val="auto"/>
              </w:rPr>
              <w:t>Notification of Certain Matters; Schedule Supplement.</w:t>
            </w:r>
          </w:p>
        </w:tc>
        <w:tc>
          <w:tcPr>
            <w:tcW w:w="16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7.12</w:t>
            </w:r>
          </w:p>
        </w:tc>
        <w:tc>
          <w:tcPr>
            <w:tcW w:w="7240" w:type="dxa"/>
            <w:vAlign w:val="bottom"/>
          </w:tcPr>
          <w:p>
            <w:pPr>
              <w:ind w:left="220"/>
              <w:spacing w:after="0"/>
              <w:rPr>
                <w:sz w:val="20"/>
                <w:szCs w:val="20"/>
                <w:color w:val="auto"/>
              </w:rPr>
            </w:pPr>
            <w:r>
              <w:rPr>
                <w:rFonts w:ascii="Arial" w:cs="Arial" w:eastAsia="Arial" w:hAnsi="Arial"/>
                <w:sz w:val="22"/>
                <w:szCs w:val="22"/>
                <w:color w:val="auto"/>
              </w:rPr>
              <w:t>Release</w:t>
            </w:r>
          </w:p>
        </w:tc>
        <w:tc>
          <w:tcPr>
            <w:tcW w:w="16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7.13</w:t>
            </w:r>
          </w:p>
        </w:tc>
        <w:tc>
          <w:tcPr>
            <w:tcW w:w="7240" w:type="dxa"/>
            <w:vAlign w:val="bottom"/>
          </w:tcPr>
          <w:p>
            <w:pPr>
              <w:ind w:left="220"/>
              <w:spacing w:after="0"/>
              <w:rPr>
                <w:sz w:val="20"/>
                <w:szCs w:val="20"/>
                <w:color w:val="auto"/>
              </w:rPr>
            </w:pPr>
            <w:r>
              <w:rPr>
                <w:rFonts w:ascii="Arial" w:cs="Arial" w:eastAsia="Arial" w:hAnsi="Arial"/>
                <w:sz w:val="22"/>
                <w:szCs w:val="22"/>
                <w:color w:val="auto"/>
              </w:rPr>
              <w:t>Restrictive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7.14</w:t>
            </w:r>
          </w:p>
        </w:tc>
        <w:tc>
          <w:tcPr>
            <w:tcW w:w="7240" w:type="dxa"/>
            <w:vAlign w:val="bottom"/>
          </w:tcPr>
          <w:p>
            <w:pPr>
              <w:ind w:left="220"/>
              <w:spacing w:after="0"/>
              <w:rPr>
                <w:sz w:val="20"/>
                <w:szCs w:val="20"/>
                <w:color w:val="auto"/>
              </w:rPr>
            </w:pPr>
            <w:r>
              <w:rPr>
                <w:rFonts w:ascii="Arial" w:cs="Arial" w:eastAsia="Arial" w:hAnsi="Arial"/>
                <w:sz w:val="22"/>
                <w:szCs w:val="22"/>
                <w:color w:val="auto"/>
              </w:rPr>
              <w:t>Cooperation with Financing</w:t>
            </w:r>
          </w:p>
        </w:tc>
        <w:tc>
          <w:tcPr>
            <w:tcW w:w="16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7.15</w:t>
            </w:r>
          </w:p>
        </w:tc>
        <w:tc>
          <w:tcPr>
            <w:tcW w:w="7240" w:type="dxa"/>
            <w:vAlign w:val="bottom"/>
          </w:tcPr>
          <w:p>
            <w:pPr>
              <w:ind w:left="220"/>
              <w:spacing w:after="0"/>
              <w:rPr>
                <w:sz w:val="20"/>
                <w:szCs w:val="20"/>
                <w:color w:val="auto"/>
              </w:rPr>
            </w:pPr>
            <w:r>
              <w:rPr>
                <w:rFonts w:ascii="Arial" w:cs="Arial" w:eastAsia="Arial" w:hAnsi="Arial"/>
                <w:sz w:val="22"/>
                <w:szCs w:val="22"/>
                <w:color w:val="auto"/>
              </w:rPr>
              <w:t>Financing</w:t>
            </w:r>
          </w:p>
        </w:tc>
        <w:tc>
          <w:tcPr>
            <w:tcW w:w="16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7.16</w:t>
            </w:r>
          </w:p>
        </w:tc>
        <w:tc>
          <w:tcPr>
            <w:tcW w:w="7240" w:type="dxa"/>
            <w:vAlign w:val="bottom"/>
          </w:tcPr>
          <w:p>
            <w:pPr>
              <w:ind w:left="220"/>
              <w:spacing w:after="0"/>
              <w:rPr>
                <w:sz w:val="20"/>
                <w:szCs w:val="20"/>
                <w:color w:val="auto"/>
              </w:rPr>
            </w:pPr>
            <w:r>
              <w:rPr>
                <w:rFonts w:ascii="Arial" w:cs="Arial" w:eastAsia="Arial" w:hAnsi="Arial"/>
                <w:sz w:val="22"/>
                <w:szCs w:val="22"/>
                <w:color w:val="auto"/>
              </w:rPr>
              <w:t>Stock Consideration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7.17</w:t>
            </w:r>
          </w:p>
        </w:tc>
        <w:tc>
          <w:tcPr>
            <w:tcW w:w="7240" w:type="dxa"/>
            <w:vAlign w:val="bottom"/>
          </w:tcPr>
          <w:p>
            <w:pPr>
              <w:ind w:left="220"/>
              <w:spacing w:after="0"/>
              <w:rPr>
                <w:sz w:val="20"/>
                <w:szCs w:val="20"/>
                <w:color w:val="auto"/>
              </w:rPr>
            </w:pPr>
            <w:r>
              <w:rPr>
                <w:rFonts w:ascii="Arial" w:cs="Arial" w:eastAsia="Arial" w:hAnsi="Arial"/>
                <w:sz w:val="22"/>
                <w:szCs w:val="22"/>
                <w:color w:val="auto"/>
              </w:rPr>
              <w:t>Purchaser RWI Policy</w:t>
            </w:r>
          </w:p>
        </w:tc>
        <w:tc>
          <w:tcPr>
            <w:tcW w:w="16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7.18</w:t>
            </w:r>
          </w:p>
        </w:tc>
        <w:tc>
          <w:tcPr>
            <w:tcW w:w="7240" w:type="dxa"/>
            <w:vAlign w:val="bottom"/>
          </w:tcPr>
          <w:p>
            <w:pPr>
              <w:ind w:left="220"/>
              <w:spacing w:after="0"/>
              <w:rPr>
                <w:sz w:val="20"/>
                <w:szCs w:val="20"/>
                <w:color w:val="auto"/>
              </w:rPr>
            </w:pPr>
            <w:r>
              <w:rPr>
                <w:rFonts w:ascii="Arial" w:cs="Arial" w:eastAsia="Arial" w:hAnsi="Arial"/>
                <w:sz w:val="22"/>
                <w:szCs w:val="22"/>
                <w:color w:val="auto"/>
              </w:rPr>
              <w:t>Shareholder Guarantees</w:t>
            </w:r>
          </w:p>
        </w:tc>
        <w:tc>
          <w:tcPr>
            <w:tcW w:w="1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8100" w:type="dxa"/>
            <w:vAlign w:val="bottom"/>
            <w:gridSpan w:val="2"/>
          </w:tcPr>
          <w:p>
            <w:pPr>
              <w:spacing w:after="0"/>
              <w:rPr>
                <w:sz w:val="20"/>
                <w:szCs w:val="20"/>
                <w:color w:val="auto"/>
              </w:rPr>
            </w:pPr>
            <w:r>
              <w:rPr>
                <w:rFonts w:ascii="Arial" w:cs="Arial" w:eastAsia="Arial" w:hAnsi="Arial"/>
                <w:sz w:val="22"/>
                <w:szCs w:val="22"/>
                <w:color w:val="auto"/>
              </w:rPr>
              <w:t>ARTICLE VIII CONDITIONS TO CLOSING</w:t>
            </w:r>
          </w:p>
        </w:tc>
        <w:tc>
          <w:tcPr>
            <w:tcW w:w="1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8.1</w:t>
            </w:r>
          </w:p>
        </w:tc>
        <w:tc>
          <w:tcPr>
            <w:tcW w:w="7240" w:type="dxa"/>
            <w:vAlign w:val="bottom"/>
          </w:tcPr>
          <w:p>
            <w:pPr>
              <w:ind w:left="220"/>
              <w:spacing w:after="0"/>
              <w:rPr>
                <w:sz w:val="20"/>
                <w:szCs w:val="20"/>
                <w:color w:val="auto"/>
              </w:rPr>
            </w:pPr>
            <w:r>
              <w:rPr>
                <w:rFonts w:ascii="Arial" w:cs="Arial" w:eastAsia="Arial" w:hAnsi="Arial"/>
                <w:sz w:val="22"/>
                <w:szCs w:val="22"/>
                <w:color w:val="auto"/>
              </w:rPr>
              <w:t>Conditions Precedent to Obligation of the Parties</w:t>
            </w:r>
          </w:p>
        </w:tc>
        <w:tc>
          <w:tcPr>
            <w:tcW w:w="1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8.2</w:t>
            </w:r>
          </w:p>
        </w:tc>
        <w:tc>
          <w:tcPr>
            <w:tcW w:w="7240" w:type="dxa"/>
            <w:vAlign w:val="bottom"/>
          </w:tcPr>
          <w:p>
            <w:pPr>
              <w:ind w:left="220"/>
              <w:spacing w:after="0"/>
              <w:rPr>
                <w:sz w:val="20"/>
                <w:szCs w:val="20"/>
                <w:color w:val="auto"/>
              </w:rPr>
            </w:pPr>
            <w:r>
              <w:rPr>
                <w:rFonts w:ascii="Arial" w:cs="Arial" w:eastAsia="Arial" w:hAnsi="Arial"/>
                <w:sz w:val="22"/>
                <w:szCs w:val="22"/>
                <w:color w:val="auto"/>
              </w:rPr>
              <w:t>Conditions Precedent to Obligation of Purchaser</w:t>
            </w:r>
          </w:p>
        </w:tc>
        <w:tc>
          <w:tcPr>
            <w:tcW w:w="16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8.3</w:t>
            </w:r>
          </w:p>
        </w:tc>
        <w:tc>
          <w:tcPr>
            <w:tcW w:w="7240" w:type="dxa"/>
            <w:vAlign w:val="bottom"/>
          </w:tcPr>
          <w:p>
            <w:pPr>
              <w:ind w:left="220"/>
              <w:spacing w:after="0"/>
              <w:rPr>
                <w:sz w:val="20"/>
                <w:szCs w:val="20"/>
                <w:color w:val="auto"/>
              </w:rPr>
            </w:pPr>
            <w:r>
              <w:rPr>
                <w:rFonts w:ascii="Arial" w:cs="Arial" w:eastAsia="Arial" w:hAnsi="Arial"/>
                <w:sz w:val="22"/>
                <w:szCs w:val="22"/>
                <w:color w:val="auto"/>
              </w:rPr>
              <w:t>Conditions Precedent to Obligation of Sellers</w:t>
            </w:r>
          </w:p>
        </w:tc>
        <w:tc>
          <w:tcPr>
            <w:tcW w:w="16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8100" w:type="dxa"/>
            <w:vAlign w:val="bottom"/>
            <w:gridSpan w:val="2"/>
          </w:tcPr>
          <w:p>
            <w:pPr>
              <w:spacing w:after="0"/>
              <w:rPr>
                <w:sz w:val="20"/>
                <w:szCs w:val="20"/>
                <w:color w:val="auto"/>
              </w:rPr>
            </w:pPr>
            <w:r>
              <w:rPr>
                <w:rFonts w:ascii="Arial" w:cs="Arial" w:eastAsia="Arial" w:hAnsi="Arial"/>
                <w:sz w:val="22"/>
                <w:szCs w:val="22"/>
                <w:color w:val="auto"/>
              </w:rPr>
              <w:t>ARTICLE IX TERMINATION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9.1</w:t>
            </w:r>
          </w:p>
        </w:tc>
        <w:tc>
          <w:tcPr>
            <w:tcW w:w="7240" w:type="dxa"/>
            <w:vAlign w:val="bottom"/>
          </w:tcPr>
          <w:p>
            <w:pPr>
              <w:ind w:left="220"/>
              <w:spacing w:after="0"/>
              <w:rPr>
                <w:sz w:val="20"/>
                <w:szCs w:val="20"/>
                <w:color w:val="auto"/>
              </w:rPr>
            </w:pPr>
            <w:r>
              <w:rPr>
                <w:rFonts w:ascii="Arial" w:cs="Arial" w:eastAsia="Arial" w:hAnsi="Arial"/>
                <w:sz w:val="22"/>
                <w:szCs w:val="22"/>
                <w:color w:val="auto"/>
              </w:rPr>
              <w:t>Termination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9.2</w:t>
            </w:r>
          </w:p>
        </w:tc>
        <w:tc>
          <w:tcPr>
            <w:tcW w:w="7240" w:type="dxa"/>
            <w:vAlign w:val="bottom"/>
          </w:tcPr>
          <w:p>
            <w:pPr>
              <w:ind w:left="220"/>
              <w:spacing w:after="0"/>
              <w:rPr>
                <w:sz w:val="20"/>
                <w:szCs w:val="20"/>
                <w:color w:val="auto"/>
              </w:rPr>
            </w:pPr>
            <w:r>
              <w:rPr>
                <w:rFonts w:ascii="Arial" w:cs="Arial" w:eastAsia="Arial" w:hAnsi="Arial"/>
                <w:sz w:val="22"/>
                <w:szCs w:val="22"/>
                <w:color w:val="auto"/>
              </w:rPr>
              <w:t>Termination Procedure</w:t>
            </w:r>
          </w:p>
        </w:tc>
        <w:tc>
          <w:tcPr>
            <w:tcW w:w="16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4"/>
              </w:rPr>
              <w:t>9.3</w:t>
            </w:r>
          </w:p>
        </w:tc>
        <w:tc>
          <w:tcPr>
            <w:tcW w:w="7240" w:type="dxa"/>
            <w:vAlign w:val="bottom"/>
          </w:tcPr>
          <w:p>
            <w:pPr>
              <w:ind w:left="220"/>
              <w:spacing w:after="0"/>
              <w:rPr>
                <w:sz w:val="20"/>
                <w:szCs w:val="20"/>
                <w:color w:val="auto"/>
              </w:rPr>
            </w:pPr>
            <w:r>
              <w:rPr>
                <w:rFonts w:ascii="Arial" w:cs="Arial" w:eastAsia="Arial" w:hAnsi="Arial"/>
                <w:sz w:val="22"/>
                <w:szCs w:val="22"/>
                <w:color w:val="auto"/>
              </w:rPr>
              <w:t>Effect of Termination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8100" w:type="dxa"/>
            <w:vAlign w:val="bottom"/>
            <w:gridSpan w:val="2"/>
          </w:tcPr>
          <w:p>
            <w:pPr>
              <w:spacing w:after="0"/>
              <w:rPr>
                <w:sz w:val="20"/>
                <w:szCs w:val="20"/>
                <w:color w:val="auto"/>
              </w:rPr>
            </w:pPr>
            <w:r>
              <w:rPr>
                <w:rFonts w:ascii="Arial" w:cs="Arial" w:eastAsia="Arial" w:hAnsi="Arial"/>
                <w:sz w:val="22"/>
                <w:szCs w:val="22"/>
                <w:color w:val="auto"/>
              </w:rPr>
              <w:t>ARTICLE X INDEMNIFICATION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10.1</w:t>
            </w:r>
          </w:p>
        </w:tc>
        <w:tc>
          <w:tcPr>
            <w:tcW w:w="7240" w:type="dxa"/>
            <w:vAlign w:val="bottom"/>
          </w:tcPr>
          <w:p>
            <w:pPr>
              <w:ind w:left="220"/>
              <w:spacing w:after="0"/>
              <w:rPr>
                <w:sz w:val="20"/>
                <w:szCs w:val="20"/>
                <w:color w:val="auto"/>
              </w:rPr>
            </w:pPr>
            <w:r>
              <w:rPr>
                <w:rFonts w:ascii="Arial" w:cs="Arial" w:eastAsia="Arial" w:hAnsi="Arial"/>
                <w:sz w:val="22"/>
                <w:szCs w:val="22"/>
                <w:color w:val="auto"/>
              </w:rPr>
              <w:t>Survival of Representations, Warranties</w:t>
            </w:r>
          </w:p>
        </w:tc>
        <w:tc>
          <w:tcPr>
            <w:tcW w:w="1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10.2</w:t>
            </w:r>
          </w:p>
        </w:tc>
        <w:tc>
          <w:tcPr>
            <w:tcW w:w="7240" w:type="dxa"/>
            <w:vAlign w:val="bottom"/>
          </w:tcPr>
          <w:p>
            <w:pPr>
              <w:ind w:left="220"/>
              <w:spacing w:after="0"/>
              <w:rPr>
                <w:sz w:val="20"/>
                <w:szCs w:val="20"/>
                <w:color w:val="auto"/>
              </w:rPr>
            </w:pPr>
            <w:r>
              <w:rPr>
                <w:rFonts w:ascii="Arial" w:cs="Arial" w:eastAsia="Arial" w:hAnsi="Arial"/>
                <w:sz w:val="22"/>
                <w:szCs w:val="22"/>
                <w:color w:val="auto"/>
              </w:rPr>
              <w:t>General Indemnification</w:t>
            </w:r>
          </w:p>
        </w:tc>
        <w:tc>
          <w:tcPr>
            <w:tcW w:w="1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10.3</w:t>
            </w:r>
          </w:p>
        </w:tc>
        <w:tc>
          <w:tcPr>
            <w:tcW w:w="7240" w:type="dxa"/>
            <w:vAlign w:val="bottom"/>
          </w:tcPr>
          <w:p>
            <w:pPr>
              <w:ind w:left="220"/>
              <w:spacing w:after="0"/>
              <w:rPr>
                <w:sz w:val="20"/>
                <w:szCs w:val="20"/>
                <w:color w:val="auto"/>
              </w:rPr>
            </w:pPr>
            <w:r>
              <w:rPr>
                <w:rFonts w:ascii="Arial" w:cs="Arial" w:eastAsia="Arial" w:hAnsi="Arial"/>
                <w:sz w:val="22"/>
                <w:szCs w:val="22"/>
                <w:color w:val="auto"/>
              </w:rPr>
              <w:t>Limitations on Indemnification</w:t>
            </w:r>
          </w:p>
        </w:tc>
        <w:tc>
          <w:tcPr>
            <w:tcW w:w="16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860" w:type="dxa"/>
            <w:vAlign w:val="bottom"/>
          </w:tcPr>
          <w:p>
            <w:pPr>
              <w:jc w:val="center"/>
              <w:spacing w:after="0"/>
              <w:rPr>
                <w:sz w:val="20"/>
                <w:szCs w:val="20"/>
                <w:color w:val="auto"/>
              </w:rPr>
            </w:pPr>
            <w:r>
              <w:rPr>
                <w:rFonts w:ascii="Arial" w:cs="Arial" w:eastAsia="Arial" w:hAnsi="Arial"/>
                <w:sz w:val="22"/>
                <w:szCs w:val="22"/>
                <w:color w:val="auto"/>
                <w:w w:val="88"/>
              </w:rPr>
              <w:t>10.4</w:t>
            </w:r>
          </w:p>
        </w:tc>
        <w:tc>
          <w:tcPr>
            <w:tcW w:w="7240" w:type="dxa"/>
            <w:vAlign w:val="bottom"/>
          </w:tcPr>
          <w:p>
            <w:pPr>
              <w:ind w:left="220"/>
              <w:spacing w:after="0"/>
              <w:rPr>
                <w:sz w:val="20"/>
                <w:szCs w:val="20"/>
                <w:color w:val="auto"/>
              </w:rPr>
            </w:pPr>
            <w:r>
              <w:rPr>
                <w:rFonts w:ascii="Arial" w:cs="Arial" w:eastAsia="Arial" w:hAnsi="Arial"/>
                <w:sz w:val="22"/>
                <w:szCs w:val="22"/>
                <w:color w:val="auto"/>
              </w:rPr>
              <w:t>Manner of Payment</w:t>
            </w:r>
          </w:p>
        </w:tc>
        <w:tc>
          <w:tcPr>
            <w:tcW w:w="1620" w:type="dxa"/>
            <w:vAlign w:val="bottom"/>
          </w:tcPr>
          <w:p>
            <w:pPr>
              <w:jc w:val="right"/>
              <w:spacing w:after="0"/>
              <w:rPr>
                <w:sz w:val="20"/>
                <w:szCs w:val="20"/>
                <w:color w:val="auto"/>
              </w:rPr>
            </w:pPr>
            <w:r>
              <w:rPr>
                <w:rFonts w:ascii="Arial" w:cs="Arial" w:eastAsia="Arial" w:hAnsi="Arial"/>
                <w:sz w:val="22"/>
                <w:szCs w:val="22"/>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504190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334" w:right="10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10.5</w:t>
            </w:r>
          </w:p>
        </w:tc>
        <w:tc>
          <w:tcPr>
            <w:tcW w:w="6740" w:type="dxa"/>
            <w:vAlign w:val="bottom"/>
          </w:tcPr>
          <w:p>
            <w:pPr>
              <w:ind w:left="300"/>
              <w:spacing w:after="0"/>
              <w:rPr>
                <w:sz w:val="20"/>
                <w:szCs w:val="20"/>
                <w:color w:val="auto"/>
              </w:rPr>
            </w:pPr>
            <w:r>
              <w:rPr>
                <w:rFonts w:ascii="Arial" w:cs="Arial" w:eastAsia="Arial" w:hAnsi="Arial"/>
                <w:sz w:val="22"/>
                <w:szCs w:val="22"/>
                <w:color w:val="auto"/>
              </w:rPr>
              <w:t>Claims Procedures</w:t>
            </w:r>
          </w:p>
        </w:tc>
        <w:tc>
          <w:tcPr>
            <w:tcW w:w="220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10.6</w:t>
            </w:r>
          </w:p>
        </w:tc>
        <w:tc>
          <w:tcPr>
            <w:tcW w:w="6740" w:type="dxa"/>
            <w:vAlign w:val="bottom"/>
          </w:tcPr>
          <w:p>
            <w:pPr>
              <w:ind w:left="300"/>
              <w:spacing w:after="0"/>
              <w:rPr>
                <w:sz w:val="20"/>
                <w:szCs w:val="20"/>
                <w:color w:val="auto"/>
              </w:rPr>
            </w:pPr>
            <w:r>
              <w:rPr>
                <w:rFonts w:ascii="Arial" w:cs="Arial" w:eastAsia="Arial" w:hAnsi="Arial"/>
                <w:sz w:val="22"/>
                <w:szCs w:val="22"/>
                <w:color w:val="auto"/>
              </w:rPr>
              <w:t>Final Purchase Price Adjustment</w:t>
            </w:r>
          </w:p>
        </w:tc>
        <w:tc>
          <w:tcPr>
            <w:tcW w:w="2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10.7</w:t>
            </w:r>
          </w:p>
        </w:tc>
        <w:tc>
          <w:tcPr>
            <w:tcW w:w="6740" w:type="dxa"/>
            <w:vAlign w:val="bottom"/>
          </w:tcPr>
          <w:p>
            <w:pPr>
              <w:ind w:left="300"/>
              <w:spacing w:after="0"/>
              <w:rPr>
                <w:sz w:val="20"/>
                <w:szCs w:val="20"/>
                <w:color w:val="auto"/>
              </w:rPr>
            </w:pPr>
            <w:r>
              <w:rPr>
                <w:rFonts w:ascii="Arial" w:cs="Arial" w:eastAsia="Arial" w:hAnsi="Arial"/>
                <w:sz w:val="22"/>
                <w:szCs w:val="22"/>
                <w:color w:val="auto"/>
              </w:rPr>
              <w:t>Release of Indemnification Escrow Funds</w:t>
            </w:r>
          </w:p>
        </w:tc>
        <w:tc>
          <w:tcPr>
            <w:tcW w:w="2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10.8</w:t>
            </w:r>
          </w:p>
        </w:tc>
        <w:tc>
          <w:tcPr>
            <w:tcW w:w="6740" w:type="dxa"/>
            <w:vAlign w:val="bottom"/>
          </w:tcPr>
          <w:p>
            <w:pPr>
              <w:ind w:left="300"/>
              <w:spacing w:after="0"/>
              <w:rPr>
                <w:sz w:val="20"/>
                <w:szCs w:val="20"/>
                <w:color w:val="auto"/>
              </w:rPr>
            </w:pPr>
            <w:r>
              <w:rPr>
                <w:rFonts w:ascii="Arial" w:cs="Arial" w:eastAsia="Arial" w:hAnsi="Arial"/>
                <w:sz w:val="22"/>
                <w:szCs w:val="22"/>
                <w:color w:val="auto"/>
              </w:rPr>
              <w:t>Effect of Knowledge</w:t>
            </w:r>
          </w:p>
        </w:tc>
        <w:tc>
          <w:tcPr>
            <w:tcW w:w="2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10.9</w:t>
            </w:r>
          </w:p>
        </w:tc>
        <w:tc>
          <w:tcPr>
            <w:tcW w:w="6740" w:type="dxa"/>
            <w:vAlign w:val="bottom"/>
          </w:tcPr>
          <w:p>
            <w:pPr>
              <w:ind w:left="300"/>
              <w:spacing w:after="0"/>
              <w:rPr>
                <w:sz w:val="20"/>
                <w:szCs w:val="20"/>
                <w:color w:val="auto"/>
              </w:rPr>
            </w:pPr>
            <w:r>
              <w:rPr>
                <w:rFonts w:ascii="Arial" w:cs="Arial" w:eastAsia="Arial" w:hAnsi="Arial"/>
                <w:sz w:val="22"/>
                <w:szCs w:val="22"/>
                <w:color w:val="auto"/>
              </w:rPr>
              <w:t>Sole Remedy</w:t>
            </w:r>
          </w:p>
        </w:tc>
        <w:tc>
          <w:tcPr>
            <w:tcW w:w="2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7520" w:type="dxa"/>
            <w:vAlign w:val="bottom"/>
            <w:gridSpan w:val="2"/>
          </w:tcPr>
          <w:p>
            <w:pPr>
              <w:spacing w:after="0"/>
              <w:rPr>
                <w:sz w:val="20"/>
                <w:szCs w:val="20"/>
                <w:color w:val="auto"/>
              </w:rPr>
            </w:pPr>
            <w:r>
              <w:rPr>
                <w:rFonts w:ascii="Arial" w:cs="Arial" w:eastAsia="Arial" w:hAnsi="Arial"/>
                <w:sz w:val="22"/>
                <w:szCs w:val="22"/>
                <w:color w:val="auto"/>
              </w:rPr>
              <w:t>ARTICLE XI MISCELLANEOUS</w:t>
            </w:r>
          </w:p>
        </w:tc>
        <w:tc>
          <w:tcPr>
            <w:tcW w:w="2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w:t>
            </w:r>
          </w:p>
        </w:tc>
        <w:tc>
          <w:tcPr>
            <w:tcW w:w="6740" w:type="dxa"/>
            <w:vAlign w:val="bottom"/>
          </w:tcPr>
          <w:p>
            <w:pPr>
              <w:ind w:left="300"/>
              <w:spacing w:after="0"/>
              <w:rPr>
                <w:sz w:val="20"/>
                <w:szCs w:val="20"/>
                <w:color w:val="auto"/>
              </w:rPr>
            </w:pPr>
            <w:r>
              <w:rPr>
                <w:rFonts w:ascii="Arial" w:cs="Arial" w:eastAsia="Arial" w:hAnsi="Arial"/>
                <w:sz w:val="22"/>
                <w:szCs w:val="22"/>
                <w:color w:val="auto"/>
              </w:rPr>
              <w:t>Tax Matters</w:t>
            </w:r>
          </w:p>
        </w:tc>
        <w:tc>
          <w:tcPr>
            <w:tcW w:w="2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11.2</w:t>
            </w:r>
          </w:p>
        </w:tc>
        <w:tc>
          <w:tcPr>
            <w:tcW w:w="6740" w:type="dxa"/>
            <w:vAlign w:val="bottom"/>
          </w:tcPr>
          <w:p>
            <w:pPr>
              <w:ind w:left="300"/>
              <w:spacing w:after="0"/>
              <w:rPr>
                <w:sz w:val="20"/>
                <w:szCs w:val="20"/>
                <w:color w:val="auto"/>
              </w:rPr>
            </w:pPr>
            <w:r>
              <w:rPr>
                <w:rFonts w:ascii="Arial" w:cs="Arial" w:eastAsia="Arial" w:hAnsi="Arial"/>
                <w:sz w:val="22"/>
                <w:szCs w:val="22"/>
                <w:color w:val="auto"/>
              </w:rPr>
              <w:t>Expenses</w:t>
            </w:r>
          </w:p>
        </w:tc>
        <w:tc>
          <w:tcPr>
            <w:tcW w:w="22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11.3</w:t>
            </w:r>
          </w:p>
        </w:tc>
        <w:tc>
          <w:tcPr>
            <w:tcW w:w="674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22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11.4</w:t>
            </w:r>
          </w:p>
        </w:tc>
        <w:tc>
          <w:tcPr>
            <w:tcW w:w="6740" w:type="dxa"/>
            <w:vAlign w:val="bottom"/>
          </w:tcPr>
          <w:p>
            <w:pPr>
              <w:ind w:left="300"/>
              <w:spacing w:after="0"/>
              <w:rPr>
                <w:sz w:val="20"/>
                <w:szCs w:val="20"/>
                <w:color w:val="auto"/>
              </w:rPr>
            </w:pPr>
            <w:r>
              <w:rPr>
                <w:rFonts w:ascii="Arial" w:cs="Arial" w:eastAsia="Arial" w:hAnsi="Arial"/>
                <w:sz w:val="22"/>
                <w:szCs w:val="22"/>
                <w:color w:val="auto"/>
              </w:rPr>
              <w:t>Jurisdiction; Court Proceedings; Waiver of Jury Trial</w:t>
            </w:r>
          </w:p>
        </w:tc>
        <w:tc>
          <w:tcPr>
            <w:tcW w:w="22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11.5</w:t>
            </w:r>
          </w:p>
        </w:tc>
        <w:tc>
          <w:tcPr>
            <w:tcW w:w="6740" w:type="dxa"/>
            <w:vAlign w:val="bottom"/>
          </w:tcPr>
          <w:p>
            <w:pPr>
              <w:ind w:left="300"/>
              <w:spacing w:after="0"/>
              <w:rPr>
                <w:sz w:val="20"/>
                <w:szCs w:val="20"/>
                <w:color w:val="auto"/>
              </w:rPr>
            </w:pPr>
            <w:r>
              <w:rPr>
                <w:rFonts w:ascii="Arial" w:cs="Arial" w:eastAsia="Arial" w:hAnsi="Arial"/>
                <w:sz w:val="22"/>
                <w:szCs w:val="22"/>
                <w:color w:val="auto"/>
              </w:rPr>
              <w:t>Further Assurances</w:t>
            </w:r>
          </w:p>
        </w:tc>
        <w:tc>
          <w:tcPr>
            <w:tcW w:w="22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11.6</w:t>
            </w:r>
          </w:p>
        </w:tc>
        <w:tc>
          <w:tcPr>
            <w:tcW w:w="6740" w:type="dxa"/>
            <w:vAlign w:val="bottom"/>
          </w:tcPr>
          <w:p>
            <w:pPr>
              <w:ind w:left="300"/>
              <w:spacing w:after="0"/>
              <w:rPr>
                <w:sz w:val="20"/>
                <w:szCs w:val="20"/>
                <w:color w:val="auto"/>
              </w:rPr>
            </w:pPr>
            <w:r>
              <w:rPr>
                <w:rFonts w:ascii="Arial" w:cs="Arial" w:eastAsia="Arial" w:hAnsi="Arial"/>
                <w:sz w:val="22"/>
                <w:szCs w:val="22"/>
                <w:color w:val="auto"/>
              </w:rPr>
              <w:t>Entire Agreement</w:t>
            </w:r>
          </w:p>
        </w:tc>
        <w:tc>
          <w:tcPr>
            <w:tcW w:w="22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11.7</w:t>
            </w:r>
          </w:p>
        </w:tc>
        <w:tc>
          <w:tcPr>
            <w:tcW w:w="6740" w:type="dxa"/>
            <w:vAlign w:val="bottom"/>
          </w:tcPr>
          <w:p>
            <w:pPr>
              <w:ind w:left="300"/>
              <w:spacing w:after="0"/>
              <w:rPr>
                <w:sz w:val="20"/>
                <w:szCs w:val="20"/>
                <w:color w:val="auto"/>
              </w:rPr>
            </w:pPr>
            <w:r>
              <w:rPr>
                <w:rFonts w:ascii="Arial" w:cs="Arial" w:eastAsia="Arial" w:hAnsi="Arial"/>
                <w:sz w:val="22"/>
                <w:szCs w:val="22"/>
                <w:color w:val="auto"/>
              </w:rPr>
              <w:t>Amendment</w:t>
            </w:r>
          </w:p>
        </w:tc>
        <w:tc>
          <w:tcPr>
            <w:tcW w:w="22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11.8</w:t>
            </w:r>
          </w:p>
        </w:tc>
        <w:tc>
          <w:tcPr>
            <w:tcW w:w="6740" w:type="dxa"/>
            <w:vAlign w:val="bottom"/>
          </w:tcPr>
          <w:p>
            <w:pPr>
              <w:ind w:left="300"/>
              <w:spacing w:after="0"/>
              <w:rPr>
                <w:sz w:val="20"/>
                <w:szCs w:val="20"/>
                <w:color w:val="auto"/>
              </w:rPr>
            </w:pPr>
            <w:r>
              <w:rPr>
                <w:rFonts w:ascii="Arial" w:cs="Arial" w:eastAsia="Arial" w:hAnsi="Arial"/>
                <w:sz w:val="22"/>
                <w:szCs w:val="22"/>
                <w:color w:val="auto"/>
              </w:rPr>
              <w:t>Waivers</w:t>
            </w:r>
          </w:p>
        </w:tc>
        <w:tc>
          <w:tcPr>
            <w:tcW w:w="22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11.9</w:t>
            </w:r>
          </w:p>
        </w:tc>
        <w:tc>
          <w:tcPr>
            <w:tcW w:w="6740" w:type="dxa"/>
            <w:vAlign w:val="bottom"/>
          </w:tcPr>
          <w:p>
            <w:pPr>
              <w:ind w:left="300"/>
              <w:spacing w:after="0"/>
              <w:rPr>
                <w:sz w:val="20"/>
                <w:szCs w:val="20"/>
                <w:color w:val="auto"/>
              </w:rPr>
            </w:pPr>
            <w:r>
              <w:rPr>
                <w:rFonts w:ascii="Arial" w:cs="Arial" w:eastAsia="Arial" w:hAnsi="Arial"/>
                <w:sz w:val="22"/>
                <w:szCs w:val="22"/>
                <w:color w:val="auto"/>
              </w:rPr>
              <w:t>Notices</w:t>
            </w:r>
          </w:p>
        </w:tc>
        <w:tc>
          <w:tcPr>
            <w:tcW w:w="22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11.10</w:t>
            </w:r>
          </w:p>
        </w:tc>
        <w:tc>
          <w:tcPr>
            <w:tcW w:w="674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22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11.11</w:t>
            </w:r>
          </w:p>
        </w:tc>
        <w:tc>
          <w:tcPr>
            <w:tcW w:w="6740" w:type="dxa"/>
            <w:vAlign w:val="bottom"/>
          </w:tcPr>
          <w:p>
            <w:pPr>
              <w:ind w:left="300"/>
              <w:spacing w:after="0"/>
              <w:rPr>
                <w:sz w:val="20"/>
                <w:szCs w:val="20"/>
                <w:color w:val="auto"/>
              </w:rPr>
            </w:pPr>
            <w:r>
              <w:rPr>
                <w:rFonts w:ascii="Arial" w:cs="Arial" w:eastAsia="Arial" w:hAnsi="Arial"/>
                <w:sz w:val="22"/>
                <w:szCs w:val="22"/>
                <w:color w:val="auto"/>
              </w:rPr>
              <w:t>Specific Performance</w:t>
            </w:r>
          </w:p>
        </w:tc>
        <w:tc>
          <w:tcPr>
            <w:tcW w:w="22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11.12</w:t>
            </w:r>
          </w:p>
        </w:tc>
        <w:tc>
          <w:tcPr>
            <w:tcW w:w="6740" w:type="dxa"/>
            <w:vAlign w:val="bottom"/>
          </w:tcPr>
          <w:p>
            <w:pPr>
              <w:ind w:left="300"/>
              <w:spacing w:after="0"/>
              <w:rPr>
                <w:sz w:val="20"/>
                <w:szCs w:val="20"/>
                <w:color w:val="auto"/>
              </w:rPr>
            </w:pPr>
            <w:r>
              <w:rPr>
                <w:rFonts w:ascii="Arial" w:cs="Arial" w:eastAsia="Arial" w:hAnsi="Arial"/>
                <w:sz w:val="22"/>
                <w:szCs w:val="22"/>
                <w:color w:val="auto"/>
              </w:rPr>
              <w:t>Parties in Interest; Limitation on Rights of Others</w:t>
            </w:r>
          </w:p>
        </w:tc>
        <w:tc>
          <w:tcPr>
            <w:tcW w:w="22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11.13</w:t>
            </w:r>
          </w:p>
        </w:tc>
        <w:tc>
          <w:tcPr>
            <w:tcW w:w="6740" w:type="dxa"/>
            <w:vAlign w:val="bottom"/>
          </w:tcPr>
          <w:p>
            <w:pPr>
              <w:ind w:left="300"/>
              <w:spacing w:after="0"/>
              <w:rPr>
                <w:sz w:val="20"/>
                <w:szCs w:val="20"/>
                <w:color w:val="auto"/>
              </w:rPr>
            </w:pPr>
            <w:r>
              <w:rPr>
                <w:rFonts w:ascii="Arial" w:cs="Arial" w:eastAsia="Arial" w:hAnsi="Arial"/>
                <w:sz w:val="22"/>
                <w:szCs w:val="22"/>
                <w:color w:val="auto"/>
              </w:rPr>
              <w:t>Assignment</w:t>
            </w:r>
          </w:p>
        </w:tc>
        <w:tc>
          <w:tcPr>
            <w:tcW w:w="22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11.14</w:t>
            </w:r>
          </w:p>
        </w:tc>
        <w:tc>
          <w:tcPr>
            <w:tcW w:w="6740" w:type="dxa"/>
            <w:vAlign w:val="bottom"/>
          </w:tcPr>
          <w:p>
            <w:pPr>
              <w:ind w:left="300"/>
              <w:spacing w:after="0"/>
              <w:rPr>
                <w:sz w:val="20"/>
                <w:szCs w:val="20"/>
                <w:color w:val="auto"/>
              </w:rPr>
            </w:pPr>
            <w:r>
              <w:rPr>
                <w:rFonts w:ascii="Arial" w:cs="Arial" w:eastAsia="Arial" w:hAnsi="Arial"/>
                <w:sz w:val="22"/>
                <w:szCs w:val="22"/>
                <w:color w:val="auto"/>
              </w:rPr>
              <w:t>Cooperation with Legal Proceedings</w:t>
            </w:r>
          </w:p>
        </w:tc>
        <w:tc>
          <w:tcPr>
            <w:tcW w:w="22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11.15</w:t>
            </w:r>
          </w:p>
        </w:tc>
        <w:tc>
          <w:tcPr>
            <w:tcW w:w="6740" w:type="dxa"/>
            <w:vAlign w:val="bottom"/>
          </w:tcPr>
          <w:p>
            <w:pPr>
              <w:ind w:left="300"/>
              <w:spacing w:after="0"/>
              <w:rPr>
                <w:sz w:val="20"/>
                <w:szCs w:val="20"/>
                <w:color w:val="auto"/>
              </w:rPr>
            </w:pPr>
            <w:r>
              <w:rPr>
                <w:rFonts w:ascii="Arial" w:cs="Arial" w:eastAsia="Arial" w:hAnsi="Arial"/>
                <w:sz w:val="22"/>
                <w:szCs w:val="22"/>
                <w:color w:val="auto"/>
              </w:rPr>
              <w:t>Privileged Matters; Attorney Conflict Waiver</w:t>
            </w:r>
          </w:p>
        </w:tc>
        <w:tc>
          <w:tcPr>
            <w:tcW w:w="22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11.16</w:t>
            </w:r>
          </w:p>
        </w:tc>
        <w:tc>
          <w:tcPr>
            <w:tcW w:w="6740" w:type="dxa"/>
            <w:vAlign w:val="bottom"/>
          </w:tcPr>
          <w:p>
            <w:pPr>
              <w:ind w:left="300"/>
              <w:spacing w:after="0"/>
              <w:rPr>
                <w:sz w:val="20"/>
                <w:szCs w:val="20"/>
                <w:color w:val="auto"/>
              </w:rPr>
            </w:pPr>
            <w:r>
              <w:rPr>
                <w:rFonts w:ascii="Arial" w:cs="Arial" w:eastAsia="Arial" w:hAnsi="Arial"/>
                <w:sz w:val="22"/>
                <w:szCs w:val="22"/>
                <w:color w:val="auto"/>
              </w:rPr>
              <w:t>Authorization of the Sellers’ Representative</w:t>
            </w:r>
          </w:p>
        </w:tc>
        <w:tc>
          <w:tcPr>
            <w:tcW w:w="22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11.17</w:t>
            </w:r>
          </w:p>
        </w:tc>
        <w:tc>
          <w:tcPr>
            <w:tcW w:w="6740" w:type="dxa"/>
            <w:vAlign w:val="bottom"/>
          </w:tcPr>
          <w:p>
            <w:pPr>
              <w:ind w:left="300"/>
              <w:spacing w:after="0"/>
              <w:rPr>
                <w:sz w:val="20"/>
                <w:szCs w:val="20"/>
                <w:color w:val="auto"/>
              </w:rPr>
            </w:pPr>
            <w:r>
              <w:rPr>
                <w:rFonts w:ascii="Arial" w:cs="Arial" w:eastAsia="Arial" w:hAnsi="Arial"/>
                <w:sz w:val="22"/>
                <w:szCs w:val="22"/>
                <w:color w:val="auto"/>
              </w:rPr>
              <w:t>Non-Recourse</w:t>
            </w:r>
          </w:p>
        </w:tc>
        <w:tc>
          <w:tcPr>
            <w:tcW w:w="22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11.18</w:t>
            </w:r>
          </w:p>
        </w:tc>
        <w:tc>
          <w:tcPr>
            <w:tcW w:w="6740" w:type="dxa"/>
            <w:vAlign w:val="bottom"/>
          </w:tcPr>
          <w:p>
            <w:pPr>
              <w:ind w:left="300"/>
              <w:spacing w:after="0"/>
              <w:rPr>
                <w:sz w:val="20"/>
                <w:szCs w:val="20"/>
                <w:color w:val="auto"/>
              </w:rPr>
            </w:pPr>
            <w:r>
              <w:rPr>
                <w:rFonts w:ascii="Arial" w:cs="Arial" w:eastAsia="Arial" w:hAnsi="Arial"/>
                <w:sz w:val="22"/>
                <w:szCs w:val="22"/>
                <w:color w:val="auto"/>
              </w:rPr>
              <w:t>No Other Duties</w:t>
            </w:r>
          </w:p>
        </w:tc>
        <w:tc>
          <w:tcPr>
            <w:tcW w:w="22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11.19</w:t>
            </w:r>
          </w:p>
        </w:tc>
        <w:tc>
          <w:tcPr>
            <w:tcW w:w="6740" w:type="dxa"/>
            <w:vAlign w:val="bottom"/>
          </w:tcPr>
          <w:p>
            <w:pPr>
              <w:ind w:left="300"/>
              <w:spacing w:after="0"/>
              <w:rPr>
                <w:sz w:val="20"/>
                <w:szCs w:val="20"/>
                <w:color w:val="auto"/>
              </w:rPr>
            </w:pPr>
            <w:r>
              <w:rPr>
                <w:rFonts w:ascii="Arial" w:cs="Arial" w:eastAsia="Arial" w:hAnsi="Arial"/>
                <w:sz w:val="22"/>
                <w:szCs w:val="22"/>
                <w:color w:val="auto"/>
              </w:rPr>
              <w:t>Reliance on Counsel and Other Advisors</w:t>
            </w:r>
          </w:p>
        </w:tc>
        <w:tc>
          <w:tcPr>
            <w:tcW w:w="22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11.20</w:t>
            </w:r>
          </w:p>
        </w:tc>
        <w:tc>
          <w:tcPr>
            <w:tcW w:w="6740" w:type="dxa"/>
            <w:vAlign w:val="bottom"/>
          </w:tcPr>
          <w:p>
            <w:pPr>
              <w:ind w:left="300"/>
              <w:spacing w:after="0"/>
              <w:rPr>
                <w:sz w:val="20"/>
                <w:szCs w:val="20"/>
                <w:color w:val="auto"/>
              </w:rPr>
            </w:pPr>
            <w:r>
              <w:rPr>
                <w:rFonts w:ascii="Arial" w:cs="Arial" w:eastAsia="Arial" w:hAnsi="Arial"/>
                <w:sz w:val="22"/>
                <w:szCs w:val="22"/>
                <w:color w:val="auto"/>
              </w:rPr>
              <w:t>Disclosure Schedules</w:t>
            </w:r>
          </w:p>
        </w:tc>
        <w:tc>
          <w:tcPr>
            <w:tcW w:w="22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11.21</w:t>
            </w:r>
          </w:p>
        </w:tc>
        <w:tc>
          <w:tcPr>
            <w:tcW w:w="6740" w:type="dxa"/>
            <w:vAlign w:val="bottom"/>
          </w:tcPr>
          <w:p>
            <w:pPr>
              <w:ind w:left="300"/>
              <w:spacing w:after="0"/>
              <w:rPr>
                <w:sz w:val="20"/>
                <w:szCs w:val="20"/>
                <w:color w:val="auto"/>
              </w:rPr>
            </w:pPr>
            <w:r>
              <w:rPr>
                <w:rFonts w:ascii="Arial" w:cs="Arial" w:eastAsia="Arial" w:hAnsi="Arial"/>
                <w:sz w:val="22"/>
                <w:szCs w:val="22"/>
                <w:color w:val="auto"/>
              </w:rPr>
              <w:t>Reserved</w:t>
            </w:r>
          </w:p>
        </w:tc>
        <w:tc>
          <w:tcPr>
            <w:tcW w:w="22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11.22</w:t>
            </w:r>
          </w:p>
        </w:tc>
        <w:tc>
          <w:tcPr>
            <w:tcW w:w="6740" w:type="dxa"/>
            <w:vAlign w:val="bottom"/>
          </w:tcPr>
          <w:p>
            <w:pPr>
              <w:ind w:left="300"/>
              <w:spacing w:after="0"/>
              <w:rPr>
                <w:sz w:val="20"/>
                <w:szCs w:val="20"/>
                <w:color w:val="auto"/>
              </w:rPr>
            </w:pPr>
            <w:r>
              <w:rPr>
                <w:rFonts w:ascii="Arial" w:cs="Arial" w:eastAsia="Arial" w:hAnsi="Arial"/>
                <w:sz w:val="22"/>
                <w:szCs w:val="22"/>
                <w:color w:val="auto"/>
              </w:rPr>
              <w:t>Counterparts</w:t>
            </w:r>
          </w:p>
        </w:tc>
        <w:tc>
          <w:tcPr>
            <w:tcW w:w="22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11.23</w:t>
            </w:r>
          </w:p>
        </w:tc>
        <w:tc>
          <w:tcPr>
            <w:tcW w:w="6740" w:type="dxa"/>
            <w:vAlign w:val="bottom"/>
          </w:tcPr>
          <w:p>
            <w:pPr>
              <w:ind w:left="300"/>
              <w:spacing w:after="0"/>
              <w:rPr>
                <w:sz w:val="20"/>
                <w:szCs w:val="20"/>
                <w:color w:val="auto"/>
              </w:rPr>
            </w:pPr>
            <w:r>
              <w:rPr>
                <w:rFonts w:ascii="Arial" w:cs="Arial" w:eastAsia="Arial" w:hAnsi="Arial"/>
                <w:sz w:val="22"/>
                <w:szCs w:val="22"/>
                <w:color w:val="auto"/>
              </w:rPr>
              <w:t>Debt Financing Source Arrangements</w:t>
            </w:r>
          </w:p>
        </w:tc>
        <w:tc>
          <w:tcPr>
            <w:tcW w:w="22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7520" w:type="dxa"/>
            <w:vAlign w:val="bottom"/>
            <w:gridSpan w:val="2"/>
          </w:tcPr>
          <w:p>
            <w:pPr>
              <w:spacing w:after="0"/>
              <w:rPr>
                <w:sz w:val="20"/>
                <w:szCs w:val="20"/>
                <w:color w:val="auto"/>
              </w:rPr>
            </w:pPr>
            <w:r>
              <w:rPr>
                <w:rFonts w:ascii="Arial" w:cs="Arial" w:eastAsia="Arial" w:hAnsi="Arial"/>
                <w:sz w:val="22"/>
                <w:szCs w:val="22"/>
                <w:color w:val="auto"/>
              </w:rPr>
              <w:t>ARTICLE XII DEFINITIONS AND INTERPRETATION</w:t>
            </w:r>
          </w:p>
        </w:tc>
        <w:tc>
          <w:tcPr>
            <w:tcW w:w="22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12.1</w:t>
            </w:r>
          </w:p>
        </w:tc>
        <w:tc>
          <w:tcPr>
            <w:tcW w:w="6740" w:type="dxa"/>
            <w:vAlign w:val="bottom"/>
          </w:tcPr>
          <w:p>
            <w:pPr>
              <w:ind w:left="300"/>
              <w:spacing w:after="0"/>
              <w:rPr>
                <w:sz w:val="20"/>
                <w:szCs w:val="20"/>
                <w:color w:val="auto"/>
              </w:rPr>
            </w:pPr>
            <w:r>
              <w:rPr>
                <w:rFonts w:ascii="Arial" w:cs="Arial" w:eastAsia="Arial" w:hAnsi="Arial"/>
                <w:sz w:val="22"/>
                <w:szCs w:val="22"/>
                <w:color w:val="auto"/>
              </w:rPr>
              <w:t>Certain Definitions</w:t>
            </w:r>
          </w:p>
        </w:tc>
        <w:tc>
          <w:tcPr>
            <w:tcW w:w="22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12.2</w:t>
            </w:r>
          </w:p>
        </w:tc>
        <w:tc>
          <w:tcPr>
            <w:tcW w:w="6740" w:type="dxa"/>
            <w:vAlign w:val="bottom"/>
          </w:tcPr>
          <w:p>
            <w:pPr>
              <w:ind w:left="300"/>
              <w:spacing w:after="0"/>
              <w:rPr>
                <w:sz w:val="20"/>
                <w:szCs w:val="20"/>
                <w:color w:val="auto"/>
              </w:rPr>
            </w:pPr>
            <w:r>
              <w:rPr>
                <w:rFonts w:ascii="Arial" w:cs="Arial" w:eastAsia="Arial" w:hAnsi="Arial"/>
                <w:sz w:val="22"/>
                <w:szCs w:val="22"/>
                <w:color w:val="auto"/>
              </w:rPr>
              <w:t>Rules of Construction</w:t>
            </w:r>
          </w:p>
        </w:tc>
        <w:tc>
          <w:tcPr>
            <w:tcW w:w="2200" w:type="dxa"/>
            <w:vAlign w:val="bottom"/>
          </w:tcPr>
          <w:p>
            <w:pPr>
              <w:jc w:val="right"/>
              <w:spacing w:after="0"/>
              <w:rPr>
                <w:sz w:val="20"/>
                <w:szCs w:val="20"/>
                <w:color w:val="auto"/>
              </w:rPr>
            </w:pPr>
            <w:r>
              <w:rPr>
                <w:rFonts w:ascii="Arial" w:cs="Arial" w:eastAsia="Arial" w:hAnsi="Arial"/>
                <w:sz w:val="22"/>
                <w:szCs w:val="22"/>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504190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334" w:right="10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3"/>
        </w:trPr>
        <w:tc>
          <w:tcPr>
            <w:tcW w:w="214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5940" w:type="dxa"/>
            <w:vAlign w:val="bottom"/>
          </w:tcPr>
          <w:p>
            <w:pPr>
              <w:spacing w:after="0"/>
              <w:rPr>
                <w:sz w:val="21"/>
                <w:szCs w:val="21"/>
                <w:color w:val="auto"/>
              </w:rPr>
            </w:pPr>
          </w:p>
        </w:tc>
      </w:tr>
      <w:tr>
        <w:trPr>
          <w:trHeight w:val="458"/>
        </w:trPr>
        <w:tc>
          <w:tcPr>
            <w:tcW w:w="88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9"/>
              </w:rPr>
              <w:t>Exhibit A</w:t>
            </w:r>
          </w:p>
        </w:tc>
        <w:tc>
          <w:tcPr>
            <w:tcW w:w="1260" w:type="dxa"/>
            <w:vAlign w:val="bottom"/>
            <w:gridSpan w:val="2"/>
          </w:tcPr>
          <w:p>
            <w:pPr>
              <w:spacing w:after="0"/>
              <w:rPr>
                <w:sz w:val="24"/>
                <w:szCs w:val="24"/>
                <w:color w:val="auto"/>
              </w:rPr>
            </w:pPr>
          </w:p>
        </w:tc>
        <w:tc>
          <w:tcPr>
            <w:tcW w:w="5940" w:type="dxa"/>
            <w:vAlign w:val="bottom"/>
          </w:tcPr>
          <w:p>
            <w:pPr>
              <w:ind w:left="360"/>
              <w:spacing w:after="0"/>
              <w:rPr>
                <w:sz w:val="20"/>
                <w:szCs w:val="20"/>
                <w:color w:val="auto"/>
              </w:rPr>
            </w:pPr>
            <w:r>
              <w:rPr>
                <w:rFonts w:ascii="Arial" w:cs="Arial" w:eastAsia="Arial" w:hAnsi="Arial"/>
                <w:sz w:val="22"/>
                <w:szCs w:val="22"/>
                <w:color w:val="auto"/>
                <w:w w:val="90"/>
              </w:rPr>
              <w:t>Illustrative Closing Date Working Capital and Accounting Rules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Exhibit B</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Form of Escrow Agreement</w:t>
            </w:r>
          </w:p>
        </w:tc>
      </w:tr>
      <w:tr>
        <w:trPr>
          <w:trHeight w:val="274"/>
        </w:trPr>
        <w:tc>
          <w:tcPr>
            <w:tcW w:w="2140" w:type="dxa"/>
            <w:vAlign w:val="bottom"/>
            <w:gridSpan w:val="3"/>
          </w:tcPr>
          <w:p>
            <w:pPr>
              <w:spacing w:after="0"/>
              <w:rPr>
                <w:sz w:val="20"/>
                <w:szCs w:val="20"/>
                <w:color w:val="auto"/>
              </w:rPr>
            </w:pPr>
            <w:r>
              <w:rPr>
                <w:rFonts w:ascii="Arial" w:cs="Arial" w:eastAsia="Arial" w:hAnsi="Arial"/>
                <w:sz w:val="22"/>
                <w:szCs w:val="22"/>
                <w:color w:val="auto"/>
              </w:rPr>
              <w:t>Exhibit C</w:t>
            </w:r>
          </w:p>
        </w:tc>
        <w:tc>
          <w:tcPr>
            <w:tcW w:w="5940" w:type="dxa"/>
            <w:vAlign w:val="bottom"/>
          </w:tcPr>
          <w:p>
            <w:pPr>
              <w:ind w:left="360"/>
              <w:spacing w:after="0"/>
              <w:rPr>
                <w:sz w:val="20"/>
                <w:szCs w:val="20"/>
                <w:color w:val="auto"/>
              </w:rPr>
            </w:pPr>
            <w:r>
              <w:rPr>
                <w:rFonts w:ascii="Arial" w:cs="Arial" w:eastAsia="Arial" w:hAnsi="Arial"/>
                <w:sz w:val="22"/>
                <w:szCs w:val="22"/>
                <w:color w:val="auto"/>
              </w:rPr>
              <w:t>Form of Related Party Pay-off Letter</w:t>
            </w:r>
          </w:p>
        </w:tc>
      </w:tr>
      <w:tr>
        <w:trPr>
          <w:trHeight w:val="436"/>
        </w:trPr>
        <w:tc>
          <w:tcPr>
            <w:tcW w:w="2140" w:type="dxa"/>
            <w:vAlign w:val="bottom"/>
            <w:gridSpan w:val="3"/>
          </w:tcPr>
          <w:p>
            <w:pPr>
              <w:spacing w:after="0"/>
              <w:rPr>
                <w:sz w:val="20"/>
                <w:szCs w:val="20"/>
                <w:color w:val="auto"/>
              </w:rPr>
            </w:pPr>
            <w:r>
              <w:rPr>
                <w:rFonts w:ascii="Arial" w:cs="Arial" w:eastAsia="Arial" w:hAnsi="Arial"/>
                <w:sz w:val="22"/>
                <w:szCs w:val="22"/>
                <w:b w:val="1"/>
                <w:bCs w:val="1"/>
                <w:color w:val="auto"/>
              </w:rPr>
              <w:t>Schedules*</w:t>
            </w:r>
          </w:p>
        </w:tc>
        <w:tc>
          <w:tcPr>
            <w:tcW w:w="5940" w:type="dxa"/>
            <w:vAlign w:val="bottom"/>
          </w:tcPr>
          <w:p>
            <w:pPr>
              <w:spacing w:after="0"/>
              <w:rPr>
                <w:sz w:val="24"/>
                <w:szCs w:val="24"/>
                <w:color w:val="auto"/>
              </w:rPr>
            </w:pPr>
          </w:p>
        </w:tc>
      </w:tr>
      <w:tr>
        <w:trPr>
          <w:trHeight w:val="485"/>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88"/>
              </w:rPr>
              <w:t>Schedule A</w:t>
            </w:r>
          </w:p>
        </w:tc>
        <w:tc>
          <w:tcPr>
            <w:tcW w:w="1120" w:type="dxa"/>
            <w:vAlign w:val="bottom"/>
          </w:tcPr>
          <w:p>
            <w:pPr>
              <w:spacing w:after="0"/>
              <w:rPr>
                <w:sz w:val="24"/>
                <w:szCs w:val="24"/>
                <w:color w:val="auto"/>
              </w:rPr>
            </w:pPr>
          </w:p>
        </w:tc>
        <w:tc>
          <w:tcPr>
            <w:tcW w:w="5940" w:type="dxa"/>
            <w:vAlign w:val="bottom"/>
          </w:tcPr>
          <w:p>
            <w:pPr>
              <w:ind w:left="360"/>
              <w:spacing w:after="0"/>
              <w:rPr>
                <w:sz w:val="20"/>
                <w:szCs w:val="20"/>
                <w:color w:val="auto"/>
              </w:rPr>
            </w:pPr>
            <w:r>
              <w:rPr>
                <w:rFonts w:ascii="Arial" w:cs="Arial" w:eastAsia="Arial" w:hAnsi="Arial"/>
                <w:sz w:val="22"/>
                <w:szCs w:val="22"/>
                <w:color w:val="auto"/>
              </w:rPr>
              <w:t>Company Disclosure Schedule</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2.2(h)</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Terminated Transactions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6.1</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Conduct of the Business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7.7(h)</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Honored Agreements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7.18</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Shareholder Guarantees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10.2(a)(iii)</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Specified Matters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10.2(a)(v)</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Specified Taxes</w:t>
            </w:r>
          </w:p>
        </w:tc>
      </w:tr>
      <w:tr>
        <w:trPr>
          <w:trHeight w:val="243"/>
        </w:trPr>
        <w:tc>
          <w:tcPr>
            <w:tcW w:w="2140" w:type="dxa"/>
            <w:vAlign w:val="bottom"/>
            <w:gridSpan w:val="3"/>
          </w:tcPr>
          <w:p>
            <w:pPr>
              <w:spacing w:after="0" w:line="243" w:lineRule="exact"/>
              <w:rPr>
                <w:sz w:val="20"/>
                <w:szCs w:val="20"/>
                <w:color w:val="auto"/>
              </w:rPr>
            </w:pPr>
            <w:r>
              <w:rPr>
                <w:rFonts w:ascii="Arial" w:cs="Arial" w:eastAsia="Arial" w:hAnsi="Arial"/>
                <w:sz w:val="22"/>
                <w:szCs w:val="22"/>
                <w:color w:val="auto"/>
              </w:rPr>
              <w:t>Schedule 12.1(a)(i)</w:t>
            </w:r>
          </w:p>
        </w:tc>
        <w:tc>
          <w:tcPr>
            <w:tcW w:w="5940" w:type="dxa"/>
            <w:vAlign w:val="bottom"/>
          </w:tcPr>
          <w:p>
            <w:pPr>
              <w:ind w:left="360"/>
              <w:spacing w:after="0" w:line="243" w:lineRule="exact"/>
              <w:rPr>
                <w:sz w:val="20"/>
                <w:szCs w:val="20"/>
                <w:color w:val="auto"/>
              </w:rPr>
            </w:pPr>
            <w:r>
              <w:rPr>
                <w:rFonts w:ascii="Arial" w:cs="Arial" w:eastAsia="Arial" w:hAnsi="Arial"/>
                <w:sz w:val="22"/>
                <w:szCs w:val="22"/>
                <w:color w:val="auto"/>
              </w:rPr>
              <w:t>Designated Representatives</w:t>
            </w:r>
          </w:p>
        </w:tc>
      </w:tr>
      <w:tr>
        <w:trPr>
          <w:trHeight w:val="274"/>
        </w:trPr>
        <w:tc>
          <w:tcPr>
            <w:tcW w:w="2140" w:type="dxa"/>
            <w:vAlign w:val="bottom"/>
            <w:gridSpan w:val="3"/>
          </w:tcPr>
          <w:p>
            <w:pPr>
              <w:spacing w:after="0"/>
              <w:rPr>
                <w:sz w:val="20"/>
                <w:szCs w:val="20"/>
                <w:color w:val="auto"/>
              </w:rPr>
            </w:pPr>
            <w:r>
              <w:rPr>
                <w:rFonts w:ascii="Arial" w:cs="Arial" w:eastAsia="Arial" w:hAnsi="Arial"/>
                <w:sz w:val="22"/>
                <w:szCs w:val="22"/>
                <w:color w:val="auto"/>
              </w:rPr>
              <w:t>Schedule 12.1(a)(ii)</w:t>
            </w:r>
          </w:p>
        </w:tc>
        <w:tc>
          <w:tcPr>
            <w:tcW w:w="5940" w:type="dxa"/>
            <w:vAlign w:val="bottom"/>
          </w:tcPr>
          <w:p>
            <w:pPr>
              <w:ind w:left="360"/>
              <w:spacing w:after="0"/>
              <w:rPr>
                <w:sz w:val="20"/>
                <w:szCs w:val="20"/>
                <w:color w:val="auto"/>
              </w:rPr>
            </w:pPr>
            <w:r>
              <w:rPr>
                <w:rFonts w:ascii="Arial" w:cs="Arial" w:eastAsia="Arial" w:hAnsi="Arial"/>
                <w:sz w:val="22"/>
                <w:szCs w:val="22"/>
                <w:color w:val="auto"/>
              </w:rPr>
              <w:t>Knowledge Individuals</w:t>
            </w:r>
          </w:p>
        </w:tc>
      </w:tr>
    </w:tbl>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Schedules (or similar attachments) to this Exhibit have been omitted in accordance with Items 601(a)(5) and/or 601(b)(2) of</w:t>
      </w:r>
      <w:r>
        <w:rPr>
          <w:rFonts w:ascii="Arial" w:cs="Arial" w:eastAsia="Arial" w:hAnsi="Arial"/>
          <w:sz w:val="22"/>
          <w:szCs w:val="22"/>
          <w:color w:val="auto"/>
        </w:rPr>
        <w:t xml:space="preserve"> </w:t>
      </w:r>
      <w:r>
        <w:rPr>
          <w:rFonts w:ascii="Arial" w:cs="Arial" w:eastAsia="Arial" w:hAnsi="Arial"/>
          <w:sz w:val="17"/>
          <w:szCs w:val="17"/>
          <w:b w:val="1"/>
          <w:bCs w:val="1"/>
          <w:color w:val="auto"/>
        </w:rPr>
        <w:t>Regulation S-K. The Registrant agrees to furnish supplementally a copy of all omitted schedules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 w:right="99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0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b w:val="1"/>
          <w:bCs w:val="1"/>
          <w:color w:val="auto"/>
        </w:rPr>
        <w:t xml:space="preserve">THIS STOCK PURCHASE AGREEMENT </w:t>
      </w:r>
      <w:r>
        <w:rPr>
          <w:rFonts w:ascii="Arial" w:cs="Arial" w:eastAsia="Arial" w:hAnsi="Arial"/>
          <w:sz w:val="19"/>
          <w:szCs w:val="19"/>
          <w:color w:val="auto"/>
        </w:rPr>
        <w:t>is entered into as of January 11, 2021 (this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AeroVironment, Inc., a Delaware corporation (“</w:t>
      </w:r>
      <w:r>
        <w:rPr>
          <w:rFonts w:ascii="Arial" w:cs="Arial" w:eastAsia="Arial" w:hAnsi="Arial"/>
          <w:sz w:val="19"/>
          <w:szCs w:val="19"/>
          <w:u w:val="single" w:color="auto"/>
          <w:color w:val="auto"/>
        </w:rPr>
        <w:t>Purchaser</w:t>
      </w:r>
      <w:r>
        <w:rPr>
          <w:rFonts w:ascii="Arial" w:cs="Arial" w:eastAsia="Arial" w:hAnsi="Arial"/>
          <w:sz w:val="19"/>
          <w:szCs w:val="19"/>
          <w:color w:val="auto"/>
        </w:rPr>
        <w:t>”), Arcturus UAV, Inc.,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each of the Persons set forth on the signature pages hereto under the heading “Sellers” (each individually, a “</w:t>
      </w:r>
      <w:r>
        <w:rPr>
          <w:rFonts w:ascii="Arial" w:cs="Arial" w:eastAsia="Arial" w:hAnsi="Arial"/>
          <w:sz w:val="19"/>
          <w:szCs w:val="19"/>
          <w:u w:val="single" w:color="auto"/>
          <w:color w:val="auto"/>
        </w:rPr>
        <w:t>Seller</w:t>
      </w:r>
      <w:r>
        <w:rPr>
          <w:rFonts w:ascii="Arial" w:cs="Arial" w:eastAsia="Arial" w:hAnsi="Arial"/>
          <w:sz w:val="19"/>
          <w:szCs w:val="19"/>
          <w:color w:val="auto"/>
        </w:rPr>
        <w:t>” and collectively, “</w:t>
      </w:r>
      <w:r>
        <w:rPr>
          <w:rFonts w:ascii="Arial" w:cs="Arial" w:eastAsia="Arial" w:hAnsi="Arial"/>
          <w:sz w:val="19"/>
          <w:szCs w:val="19"/>
          <w:u w:val="single" w:color="auto"/>
          <w:color w:val="auto"/>
        </w:rPr>
        <w:t>Sellers</w:t>
      </w:r>
      <w:r>
        <w:rPr>
          <w:rFonts w:ascii="Arial" w:cs="Arial" w:eastAsia="Arial" w:hAnsi="Arial"/>
          <w:sz w:val="19"/>
          <w:szCs w:val="19"/>
          <w:color w:val="auto"/>
        </w:rPr>
        <w:t>”) and D’Milo Hallerberg, solely in his capacity as the representative of Sellers (the “</w:t>
      </w:r>
      <w:r>
        <w:rPr>
          <w:rFonts w:ascii="Arial" w:cs="Arial" w:eastAsia="Arial" w:hAnsi="Arial"/>
          <w:sz w:val="19"/>
          <w:szCs w:val="19"/>
          <w:u w:val="single" w:color="auto"/>
          <w:color w:val="auto"/>
        </w:rPr>
        <w:t>Sellers’ Representative</w:t>
      </w:r>
      <w:r>
        <w:rPr>
          <w:rFonts w:ascii="Arial" w:cs="Arial" w:eastAsia="Arial" w:hAnsi="Arial"/>
          <w:sz w:val="19"/>
          <w:szCs w:val="19"/>
          <w:color w:val="auto"/>
        </w:rPr>
        <w:t>”). Purchaser, the Company, and Sellers and, as applicable, the Sellers’ Representative, shall each be referred to in this Agreement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Capitalized terms that are used in this Agreement and not otherwise defined herein shall have the respective meanings ascribed to such terms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designs, engineers, tools, and manufactures unmanned aerial and</w:t>
      </w:r>
      <w:r>
        <w:rPr>
          <w:rFonts w:ascii="Arial" w:cs="Arial" w:eastAsia="Arial" w:hAnsi="Arial"/>
          <w:sz w:val="19"/>
          <w:szCs w:val="19"/>
          <w:b w:val="1"/>
          <w:bCs w:val="1"/>
          <w:color w:val="auto"/>
        </w:rPr>
        <w:t xml:space="preserve"> </w:t>
      </w:r>
      <w:r>
        <w:rPr>
          <w:rFonts w:ascii="Arial" w:cs="Arial" w:eastAsia="Arial" w:hAnsi="Arial"/>
          <w:sz w:val="19"/>
          <w:szCs w:val="19"/>
          <w:color w:val="auto"/>
        </w:rPr>
        <w:t>aircraft systems including airborne platforms, payloads and payload integration, ground control systems, and ground support equipment and tools and other items and services related generally to unmanned aircraft systems (collectively, as operated by the Company, the “</w:t>
      </w:r>
      <w:r>
        <w:rPr>
          <w:rFonts w:ascii="Arial" w:cs="Arial" w:eastAsia="Arial" w:hAnsi="Arial"/>
          <w:sz w:val="19"/>
          <w:szCs w:val="19"/>
          <w:u w:val="single" w:color="auto"/>
          <w:color w:val="auto"/>
        </w:rPr>
        <w:t>Business</w:t>
      </w:r>
      <w:r>
        <w:rPr>
          <w:rFonts w:ascii="Arial" w:cs="Arial" w:eastAsia="Arial" w:hAnsi="Arial"/>
          <w:sz w:val="19"/>
          <w:szCs w:val="19"/>
          <w:color w:val="auto"/>
        </w:rPr>
        <w:t>”). The Company’s development work includes organic in-house design and contract design and manufacturing work for third parties. Airborne platforms and supporting systems may be used for any and all purposes. Owners and operators of Company-designed, developed, or manufactured airborne platforms (including the Company as an operator) include United States and foreign commercial, military, government, and intelligence agencies and other related entities. Application and use of the Company’s unmanned aircraft systems may be overt or covert and may include intelligence gathering, reconnaissance, imagery capture, communications intelligence, signals intelligence, weapons carriage and delivery, and any and all other applications and uses for unmanned aircraft systems;</w:t>
      </w:r>
    </w:p>
    <w:p>
      <w:pPr>
        <w:spacing w:after="0" w:line="15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Shareholders own all of the issued and outstanding shares of common stock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of the Company, which constitute all of the issued and outstanding shares of capital stock of the Company; and</w:t>
      </w:r>
    </w:p>
    <w:p>
      <w:pPr>
        <w:spacing w:after="0" w:line="177"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Shareholders desire to sell to Purchaser, and Purchaser desires to purchase from</w:t>
      </w:r>
      <w:r>
        <w:rPr>
          <w:rFonts w:ascii="Arial" w:cs="Arial" w:eastAsia="Arial" w:hAnsi="Arial"/>
          <w:sz w:val="21"/>
          <w:szCs w:val="21"/>
          <w:b w:val="1"/>
          <w:bCs w:val="1"/>
          <w:color w:val="auto"/>
        </w:rPr>
        <w:t xml:space="preserve"> </w:t>
      </w:r>
      <w:r>
        <w:rPr>
          <w:rFonts w:ascii="Arial" w:cs="Arial" w:eastAsia="Arial" w:hAnsi="Arial"/>
          <w:sz w:val="21"/>
          <w:szCs w:val="21"/>
          <w:color w:val="auto"/>
        </w:rPr>
        <w:t>the Shareholders, the Shares, upon the terms and subject to the conditions set forth herein.</w:t>
      </w:r>
    </w:p>
    <w:p>
      <w:pPr>
        <w:spacing w:after="0" w:line="13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foregoing and the mutual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covenants and agreements contained herein, and for other good and valuable consideration, the receipt and sufficiency of which are hereby acknowledged, and intending to be legally bound hereby, the Parties agree hereby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Purchase and Sale of the Shares</w:t>
      </w:r>
      <w:r>
        <w:rPr>
          <w:rFonts w:ascii="Arial" w:cs="Arial" w:eastAsia="Arial" w:hAnsi="Arial"/>
          <w:sz w:val="22"/>
          <w:szCs w:val="22"/>
          <w:color w:val="000000"/>
        </w:rPr>
        <w:t>. Upon the terms and subject to the conditions of this Agreement,</w:t>
      </w:r>
      <w:r>
        <w:rPr>
          <w:rFonts w:ascii="Arial" w:cs="Arial" w:eastAsia="Arial" w:hAnsi="Arial"/>
          <w:sz w:val="22"/>
          <w:szCs w:val="22"/>
          <w:color w:val="010000"/>
        </w:rPr>
        <w:t xml:space="preserve"> </w:t>
      </w:r>
      <w:r>
        <w:rPr>
          <w:rFonts w:ascii="Arial" w:cs="Arial" w:eastAsia="Arial" w:hAnsi="Arial"/>
          <w:sz w:val="22"/>
          <w:szCs w:val="22"/>
          <w:color w:val="000000"/>
        </w:rPr>
        <w:t>at the Closing, each Shareholder shall sell and deliver to Purchaser, and Purchaser shall purchase and acquire from such Shareholder, all right, title and interest of such Shareholder in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2" w:name="page53"/>
    <w:bookmarkEnd w:id="52"/>
    <w:p>
      <w:pPr>
        <w:jc w:val="both"/>
        <w:ind w:right="20"/>
        <w:spacing w:after="0" w:line="251" w:lineRule="auto"/>
        <w:rPr>
          <w:sz w:val="20"/>
          <w:szCs w:val="20"/>
          <w:color w:val="auto"/>
        </w:rPr>
      </w:pPr>
      <w:r>
        <w:rPr>
          <w:rFonts w:ascii="Arial" w:cs="Arial" w:eastAsia="Arial" w:hAnsi="Arial"/>
          <w:sz w:val="22"/>
          <w:szCs w:val="22"/>
          <w:color w:val="auto"/>
        </w:rPr>
        <w:t xml:space="preserve">such Shareholder’s Shares, free and clear of all Liens, other than transfer restrictions under applicable securities Laws, for the consideration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1.2 </w:t>
      </w:r>
      <w:r>
        <w:rPr>
          <w:rFonts w:ascii="Arial" w:cs="Arial" w:eastAsia="Arial" w:hAnsi="Arial"/>
          <w:sz w:val="19"/>
          <w:szCs w:val="19"/>
          <w:u w:val="single" w:color="auto"/>
          <w:color w:val="000000"/>
        </w:rPr>
        <w:t>Purchase Price</w:t>
      </w:r>
      <w:r>
        <w:rPr>
          <w:rFonts w:ascii="Arial" w:cs="Arial" w:eastAsia="Arial" w:hAnsi="Arial"/>
          <w:sz w:val="19"/>
          <w:szCs w:val="19"/>
          <w:color w:val="000000"/>
        </w:rPr>
        <w:t>. The aggregate purchase price for the purchase of the Shares shall be an amount</w:t>
      </w:r>
      <w:r>
        <w:rPr>
          <w:rFonts w:ascii="Arial" w:cs="Arial" w:eastAsia="Arial" w:hAnsi="Arial"/>
          <w:sz w:val="19"/>
          <w:szCs w:val="19"/>
          <w:color w:val="010000"/>
        </w:rPr>
        <w:t xml:space="preserve"> </w:t>
      </w:r>
      <w:r>
        <w:rPr>
          <w:rFonts w:ascii="Arial" w:cs="Arial" w:eastAsia="Arial" w:hAnsi="Arial"/>
          <w:sz w:val="19"/>
          <w:szCs w:val="19"/>
          <w:color w:val="000000"/>
        </w:rPr>
        <w:t xml:space="preserve">equal to (a) Three Hundred Fifty-Five Million Dollars ($355,000,000), (b)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approximately Fifty Million Dollars ($50,000,000) worth of shares of Purchaser’s Common Stock, par value $0.0001 per share (the “</w:t>
      </w:r>
      <w:r>
        <w:rPr>
          <w:rFonts w:ascii="Arial" w:cs="Arial" w:eastAsia="Arial" w:hAnsi="Arial"/>
          <w:sz w:val="19"/>
          <w:szCs w:val="19"/>
          <w:u w:val="single" w:color="auto"/>
          <w:color w:val="000000"/>
        </w:rPr>
        <w:t>Purchaser</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Shares</w:t>
      </w:r>
      <w:r>
        <w:rPr>
          <w:rFonts w:ascii="Arial" w:cs="Arial" w:eastAsia="Arial" w:hAnsi="Arial"/>
          <w:sz w:val="19"/>
          <w:szCs w:val="19"/>
          <w:color w:val="000000"/>
        </w:rPr>
        <w:t xml:space="preserve">”), as calculated in accordance with, and subject to, </w:t>
      </w:r>
      <w:r>
        <w:rPr>
          <w:rFonts w:ascii="Arial" w:cs="Arial" w:eastAsia="Arial" w:hAnsi="Arial"/>
          <w:sz w:val="19"/>
          <w:szCs w:val="19"/>
          <w:u w:val="single" w:color="auto"/>
          <w:color w:val="000000"/>
        </w:rPr>
        <w:t>Section 7.16</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Stock Consideration</w:t>
      </w:r>
      <w:r>
        <w:rPr>
          <w:rFonts w:ascii="Arial" w:cs="Arial" w:eastAsia="Arial" w:hAnsi="Arial"/>
          <w:sz w:val="19"/>
          <w:szCs w:val="19"/>
          <w:color w:val="000000"/>
        </w:rPr>
        <w:t xml:space="preserve">”), (c)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the aggregate amount of the Estimated Closing Date Cash, (d)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the Estimated Working Capital Increase, if any, (e) </w:t>
      </w:r>
      <w:r>
        <w:rPr>
          <w:rFonts w:ascii="Arial" w:cs="Arial" w:eastAsia="Arial" w:hAnsi="Arial"/>
          <w:sz w:val="19"/>
          <w:szCs w:val="19"/>
          <w:u w:val="single" w:color="auto"/>
          <w:color w:val="000000"/>
        </w:rPr>
        <w:t>minus</w:t>
      </w:r>
      <w:r>
        <w:rPr>
          <w:rFonts w:ascii="Arial" w:cs="Arial" w:eastAsia="Arial" w:hAnsi="Arial"/>
          <w:sz w:val="19"/>
          <w:szCs w:val="19"/>
          <w:color w:val="000000"/>
        </w:rPr>
        <w:t xml:space="preserve"> the Estimated Working Capital Decrease, if any, (f) </w:t>
      </w:r>
      <w:r>
        <w:rPr>
          <w:rFonts w:ascii="Arial" w:cs="Arial" w:eastAsia="Arial" w:hAnsi="Arial"/>
          <w:sz w:val="19"/>
          <w:szCs w:val="19"/>
          <w:u w:val="single" w:color="auto"/>
          <w:color w:val="000000"/>
        </w:rPr>
        <w:t>minus</w:t>
      </w:r>
      <w:r>
        <w:rPr>
          <w:rFonts w:ascii="Arial" w:cs="Arial" w:eastAsia="Arial" w:hAnsi="Arial"/>
          <w:sz w:val="19"/>
          <w:szCs w:val="19"/>
          <w:color w:val="000000"/>
        </w:rPr>
        <w:t xml:space="preserve"> the amount of any Estimated Unpaid Company Transaction Expenses and (g) </w:t>
      </w:r>
      <w:r>
        <w:rPr>
          <w:rFonts w:ascii="Arial" w:cs="Arial" w:eastAsia="Arial" w:hAnsi="Arial"/>
          <w:sz w:val="19"/>
          <w:szCs w:val="19"/>
          <w:u w:val="single" w:color="auto"/>
          <w:color w:val="000000"/>
        </w:rPr>
        <w:t>minus</w:t>
      </w:r>
      <w:r>
        <w:rPr>
          <w:rFonts w:ascii="Arial" w:cs="Arial" w:eastAsia="Arial" w:hAnsi="Arial"/>
          <w:sz w:val="19"/>
          <w:szCs w:val="19"/>
          <w:color w:val="000000"/>
        </w:rPr>
        <w:t xml:space="preserve"> the amount of any Estimated Closing Date Indebtedness (such resulting amount pursuant to </w:t>
      </w:r>
      <w:r>
        <w:rPr>
          <w:rFonts w:ascii="Arial" w:cs="Arial" w:eastAsia="Arial" w:hAnsi="Arial"/>
          <w:sz w:val="19"/>
          <w:szCs w:val="19"/>
          <w:u w:val="single" w:color="auto"/>
          <w:color w:val="000000"/>
        </w:rPr>
        <w:t>Sections 1.2(a)-(g)</w:t>
      </w:r>
      <w:r>
        <w:rPr>
          <w:rFonts w:ascii="Arial" w:cs="Arial" w:eastAsia="Arial" w:hAnsi="Arial"/>
          <w:sz w:val="19"/>
          <w:szCs w:val="19"/>
          <w:color w:val="000000"/>
        </w:rPr>
        <w:t>, the “</w:t>
      </w:r>
      <w:r>
        <w:rPr>
          <w:rFonts w:ascii="Arial" w:cs="Arial" w:eastAsia="Arial" w:hAnsi="Arial"/>
          <w:sz w:val="19"/>
          <w:szCs w:val="19"/>
          <w:u w:val="single" w:color="auto"/>
          <w:color w:val="000000"/>
        </w:rPr>
        <w:t>Estimated Purchase Price</w:t>
      </w:r>
      <w:r>
        <w:rPr>
          <w:rFonts w:ascii="Arial" w:cs="Arial" w:eastAsia="Arial" w:hAnsi="Arial"/>
          <w:sz w:val="19"/>
          <w:szCs w:val="19"/>
          <w:color w:val="000000"/>
        </w:rPr>
        <w:t xml:space="preserve">” and, as such amount may be adjusted pursuant to the provisions of </w:t>
      </w:r>
      <w:r>
        <w:rPr>
          <w:rFonts w:ascii="Arial" w:cs="Arial" w:eastAsia="Arial" w:hAnsi="Arial"/>
          <w:sz w:val="19"/>
          <w:szCs w:val="19"/>
          <w:u w:val="single" w:color="auto"/>
          <w:color w:val="000000"/>
        </w:rPr>
        <w:t>Section 1.4</w:t>
      </w:r>
      <w:r>
        <w:rPr>
          <w:rFonts w:ascii="Arial" w:cs="Arial" w:eastAsia="Arial" w:hAnsi="Arial"/>
          <w:sz w:val="19"/>
          <w:szCs w:val="19"/>
          <w:color w:val="000000"/>
        </w:rPr>
        <w:t>, the “</w:t>
      </w:r>
      <w:r>
        <w:rPr>
          <w:rFonts w:ascii="Arial" w:cs="Arial" w:eastAsia="Arial" w:hAnsi="Arial"/>
          <w:sz w:val="19"/>
          <w:szCs w:val="19"/>
          <w:u w:val="single" w:color="auto"/>
          <w:color w:val="000000"/>
        </w:rPr>
        <w:t>Purchase Price</w:t>
      </w:r>
      <w:r>
        <w:rPr>
          <w:rFonts w:ascii="Arial" w:cs="Arial" w:eastAsia="Arial" w:hAnsi="Arial"/>
          <w:sz w:val="19"/>
          <w:szCs w:val="19"/>
          <w:color w:val="000000"/>
        </w:rPr>
        <w:t>”). The Estimated Purchase Price minus the Stock Consideration minus the Escrow Amount is hereinafter referred to as the “</w:t>
      </w:r>
      <w:r>
        <w:rPr>
          <w:rFonts w:ascii="Arial" w:cs="Arial" w:eastAsia="Arial" w:hAnsi="Arial"/>
          <w:sz w:val="19"/>
          <w:szCs w:val="19"/>
          <w:u w:val="single" w:color="auto"/>
          <w:color w:val="000000"/>
        </w:rPr>
        <w:t>Closing Cash Consideration</w:t>
      </w:r>
      <w:r>
        <w:rPr>
          <w:rFonts w:ascii="Arial" w:cs="Arial" w:eastAsia="Arial" w:hAnsi="Arial"/>
          <w:sz w:val="19"/>
          <w:szCs w:val="19"/>
          <w:color w:val="000000"/>
        </w:rPr>
        <w:t>”.</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u w:val="single" w:color="auto"/>
          <w:color w:val="000000"/>
        </w:rPr>
        <w:t>Closing Payments</w:t>
      </w:r>
      <w:r>
        <w:rPr>
          <w:rFonts w:ascii="Arial" w:cs="Arial" w:eastAsia="Arial" w:hAnsi="Arial"/>
          <w:sz w:val="22"/>
          <w:szCs w:val="22"/>
          <w:color w:val="000000"/>
        </w:rPr>
        <w:t>. Each of the payments and issuances detailed in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1.3</w:t>
      </w:r>
      <w:r>
        <w:rPr>
          <w:rFonts w:ascii="Arial" w:cs="Arial" w:eastAsia="Arial" w:hAnsi="Arial"/>
          <w:sz w:val="22"/>
          <w:szCs w:val="22"/>
          <w:color w:val="010000"/>
        </w:rPr>
        <w:t xml:space="preserve"> </w:t>
      </w:r>
      <w:r>
        <w:rPr>
          <w:rFonts w:ascii="Arial" w:cs="Arial" w:eastAsia="Arial" w:hAnsi="Arial"/>
          <w:sz w:val="22"/>
          <w:szCs w:val="22"/>
          <w:color w:val="000000"/>
        </w:rPr>
        <w:t>(the “</w:t>
      </w:r>
      <w:r>
        <w:rPr>
          <w:rFonts w:ascii="Arial" w:cs="Arial" w:eastAsia="Arial" w:hAnsi="Arial"/>
          <w:sz w:val="22"/>
          <w:szCs w:val="22"/>
          <w:u w:val="single" w:color="auto"/>
          <w:color w:val="000000"/>
        </w:rPr>
        <w:t>Closing</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Payments</w:t>
      </w:r>
      <w:r>
        <w:rPr>
          <w:rFonts w:ascii="Arial" w:cs="Arial" w:eastAsia="Arial" w:hAnsi="Arial"/>
          <w:sz w:val="22"/>
          <w:szCs w:val="22"/>
          <w:color w:val="000000"/>
        </w:rPr>
        <w:t xml:space="preserve">”) shall be made in the amounts and as set forth in the Pre-Closing Statement delivered pursuant to </w:t>
      </w:r>
      <w:r>
        <w:rPr>
          <w:rFonts w:ascii="Arial" w:cs="Arial" w:eastAsia="Arial" w:hAnsi="Arial"/>
          <w:sz w:val="22"/>
          <w:szCs w:val="22"/>
          <w:u w:val="single" w:color="auto"/>
          <w:color w:val="000000"/>
        </w:rPr>
        <w:t>Section 1.4(a)</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notwithstanding anything herein to the contrary, any such Closing Payment for which compensatory Tax withholding is required by Law shall be paid via the payroll system of the Company):</w:t>
      </w:r>
    </w:p>
    <w:p>
      <w:pPr>
        <w:spacing w:after="0" w:line="187" w:lineRule="exact"/>
        <w:rPr>
          <w:sz w:val="20"/>
          <w:szCs w:val="20"/>
          <w:color w:val="auto"/>
        </w:rPr>
      </w:pPr>
    </w:p>
    <w:p>
      <w:pPr>
        <w:jc w:val="both"/>
        <w:ind w:left="340" w:firstLine="1288"/>
        <w:spacing w:after="0" w:line="297" w:lineRule="auto"/>
        <w:tabs>
          <w:tab w:leader="none" w:pos="2321" w:val="left"/>
        </w:tabs>
        <w:numPr>
          <w:ilvl w:val="0"/>
          <w:numId w:val="18"/>
        </w:numPr>
        <w:rPr>
          <w:rFonts w:ascii="Arial" w:cs="Arial" w:eastAsia="Arial" w:hAnsi="Arial"/>
          <w:sz w:val="19"/>
          <w:szCs w:val="19"/>
          <w:color w:val="010000"/>
        </w:rPr>
      </w:pPr>
      <w:r>
        <w:rPr>
          <w:rFonts w:ascii="Arial" w:cs="Arial" w:eastAsia="Arial" w:hAnsi="Arial"/>
          <w:sz w:val="19"/>
          <w:szCs w:val="19"/>
          <w:color w:val="auto"/>
        </w:rPr>
        <w:t>At the Closing, Purchaser shall pay or cause to be paid, by wire transfer of immediately available funds to the bank accounts designated in writing by each Seller or the Sellers’ Representative, as applicable, at least three (3) Business Days prior to the Closing Date the following payments:</w:t>
      </w:r>
    </w:p>
    <w:p>
      <w:pPr>
        <w:spacing w:after="0" w:line="133" w:lineRule="exact"/>
        <w:rPr>
          <w:rFonts w:ascii="Arial" w:cs="Arial" w:eastAsia="Arial" w:hAnsi="Arial"/>
          <w:sz w:val="19"/>
          <w:szCs w:val="19"/>
          <w:color w:val="010000"/>
        </w:rPr>
      </w:pPr>
    </w:p>
    <w:p>
      <w:pPr>
        <w:ind w:firstLine="1952"/>
        <w:spacing w:after="0" w:line="250" w:lineRule="auto"/>
        <w:tabs>
          <w:tab w:leader="none" w:pos="2647"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 xml:space="preserve">to each Seller, such Seller’s Pro Rata Percentage of the Closing Cash Consideration </w:t>
      </w:r>
      <w:r>
        <w:rPr>
          <w:rFonts w:ascii="Arial" w:cs="Arial" w:eastAsia="Arial" w:hAnsi="Arial"/>
          <w:sz w:val="22"/>
          <w:szCs w:val="22"/>
          <w:i w:val="1"/>
          <w:iCs w:val="1"/>
          <w:color w:val="auto"/>
        </w:rPr>
        <w:t xml:space="preserve">less </w:t>
      </w:r>
      <w:r>
        <w:rPr>
          <w:rFonts w:ascii="Arial" w:cs="Arial" w:eastAsia="Arial" w:hAnsi="Arial"/>
          <w:sz w:val="22"/>
          <w:szCs w:val="22"/>
          <w:color w:val="auto"/>
        </w:rPr>
        <w:t>such Seller’s Related Party Pay-off Amount;</w:t>
      </w:r>
    </w:p>
    <w:p>
      <w:pPr>
        <w:spacing w:after="0" w:line="174" w:lineRule="exact"/>
        <w:rPr>
          <w:rFonts w:ascii="Arial" w:cs="Arial" w:eastAsia="Arial" w:hAnsi="Arial"/>
          <w:sz w:val="22"/>
          <w:szCs w:val="22"/>
          <w:color w:val="010000"/>
        </w:rPr>
      </w:pPr>
    </w:p>
    <w:p>
      <w:pPr>
        <w:jc w:val="both"/>
        <w:ind w:firstLine="1952"/>
        <w:spacing w:after="0" w:line="282" w:lineRule="auto"/>
        <w:tabs>
          <w:tab w:leader="none" w:pos="2950" w:val="left"/>
        </w:tabs>
        <w:numPr>
          <w:ilvl w:val="1"/>
          <w:numId w:val="18"/>
        </w:numPr>
        <w:rPr>
          <w:rFonts w:ascii="Arial" w:cs="Arial" w:eastAsia="Arial" w:hAnsi="Arial"/>
          <w:sz w:val="19"/>
          <w:szCs w:val="19"/>
          <w:color w:val="010000"/>
        </w:rPr>
      </w:pPr>
      <w:r>
        <w:rPr>
          <w:rFonts w:ascii="Arial" w:cs="Arial" w:eastAsia="Arial" w:hAnsi="Arial"/>
          <w:sz w:val="19"/>
          <w:szCs w:val="19"/>
          <w:color w:val="auto"/>
        </w:rPr>
        <w:t>to the Escrow Agent, the sum of the Adjustment Escrow Amount and the Indemnification Escrow Amount (collectively, the “</w:t>
      </w:r>
      <w:r>
        <w:rPr>
          <w:rFonts w:ascii="Arial" w:cs="Arial" w:eastAsia="Arial" w:hAnsi="Arial"/>
          <w:sz w:val="19"/>
          <w:szCs w:val="19"/>
          <w:u w:val="single" w:color="auto"/>
          <w:color w:val="auto"/>
        </w:rPr>
        <w:t>Escrow Amount</w:t>
      </w:r>
      <w:r>
        <w:rPr>
          <w:rFonts w:ascii="Arial" w:cs="Arial" w:eastAsia="Arial" w:hAnsi="Arial"/>
          <w:sz w:val="19"/>
          <w:szCs w:val="19"/>
          <w:color w:val="auto"/>
        </w:rPr>
        <w:t>”), to the accounts designated by the Escrow Agent in writing to Purchaser at least three (3) Business Days prior to the Closing, which Adjustment Escrow Amount and Indemnification Escrow Amount shall be held in separate accounts by the Escrow Agent in accordance with the terms and conditions of this Agreement and the Escrow Agreement; and</w:t>
      </w:r>
    </w:p>
    <w:p>
      <w:pPr>
        <w:spacing w:after="0" w:line="147" w:lineRule="exact"/>
        <w:rPr>
          <w:rFonts w:ascii="Arial" w:cs="Arial" w:eastAsia="Arial" w:hAnsi="Arial"/>
          <w:sz w:val="19"/>
          <w:szCs w:val="19"/>
          <w:color w:val="010000"/>
        </w:rPr>
      </w:pPr>
    </w:p>
    <w:p>
      <w:pPr>
        <w:jc w:val="both"/>
        <w:ind w:firstLine="1952"/>
        <w:spacing w:after="0" w:line="297" w:lineRule="auto"/>
        <w:tabs>
          <w:tab w:leader="none" w:pos="2605" w:val="left"/>
        </w:tabs>
        <w:numPr>
          <w:ilvl w:val="1"/>
          <w:numId w:val="18"/>
        </w:numPr>
        <w:rPr>
          <w:rFonts w:ascii="Arial" w:cs="Arial" w:eastAsia="Arial" w:hAnsi="Arial"/>
          <w:sz w:val="19"/>
          <w:szCs w:val="19"/>
          <w:color w:val="010000"/>
        </w:rPr>
      </w:pPr>
      <w:r>
        <w:rPr>
          <w:rFonts w:ascii="Arial" w:cs="Arial" w:eastAsia="Arial" w:hAnsi="Arial"/>
          <w:sz w:val="19"/>
          <w:szCs w:val="19"/>
          <w:color w:val="auto"/>
        </w:rPr>
        <w:t>on behalf of the Company, to the payees thereof, a cash amount equal to the amount of all Estimated Closing Date Indebtedness of the types set forth in clause (i) and clause (v) of the definition of Indebtedness and all Estimated Unpaid Company Transaction Expenses due and payable as of the Closing.</w:t>
      </w:r>
    </w:p>
    <w:p>
      <w:pPr>
        <w:spacing w:after="0" w:line="133" w:lineRule="exact"/>
        <w:rPr>
          <w:rFonts w:ascii="Arial" w:cs="Arial" w:eastAsia="Arial" w:hAnsi="Arial"/>
          <w:sz w:val="19"/>
          <w:szCs w:val="19"/>
          <w:color w:val="010000"/>
        </w:rPr>
      </w:pPr>
    </w:p>
    <w:p>
      <w:pPr>
        <w:jc w:val="both"/>
        <w:ind w:left="340" w:firstLine="1288"/>
        <w:spacing w:after="0" w:line="236" w:lineRule="auto"/>
        <w:tabs>
          <w:tab w:leader="none" w:pos="2387" w:val="left"/>
        </w:tabs>
        <w:numPr>
          <w:ilvl w:val="0"/>
          <w:numId w:val="18"/>
        </w:numPr>
        <w:rPr>
          <w:rFonts w:ascii="Arial" w:cs="Arial" w:eastAsia="Arial" w:hAnsi="Arial"/>
          <w:sz w:val="22"/>
          <w:szCs w:val="22"/>
          <w:color w:val="010000"/>
        </w:rPr>
      </w:pPr>
      <w:r>
        <w:rPr>
          <w:rFonts w:ascii="Arial" w:cs="Arial" w:eastAsia="Arial" w:hAnsi="Arial"/>
          <w:sz w:val="22"/>
          <w:szCs w:val="22"/>
          <w:color w:val="auto"/>
        </w:rPr>
        <w:t xml:space="preserve">At the Closing, Purchaser shall deliver to each Seller a copy of the instructions issued by Purchaser to its transfer agent instructing such transfer agent to issue and deliver to each Seller its Pro Rata Percentage of the Stock Consideration in such securities accounts as are designated in writing by the Sellers’ Representative at least three (3) Business Days prior to the Closing Date, subject to the terms and conditions set forth in </w:t>
      </w:r>
      <w:r>
        <w:rPr>
          <w:rFonts w:ascii="Arial" w:cs="Arial" w:eastAsia="Arial" w:hAnsi="Arial"/>
          <w:sz w:val="22"/>
          <w:szCs w:val="22"/>
          <w:u w:val="single" w:color="auto"/>
          <w:color w:val="auto"/>
        </w:rPr>
        <w:t>Section 7.16</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3" w:name="page54"/>
    <w:bookmarkEnd w:id="53"/>
    <w:p>
      <w:pPr>
        <w:spacing w:after="0"/>
        <w:rPr>
          <w:sz w:val="20"/>
          <w:szCs w:val="20"/>
          <w:color w:val="auto"/>
        </w:rPr>
      </w:pPr>
      <w:r>
        <w:rPr>
          <w:rFonts w:ascii="Arial" w:cs="Arial" w:eastAsia="Arial" w:hAnsi="Arial"/>
          <w:sz w:val="21"/>
          <w:szCs w:val="21"/>
          <w:color w:val="auto"/>
        </w:rPr>
        <w:t>and such issuance and delivery of the Stock Consideration shall be effective as of the Closing Date.</w:t>
      </w:r>
    </w:p>
    <w:p>
      <w:pPr>
        <w:spacing w:after="0" w:line="21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19"/>
          <w:szCs w:val="19"/>
          <w:u w:val="single" w:color="auto"/>
          <w:color w:val="auto"/>
        </w:rPr>
        <w:t>Adjustment of the Purchase Price</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69" w:lineRule="auto"/>
        <w:tabs>
          <w:tab w:leader="none" w:pos="1981" w:val="left"/>
        </w:tabs>
        <w:numPr>
          <w:ilvl w:val="0"/>
          <w:numId w:val="19"/>
        </w:numPr>
        <w:rPr>
          <w:rFonts w:ascii="Arial" w:cs="Arial" w:eastAsia="Arial" w:hAnsi="Arial"/>
          <w:sz w:val="19"/>
          <w:szCs w:val="19"/>
          <w:color w:val="010000"/>
        </w:rPr>
      </w:pPr>
      <w:r>
        <w:rPr>
          <w:rFonts w:ascii="Arial" w:cs="Arial" w:eastAsia="Arial" w:hAnsi="Arial"/>
          <w:sz w:val="19"/>
          <w:szCs w:val="19"/>
          <w:u w:val="single" w:color="auto"/>
          <w:color w:val="auto"/>
        </w:rPr>
        <w:t>Pre-Closing Statement</w:t>
      </w:r>
      <w:r>
        <w:rPr>
          <w:rFonts w:ascii="Arial" w:cs="Arial" w:eastAsia="Arial" w:hAnsi="Arial"/>
          <w:sz w:val="19"/>
          <w:szCs w:val="19"/>
          <w:color w:val="auto"/>
        </w:rPr>
        <w:t>. No less than three (3) Business Days prior to the Closing Date, but no earlier than five (5) Business Days prior to the Closing Date, the Company shall deliver to Purchaser a statement (the “</w:t>
      </w:r>
      <w:r>
        <w:rPr>
          <w:rFonts w:ascii="Arial" w:cs="Arial" w:eastAsia="Arial" w:hAnsi="Arial"/>
          <w:sz w:val="19"/>
          <w:szCs w:val="19"/>
          <w:u w:val="single" w:color="auto"/>
          <w:color w:val="auto"/>
        </w:rPr>
        <w:t>Pre-Closing Statement</w:t>
      </w:r>
      <w:r>
        <w:rPr>
          <w:rFonts w:ascii="Arial" w:cs="Arial" w:eastAsia="Arial" w:hAnsi="Arial"/>
          <w:sz w:val="19"/>
          <w:szCs w:val="19"/>
          <w:color w:val="auto"/>
        </w:rPr>
        <w:t>”), certified by an executive officer of the Company, setting forth in reasonable detail, with reasonable supporting documentation, the Company’s good faith estimates of (i) the Closing Date Cash (the “</w:t>
      </w:r>
      <w:r>
        <w:rPr>
          <w:rFonts w:ascii="Arial" w:cs="Arial" w:eastAsia="Arial" w:hAnsi="Arial"/>
          <w:sz w:val="19"/>
          <w:szCs w:val="19"/>
          <w:u w:val="single" w:color="auto"/>
          <w:color w:val="auto"/>
        </w:rPr>
        <w:t>Estimated Closing Date Cash</w:t>
      </w:r>
      <w:r>
        <w:rPr>
          <w:rFonts w:ascii="Arial" w:cs="Arial" w:eastAsia="Arial" w:hAnsi="Arial"/>
          <w:sz w:val="19"/>
          <w:szCs w:val="19"/>
          <w:color w:val="auto"/>
        </w:rPr>
        <w:t>”), (ii) the Unpaid Company Transaction Expenses (the “</w:t>
      </w:r>
      <w:r>
        <w:rPr>
          <w:rFonts w:ascii="Arial" w:cs="Arial" w:eastAsia="Arial" w:hAnsi="Arial"/>
          <w:sz w:val="19"/>
          <w:szCs w:val="19"/>
          <w:u w:val="single" w:color="auto"/>
          <w:color w:val="auto"/>
        </w:rPr>
        <w:t>Estimated Unpaid Company Transaction Expenses</w:t>
      </w:r>
      <w:r>
        <w:rPr>
          <w:rFonts w:ascii="Arial" w:cs="Arial" w:eastAsia="Arial" w:hAnsi="Arial"/>
          <w:sz w:val="19"/>
          <w:szCs w:val="19"/>
          <w:color w:val="auto"/>
        </w:rPr>
        <w:t>”), (iii) the Closing Date Working Capital (the “</w:t>
      </w:r>
      <w:r>
        <w:rPr>
          <w:rFonts w:ascii="Arial" w:cs="Arial" w:eastAsia="Arial" w:hAnsi="Arial"/>
          <w:sz w:val="19"/>
          <w:szCs w:val="19"/>
          <w:u w:val="single" w:color="auto"/>
          <w:color w:val="auto"/>
        </w:rPr>
        <w:t>Estimated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Working Capital</w:t>
      </w:r>
      <w:r>
        <w:rPr>
          <w:rFonts w:ascii="Arial" w:cs="Arial" w:eastAsia="Arial" w:hAnsi="Arial"/>
          <w:sz w:val="19"/>
          <w:szCs w:val="19"/>
          <w:color w:val="auto"/>
        </w:rPr>
        <w:t>”), (iv) the Estimated Working Capital Increase, if any, (v) the Estimated Working Capital Decrease, if any, (vi) the Closing Date Indebtedness (the “</w:t>
      </w:r>
      <w:r>
        <w:rPr>
          <w:rFonts w:ascii="Arial" w:cs="Arial" w:eastAsia="Arial" w:hAnsi="Arial"/>
          <w:sz w:val="19"/>
          <w:szCs w:val="19"/>
          <w:u w:val="single" w:color="auto"/>
          <w:color w:val="auto"/>
        </w:rPr>
        <w:t>Estimated Closing Date Indebtedness</w:t>
      </w:r>
      <w:r>
        <w:rPr>
          <w:rFonts w:ascii="Arial" w:cs="Arial" w:eastAsia="Arial" w:hAnsi="Arial"/>
          <w:sz w:val="19"/>
          <w:szCs w:val="19"/>
          <w:color w:val="auto"/>
        </w:rPr>
        <w:t xml:space="preserve">”) and (vii) the amount, and the calculation of, the Estimated Purchase Price and Closing Payments derived therefrom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Estimated Working Capital is equal to the Working Capital Floor or the Working Capital Ceiling, or is greater than the Working Capital Floor and less than the Working Capital Ceiling, then the amounts set forth in each of clauses (a)(iv) and (a)(v) shall be Zero Dollars ($0). The Sellers’ Representative and the Company, during the period from the delivery of the Pre-Closing Statement through the Closing Date, shall, and shall cause their respective directors, officers, employees, accountants, and other relevant advisors to, provide Purchaser (and its auditors, advisors, counsel, and other representatives) reasonable access to the books and records, outside accounting firm, working papers (subject to the execution of customary access letters), and personnel of the Company relevant to their review of the Pre-Closing Statement and the calculations set forth therein, and the Company shall consider in good faith any comments made by Purchaser to the Pre-Closing Statement. Purchaser’s failure to make any comment regarding, or to dispute any amount included in, the Pre-Closing Statement shall not limit, or have any effect on, Purchaser’s rights pursuant to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to conduct a review of the Estimated Closing Date Cash, the Estimated Working Capital, the Estimated Working Capital Increase, if any, the Estimated Working Capital Decrease, if any, the Estimated Unpaid Company Transaction Expenses, the Estimated Closing Date Indebtedness and/or the resulting calculation of the Estimated Purchase Price. The Sellers’ Representative and the Company shall reasonably cooperate with Purchaser’s review of the Pre-Closing Statement and Purchaser and the Sellers’ Representative shall negotiate in good faith prior to the Closing to resolve any reasonable objection Purchaser may have to the estimates or calculations contained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Parties are unable to agree on any estimate in the Pre-Closing Statement prior to Closing, then for the purposes of this Agreement, including the revised Pre-Closing Statement, such estimate for the unresolved item shall be deemed to be the estimate of the Company provided in the originally-delivered Pre-Closing Statement.</w:t>
      </w:r>
    </w:p>
    <w:p>
      <w:pPr>
        <w:spacing w:after="0" w:line="159" w:lineRule="exact"/>
        <w:rPr>
          <w:rFonts w:ascii="Arial" w:cs="Arial" w:eastAsia="Arial" w:hAnsi="Arial"/>
          <w:sz w:val="19"/>
          <w:szCs w:val="19"/>
          <w:color w:val="010000"/>
        </w:rPr>
      </w:pPr>
    </w:p>
    <w:p>
      <w:pPr>
        <w:jc w:val="both"/>
        <w:ind w:firstLine="1288"/>
        <w:spacing w:after="0" w:line="236" w:lineRule="auto"/>
        <w:tabs>
          <w:tab w:leader="none" w:pos="1980"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Closing Statement</w:t>
      </w:r>
      <w:r>
        <w:rPr>
          <w:rFonts w:ascii="Arial" w:cs="Arial" w:eastAsia="Arial" w:hAnsi="Arial"/>
          <w:sz w:val="22"/>
          <w:szCs w:val="22"/>
          <w:color w:val="auto"/>
        </w:rPr>
        <w:t>. No later than sixty (60) days after the Closing Date, Purchaser shall cause to be prepared in good faith and delivered to the Sellers’ Representative (i) a statement (the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Statement</w:t>
      </w:r>
      <w:r>
        <w:rPr>
          <w:rFonts w:ascii="Arial" w:cs="Arial" w:eastAsia="Arial" w:hAnsi="Arial"/>
          <w:sz w:val="22"/>
          <w:szCs w:val="22"/>
          <w:color w:val="auto"/>
        </w:rPr>
        <w:t>”), in form substantially similar to the Pre-Closing Statement, setting forth in reasonable detail, with reasonable supporting documentation, Purchaser’s calculation of (A) the Closing Date Cash, (B) the Unpaid Company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9"/>
          <w:szCs w:val="19"/>
          <w:color w:val="auto"/>
        </w:rPr>
        <w:t xml:space="preserve">Expenses, (C) the Closing Date Indebtedness, (D) the Closing Date Working Capital, (E) the Working Capital Increase, if any, (F) the Working Capital Decrease, if any, and (G) the Purchase Price derived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Closing Date Working Capital is equal to the Working Capital Floor or equal to the Working Capital Ceiling, or is greater than the Working Capital Floor and less than the Working Capital Ceiling, then the amounts set forth in each of clauses (b)(i)(E) and (b)(i)(F) shall be Zero Dollars ($0), and (ii) a balance sheet of the Company as of the Measurement Time, in each case prepared in accordance with the Accounting Rules, which shall be so certified by the Chief Financial Officer of Purchaser. For the avoidance of doubt, unless the Sellers’ Representative otherwise agrees in writing, Purchaser may not amend, adjust, supplement or modify the Closing Statement or the amount of Closing Date Cash, Unpaid Company Transaction Expenses, Closing Date Indebtedness, Working Capital Increase (if any) or Working Capital Decrease (if any) set forth therein following its delivery to the Sellers’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Purchaser may provide additional supporting documentation and detail in connection with the dispute process set forth in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it being understood that the right to provide such additional supporting documentation and detail shall not operate to extend Purchaser’s obligation to deliver the Closing Statement within the above-referenced sixty (60)-day period. If Purchaser fails to deliver the Closing Statement within such sixty (60)-day period and if after the expiration of such sixty (60)-day period Purchaser does not deliver the Closing Statement to the Sellers’ Representative within ten (10) days after the Sellers’ Representative’s written notice to Purchaser of such failure, then in addition to any other rights Sellers may have under this Agreement, the Sellers’ Representative shall have the right to elect, on behalf of Sellers, that the Estimated Closing Date Cash, the Estimated Unpaid Company Transaction Expenses, the Estimated Closing Date Indebtedness, the Estimated Working Capital Increase (if any), and the Estimated Working Capital Decrease (if any), be deemed to be the amount of the Closing Date Cash, the Unpaid Company Transaction Expenses, the Closing Date Indebtedness, the Working Capital Increase (if any), and the Estimated Working Capital Decrease (if any), as applicable, and be final and binding and used for purposes of calculating the adjustment pursuant to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The Parties acknowledge that no adjustments may be made to the Working Capital Target, the Working Capital Floor or the Working Capital Ceiling. The Parties agree that the purpose of determining Closing Date Cash, Unpaid Company Transaction Expenses, Closing Date Indebtedness, Closing Date Working Capital, Working Capital Increase, Working Capital Decrease, and the related purchase price adjustment contemplated by </w:t>
      </w:r>
      <w:r>
        <w:rPr>
          <w:rFonts w:ascii="Arial" w:cs="Arial" w:eastAsia="Arial" w:hAnsi="Arial"/>
          <w:sz w:val="19"/>
          <w:szCs w:val="19"/>
          <w:u w:val="single" w:color="auto"/>
          <w:color w:val="auto"/>
        </w:rPr>
        <w:t>Section 1.4(b)-(e)</w:t>
      </w:r>
      <w:r>
        <w:rPr>
          <w:rFonts w:ascii="Arial" w:cs="Arial" w:eastAsia="Arial" w:hAnsi="Arial"/>
          <w:sz w:val="19"/>
          <w:szCs w:val="19"/>
          <w:color w:val="auto"/>
        </w:rPr>
        <w:t xml:space="preserve"> is to identify the difference, if any, between the amount of Closing Date Cash, Unpaid Company Transaction Expenses, Closing Date Indebtedness, Closing Date Working Capital, Working Capital Increase, Working Capital Decrease, and the Company’s estimates prepared pursuant to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During the period of time from and after the Closing Date through the final determination and payment of the Purchase Price finally determined in accordance with this </w:t>
      </w:r>
      <w:r>
        <w:rPr>
          <w:rFonts w:ascii="Arial" w:cs="Arial" w:eastAsia="Arial" w:hAnsi="Arial"/>
          <w:sz w:val="19"/>
          <w:szCs w:val="19"/>
          <w:u w:val="single" w:color="auto"/>
          <w:color w:val="auto"/>
        </w:rPr>
        <w:t>Section 1.4</w:t>
      </w:r>
      <w:r>
        <w:rPr>
          <w:rFonts w:ascii="Arial" w:cs="Arial" w:eastAsia="Arial" w:hAnsi="Arial"/>
          <w:sz w:val="19"/>
          <w:szCs w:val="19"/>
          <w:color w:val="auto"/>
        </w:rPr>
        <w:t>, Purchaser and the Company shall, and shall cause their respective directors, officers, employees, accountants, and other relevant advisors to, provide the Sellers’ Representative (and its auditors, advisors, counsel, and other representatives) reasonable access to the books and records, outside accounting firm, working papers (subject to the execution of customary access letters), and personnel of the Company and Purchaser relevant to their review of the Closing Statement and the calculations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55" w:name="page56"/>
    <w:bookmarkEnd w:id="55"/>
    <w:p>
      <w:pPr>
        <w:ind w:left="2300" w:hanging="672"/>
        <w:spacing w:after="0"/>
        <w:tabs>
          <w:tab w:leader="none" w:pos="2300" w:val="left"/>
        </w:tabs>
        <w:numPr>
          <w:ilvl w:val="1"/>
          <w:numId w:val="20"/>
        </w:numPr>
        <w:rPr>
          <w:rFonts w:ascii="Arial" w:cs="Arial" w:eastAsia="Arial" w:hAnsi="Arial"/>
          <w:sz w:val="22"/>
          <w:szCs w:val="22"/>
          <w:color w:val="010000"/>
        </w:rPr>
      </w:pPr>
      <w:r>
        <w:rPr>
          <w:rFonts w:ascii="Arial" w:cs="Arial" w:eastAsia="Arial" w:hAnsi="Arial"/>
          <w:sz w:val="22"/>
          <w:szCs w:val="22"/>
          <w:u w:val="single" w:color="auto"/>
          <w:color w:val="auto"/>
        </w:rPr>
        <w:t>Disputes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952"/>
        <w:spacing w:after="0" w:line="270" w:lineRule="auto"/>
        <w:tabs>
          <w:tab w:leader="none" w:pos="2769" w:val="left"/>
        </w:tabs>
        <w:numPr>
          <w:ilvl w:val="2"/>
          <w:numId w:val="20"/>
        </w:numPr>
        <w:rPr>
          <w:rFonts w:ascii="Arial" w:cs="Arial" w:eastAsia="Arial" w:hAnsi="Arial"/>
          <w:sz w:val="19"/>
          <w:szCs w:val="19"/>
          <w:color w:val="010000"/>
        </w:rPr>
      </w:pPr>
      <w:r>
        <w:rPr>
          <w:rFonts w:ascii="Arial" w:cs="Arial" w:eastAsia="Arial" w:hAnsi="Arial"/>
          <w:sz w:val="19"/>
          <w:szCs w:val="19"/>
          <w:color w:val="auto"/>
        </w:rPr>
        <w:t>The Sellers’ Representative shall have forty-five (45) days to review the Closing Statement after receipt of the Closing Statement. If the Sellers’ Representative disagrees with Purchaser’s calculation of any of the Closing Date Cash, Unpaid Company Transaction Expenses, Closing Date Indebtedness, the Closing Date Working Capital, the Working Capital Increase, if any, or the Working Capital Decrease, if any, in each case as set forth in the Closing Statement, the Sellers’ Representative may, within such forty-five (45)-day period, deliver a notice to Purchaser (a “</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disagreeing with such calculation, setting forth in reasonable detail the Sellers’ Representative’s basis for such disagreement, and Sellers shall be deemed to have agreed with all other items contained in the Closing Statement and the calculations of Closing Date Cash, Unpaid Company Transaction Expenses, Closing Date Indebtedness, the Closing Date Working Capital, the Working Capital Increase, if any, and the Working Capital Decrease, if any, set forth therein (except to the extent specified in such Dispute Notice or related to the items or amounts subject to such disagreement). If the Sellers’ Representative fails to deliver such notice during such forty-five (45)-day period, the Sellers’ Representative shall have waived Sellers’ rights to contest the Closing Statement, and the calculations of Closing Date Cash, Unpaid Company Transaction Expenses, Closing Date Indebtedness, the Closing Date Working Capital, the Working Capital Increase, if any, and the Working Capital Decrease, if any, in each case as set forth therein shall be deemed to be final and binding upon the Parties and such amount shall be used for purposes of calculating the adjustment pursuant to </w:t>
      </w:r>
      <w:r>
        <w:rPr>
          <w:rFonts w:ascii="Arial" w:cs="Arial" w:eastAsia="Arial" w:hAnsi="Arial"/>
          <w:sz w:val="19"/>
          <w:szCs w:val="19"/>
          <w:u w:val="single" w:color="auto"/>
          <w:color w:val="auto"/>
        </w:rPr>
        <w:t>Section 1.4(d)</w:t>
      </w:r>
      <w:r>
        <w:rPr>
          <w:rFonts w:ascii="Arial" w:cs="Arial" w:eastAsia="Arial" w:hAnsi="Arial"/>
          <w:sz w:val="19"/>
          <w:szCs w:val="19"/>
          <w:color w:val="auto"/>
        </w:rPr>
        <w:t>.</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jc w:val="both"/>
        <w:ind w:firstLine="1952"/>
        <w:spacing w:after="0" w:line="269" w:lineRule="auto"/>
        <w:tabs>
          <w:tab w:leader="none" w:pos="2613" w:val="left"/>
        </w:tabs>
        <w:numPr>
          <w:ilvl w:val="2"/>
          <w:numId w:val="20"/>
        </w:numPr>
        <w:rPr>
          <w:rFonts w:ascii="Arial" w:cs="Arial" w:eastAsia="Arial" w:hAnsi="Arial"/>
          <w:sz w:val="19"/>
          <w:szCs w:val="19"/>
          <w:color w:val="010000"/>
        </w:rPr>
      </w:pPr>
      <w:r>
        <w:rPr>
          <w:rFonts w:ascii="Arial" w:cs="Arial" w:eastAsia="Arial" w:hAnsi="Arial"/>
          <w:sz w:val="19"/>
          <w:szCs w:val="19"/>
          <w:color w:val="auto"/>
        </w:rPr>
        <w:t xml:space="preserve">If a Dispute Notice shall be duly delivered pursuant to </w:t>
      </w:r>
      <w:r>
        <w:rPr>
          <w:rFonts w:ascii="Arial" w:cs="Arial" w:eastAsia="Arial" w:hAnsi="Arial"/>
          <w:sz w:val="19"/>
          <w:szCs w:val="19"/>
          <w:u w:val="single" w:color="auto"/>
          <w:color w:val="auto"/>
        </w:rPr>
        <w:t>Section 1.4(c)(i)</w:t>
      </w:r>
      <w:r>
        <w:rPr>
          <w:rFonts w:ascii="Arial" w:cs="Arial" w:eastAsia="Arial" w:hAnsi="Arial"/>
          <w:sz w:val="19"/>
          <w:szCs w:val="19"/>
          <w:color w:val="auto"/>
        </w:rPr>
        <w:t>, the Sellers’ Representative and Purchaser shall, during the thirty (30) days following such delivery, attempt to reach agreement on the disputed items or amounts to determine, as may be required, the amount(s) of Closing Date Cash, Unpaid Company Transaction Expenses, Closing Date Indebtedness, the Closing Date Working Capital, the Working Capital Increase, or the Working Capital Decrease, as applicable. Any such agreement shall be in writing and shall be final and binding upon the Parties. If during such period, the Sellers’ Representative and Purchaser are unable to reach such agreement, then all amounts and items remaining in dispute shall be promptly submitted by the Sellers’ Representative and Purchaser to Duff &amp; Phelps, LLC, or if such accounting firm informs the Parties that it cannot or will not serve in such capacity, the Sellers’ Representative and Purchaser will, within five</w:t>
      </w:r>
    </w:p>
    <w:p>
      <w:pPr>
        <w:spacing w:after="0" w:line="1" w:lineRule="exact"/>
        <w:rPr>
          <w:rFonts w:ascii="Arial" w:cs="Arial" w:eastAsia="Arial" w:hAnsi="Arial"/>
          <w:sz w:val="19"/>
          <w:szCs w:val="19"/>
          <w:color w:val="010000"/>
        </w:rPr>
      </w:pPr>
    </w:p>
    <w:p>
      <w:pPr>
        <w:jc w:val="both"/>
        <w:ind w:firstLine="8"/>
        <w:spacing w:after="0" w:line="270" w:lineRule="auto"/>
        <w:tabs>
          <w:tab w:leader="none" w:pos="345" w:val="left"/>
        </w:tabs>
        <w:numPr>
          <w:ilvl w:val="0"/>
          <w:numId w:val="21"/>
        </w:numPr>
        <w:rPr>
          <w:rFonts w:ascii="Arial" w:cs="Arial" w:eastAsia="Arial" w:hAnsi="Arial"/>
          <w:sz w:val="19"/>
          <w:szCs w:val="19"/>
          <w:color w:val="auto"/>
        </w:rPr>
      </w:pPr>
      <w:r>
        <w:rPr>
          <w:rFonts w:ascii="Arial" w:cs="Arial" w:eastAsia="Arial" w:hAnsi="Arial"/>
          <w:sz w:val="19"/>
          <w:szCs w:val="19"/>
          <w:color w:val="auto"/>
        </w:rPr>
        <w:t>days following such notice, jointly select an accountant at another nationally recognized accounting firm mutually acceptable to the Sellers’ Representative and Purchaser acting reasonably (in either case, such accounting firm, the “</w:t>
      </w:r>
      <w:r>
        <w:rPr>
          <w:rFonts w:ascii="Arial" w:cs="Arial" w:eastAsia="Arial" w:hAnsi="Arial"/>
          <w:sz w:val="19"/>
          <w:szCs w:val="19"/>
          <w:u w:val="single" w:color="auto"/>
          <w:color w:val="auto"/>
        </w:rPr>
        <w:t>Accounting Referee</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Sellers’ Representative and Purchaser are unable to agree upon an Accounting Referee within the above period, then the Parties shall utilize the American Arbitration Association to select an Accounting Referee, who shall be an accountant at a nationally recognized accounting firm which is not the independent auditor of, and did not otherwise serve as a consultant on the Transaction to, either Purchaser or Sellers or their respective Affiliates) for a determination resolving such disputed items or amounts for the purpose of calculating Closing Date Cash, Unpaid Company Transaction Expenses, Closing Date Indebtedness, the Closing Date Working Capital, the Working Capital Increase, if any, or the Working Capital Decrease, if any (it being agreed and understood that the Accounting Referee shall act as an arbitrator to determine such disputed items or amounts (and, as a result thereof, Closing Date Cash, Unpaid Company Transaction Expenses, Closing Date Indebtedness, the Closing Date Working Capital, the Working Capital Increase, if any, and the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9"/>
          <w:szCs w:val="19"/>
          <w:color w:val="auto"/>
        </w:rPr>
        <w:t xml:space="preserve">Decrease, if any) and shall do so based solely on written presentations and information provided by Purchaser and the Sellers’ Representative and not by independent review). Within five (5) days after its appointment, the Accounting Referee shall determine the process and procedures governing the resolution of any disputed items by the Accounting Referee (it being agreed and understood that such process shall include, at a minimum, appropriate measures to ensure compliance by the applicable Parties with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and the process and procedures for the submission of any written presentations by the Sellers’ Representative and Purchaser and the time periods thereof). In conducting its review, the Accounting Referee shall consider only those items or amounts in the Closing Statement and Purchaser’s calculations of Closing Date Cash, Unpaid Company Transaction Expenses, Closing Date Indebtedness, the Closing Date Working Capital, the Working Capital Increase, if any, or the Working Capital Decrease, if any, which the Sellers’ Representative has disputed in the Dispute Notice and that are not resolved in writing during the thirty (30)-day period following delivery of the Dispute Notice. The scope of the disputes to be resolved by the Accounting Referee shall be limited to fixing mathematical errors and determining whether the items in dispute were determined in accordance with this Agreement (including the definitions of Closing Date Cash, Unpaid Company Transaction Expenses, Closing Date Indebtedness, Closing Date Working Capital, Working Capital Increase, and Working Capital Decrease, and the Accounting Rules), and the Accounting Referee is not to make any other determination. The Accounting Referee shall deliver to the Sellers’ Representative and Purchaser, as promptly as practicable (but in any case no later than thirty (30) days from the date the Accounting Referee determines the process and procedures governing the resolution of any disputed items by the Accounting Referee), a report setting forth its calculations of Closing Date Cash, Unpaid Company Transaction Expenses, Closing Date Indebtedness, Closing Date Working Capital, Working Capital Increase, and Working Capital Decrease, as applicable, which amount(s) shall, in each case, be within the range between the calculations submitted by Purchaser and the Sellers’ Representative as to that item. Such report shall be final and binding upon the Parties and shall be used for purposes of calculating the adjustment pursuant to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Notwithstanding anything herein to the contrary, the dispute resolution mechanism contained in this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shall be the exclusive mechanism for resolving disputes regarding the Closing Date Cash, Unpaid Company Transaction Expenses, Closing Date Indebtedness, the Working Capital Increase, if any, and the Working Capital Decrease, if any. Judgment may be entered upon the determination of the Accounting Referee in any court having jurisdiction over the Party against which such determination is to be enforced.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1952"/>
        <w:spacing w:after="0" w:line="273" w:lineRule="auto"/>
        <w:tabs>
          <w:tab w:leader="none" w:pos="2659"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 xml:space="preserve">If the Sellers’ Representative and Purchaser submit disputed amounts and items to the Accounting Referee for resolution, the Sellers’ Representative and Purchaser shall each pay their own costs and expenses incurred under this </w:t>
      </w:r>
      <w:r>
        <w:rPr>
          <w:rFonts w:ascii="Arial" w:cs="Arial" w:eastAsia="Arial" w:hAnsi="Arial"/>
          <w:sz w:val="19"/>
          <w:szCs w:val="19"/>
          <w:u w:val="single" w:color="auto"/>
          <w:color w:val="auto"/>
        </w:rPr>
        <w:t>Section 1.4(c)</w:t>
      </w:r>
      <w:r>
        <w:rPr>
          <w:rFonts w:ascii="Arial" w:cs="Arial" w:eastAsia="Arial" w:hAnsi="Arial"/>
          <w:sz w:val="19"/>
          <w:szCs w:val="19"/>
          <w:color w:val="auto"/>
        </w:rPr>
        <w:t>. The fees, costs and expenses of the Accounting Referee shall be borne by Sellers, on the one hand, and Purchaser, on the other hand, in proportion to the relative amount each of the Sellers’ Representative’s and Purchaser’s determination has been modified such that the Party prevailing on the greatest dollar value of such disputes pays for the lesser proportion of the fees. For example, if Sellers’ Representative challenges the calculation of the Closing Date Cash by an amount of One Hundred Thousand Dollars ($100,000), but the Accounting Referee determines that Sellers’ Representative has a valid claim for only Sixty Thousand Dollars ($60,000), Sellers shall bear forty percent (40%) of the fees and expenses of the Accounting Referee and Purchaser shall bear the other sixty percent (60%) of such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7" w:name="page58"/>
    <w:bookmarkEnd w:id="57"/>
    <w:p>
      <w:pPr>
        <w:jc w:val="both"/>
        <w:ind w:left="340" w:firstLine="1288"/>
        <w:spacing w:after="0" w:line="272" w:lineRule="auto"/>
        <w:tabs>
          <w:tab w:leader="none" w:pos="2522" w:val="left"/>
        </w:tabs>
        <w:numPr>
          <w:ilvl w:val="1"/>
          <w:numId w:val="23"/>
        </w:numPr>
        <w:rPr>
          <w:rFonts w:ascii="Arial" w:cs="Arial" w:eastAsia="Arial" w:hAnsi="Arial"/>
          <w:sz w:val="19"/>
          <w:szCs w:val="19"/>
          <w:color w:val="010000"/>
        </w:rPr>
      </w:pPr>
      <w:r>
        <w:rPr>
          <w:rFonts w:ascii="Arial" w:cs="Arial" w:eastAsia="Arial" w:hAnsi="Arial"/>
          <w:sz w:val="19"/>
          <w:szCs w:val="19"/>
          <w:u w:val="single" w:color="auto"/>
          <w:color w:val="auto"/>
        </w:rPr>
        <w:t>Final Adjustment</w:t>
      </w:r>
      <w:r>
        <w:rPr>
          <w:rFonts w:ascii="Arial" w:cs="Arial" w:eastAsia="Arial" w:hAnsi="Arial"/>
          <w:sz w:val="19"/>
          <w:szCs w:val="19"/>
          <w:color w:val="auto"/>
        </w:rPr>
        <w:t xml:space="preserve">. Following the time that the amounts of the Closing Date Cash, Unpaid Company Transaction Expenses, Closing Date Indebtedness, the Closing Date Working Capital, the Working Capital Increase, if any, and the Working Capital Decrease, if any, are finally determined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(such finally determined amounts, respectively, the “</w:t>
      </w:r>
      <w:r>
        <w:rPr>
          <w:rFonts w:ascii="Arial" w:cs="Arial" w:eastAsia="Arial" w:hAnsi="Arial"/>
          <w:sz w:val="19"/>
          <w:szCs w:val="19"/>
          <w:u w:val="single" w:color="auto"/>
          <w:color w:val="auto"/>
        </w:rPr>
        <w:t>Final Closing Date Cash</w:t>
      </w:r>
      <w:r>
        <w:rPr>
          <w:rFonts w:ascii="Arial" w:cs="Arial" w:eastAsia="Arial" w:hAnsi="Arial"/>
          <w:sz w:val="19"/>
          <w:szCs w:val="19"/>
          <w:color w:val="auto"/>
        </w:rPr>
        <w:t>”, the “</w:t>
      </w:r>
      <w:r>
        <w:rPr>
          <w:rFonts w:ascii="Arial" w:cs="Arial" w:eastAsia="Arial" w:hAnsi="Arial"/>
          <w:sz w:val="19"/>
          <w:szCs w:val="19"/>
          <w:u w:val="single" w:color="auto"/>
          <w:color w:val="auto"/>
        </w:rPr>
        <w:t>Final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Unpaid Company Transaction Expenses</w:t>
      </w:r>
      <w:r>
        <w:rPr>
          <w:rFonts w:ascii="Arial" w:cs="Arial" w:eastAsia="Arial" w:hAnsi="Arial"/>
          <w:sz w:val="19"/>
          <w:szCs w:val="19"/>
          <w:color w:val="auto"/>
        </w:rPr>
        <w:t>”, the “</w:t>
      </w:r>
      <w:r>
        <w:rPr>
          <w:rFonts w:ascii="Arial" w:cs="Arial" w:eastAsia="Arial" w:hAnsi="Arial"/>
          <w:sz w:val="19"/>
          <w:szCs w:val="19"/>
          <w:u w:val="single" w:color="auto"/>
          <w:color w:val="auto"/>
        </w:rPr>
        <w:t>Final Closing Date Indebtedness</w:t>
      </w:r>
      <w:r>
        <w:rPr>
          <w:rFonts w:ascii="Arial" w:cs="Arial" w:eastAsia="Arial" w:hAnsi="Arial"/>
          <w:sz w:val="19"/>
          <w:szCs w:val="19"/>
          <w:color w:val="auto"/>
        </w:rPr>
        <w:t>” the “</w:t>
      </w:r>
      <w:r>
        <w:rPr>
          <w:rFonts w:ascii="Arial" w:cs="Arial" w:eastAsia="Arial" w:hAnsi="Arial"/>
          <w:sz w:val="19"/>
          <w:szCs w:val="19"/>
          <w:u w:val="single" w:color="auto"/>
          <w:color w:val="auto"/>
        </w:rPr>
        <w:t>Final Closing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Working Capital</w:t>
      </w:r>
      <w:r>
        <w:rPr>
          <w:rFonts w:ascii="Arial" w:cs="Arial" w:eastAsia="Arial" w:hAnsi="Arial"/>
          <w:sz w:val="19"/>
          <w:szCs w:val="19"/>
          <w:color w:val="auto"/>
        </w:rPr>
        <w:t>”, the “</w:t>
      </w:r>
      <w:r>
        <w:rPr>
          <w:rFonts w:ascii="Arial" w:cs="Arial" w:eastAsia="Arial" w:hAnsi="Arial"/>
          <w:sz w:val="19"/>
          <w:szCs w:val="19"/>
          <w:u w:val="single" w:color="auto"/>
          <w:color w:val="auto"/>
        </w:rPr>
        <w:t>Final Working Capital Increase</w:t>
      </w:r>
      <w:r>
        <w:rPr>
          <w:rFonts w:ascii="Arial" w:cs="Arial" w:eastAsia="Arial" w:hAnsi="Arial"/>
          <w:sz w:val="19"/>
          <w:szCs w:val="19"/>
          <w:color w:val="auto"/>
        </w:rPr>
        <w:t>” and the “</w:t>
      </w:r>
      <w:r>
        <w:rPr>
          <w:rFonts w:ascii="Arial" w:cs="Arial" w:eastAsia="Arial" w:hAnsi="Arial"/>
          <w:sz w:val="19"/>
          <w:szCs w:val="19"/>
          <w:u w:val="single" w:color="auto"/>
          <w:color w:val="auto"/>
        </w:rPr>
        <w:t>Final Working Capital Decrease</w:t>
      </w:r>
      <w:r>
        <w:rPr>
          <w:rFonts w:ascii="Arial" w:cs="Arial" w:eastAsia="Arial" w:hAnsi="Arial"/>
          <w:sz w:val="19"/>
          <w:szCs w:val="19"/>
          <w:color w:val="auto"/>
        </w:rPr>
        <w:t xml:space="preserve">”), the Purchase Price shall (for the purposes of this </w:t>
      </w:r>
      <w:r>
        <w:rPr>
          <w:rFonts w:ascii="Arial" w:cs="Arial" w:eastAsia="Arial" w:hAnsi="Arial"/>
          <w:sz w:val="19"/>
          <w:szCs w:val="19"/>
          <w:u w:val="single" w:color="auto"/>
          <w:color w:val="auto"/>
        </w:rPr>
        <w:t>Section 1.4(d)</w:t>
      </w:r>
      <w:r>
        <w:rPr>
          <w:rFonts w:ascii="Arial" w:cs="Arial" w:eastAsia="Arial" w:hAnsi="Arial"/>
          <w:sz w:val="19"/>
          <w:szCs w:val="19"/>
          <w:color w:val="auto"/>
        </w:rPr>
        <w:t>) be recalculated using the amounts of the Final Closing Date Cash, the Final Unpaid Company Transaction Expenses, the Final Closing Date Indebtedness, the Final Closing Date Working Capital, the Final Working Capital Increase, and the Final Working Capital Decrease in lieu of the Estimated Closing Date Cash, the Estimated Unpaid Company Transaction Expenses, the Estimated Closing Date Indebtedness, the Estimated Working Capital, the Estimated Working Capital Increase, and the Estimated Working Capital Decrease and:</w:t>
      </w:r>
    </w:p>
    <w:p>
      <w:pPr>
        <w:spacing w:after="0" w:line="160" w:lineRule="exact"/>
        <w:rPr>
          <w:rFonts w:ascii="Arial" w:cs="Arial" w:eastAsia="Arial" w:hAnsi="Arial"/>
          <w:sz w:val="19"/>
          <w:szCs w:val="19"/>
          <w:color w:val="010000"/>
        </w:rPr>
      </w:pPr>
    </w:p>
    <w:p>
      <w:pPr>
        <w:jc w:val="both"/>
        <w:ind w:firstLine="1952"/>
        <w:spacing w:after="0" w:line="268" w:lineRule="auto"/>
        <w:tabs>
          <w:tab w:leader="none" w:pos="2863" w:val="left"/>
        </w:tabs>
        <w:numPr>
          <w:ilvl w:val="2"/>
          <w:numId w:val="23"/>
        </w:numPr>
        <w:rPr>
          <w:rFonts w:ascii="Arial" w:cs="Arial" w:eastAsia="Arial" w:hAnsi="Arial"/>
          <w:sz w:val="19"/>
          <w:szCs w:val="19"/>
          <w:color w:val="010000"/>
        </w:rPr>
      </w:pPr>
      <w:r>
        <w:rPr>
          <w:rFonts w:ascii="Arial" w:cs="Arial" w:eastAsia="Arial" w:hAnsi="Arial"/>
          <w:sz w:val="19"/>
          <w:szCs w:val="19"/>
          <w:color w:val="auto"/>
        </w:rPr>
        <w:t xml:space="preserve">if (x) the result of the Purchase Price as so recalculated is greater than (y) the Estimated Purchase Price paid to Sellers at Closing pursuant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(such excess of (x) over (y), the “</w:t>
      </w:r>
      <w:r>
        <w:rPr>
          <w:rFonts w:ascii="Arial" w:cs="Arial" w:eastAsia="Arial" w:hAnsi="Arial"/>
          <w:sz w:val="19"/>
          <w:szCs w:val="19"/>
          <w:u w:val="single" w:color="auto"/>
          <w:color w:val="auto"/>
        </w:rPr>
        <w:t>Surplus</w:t>
      </w:r>
      <w:r>
        <w:rPr>
          <w:rFonts w:ascii="Arial" w:cs="Arial" w:eastAsia="Arial" w:hAnsi="Arial"/>
          <w:sz w:val="19"/>
          <w:szCs w:val="19"/>
          <w:color w:val="auto"/>
        </w:rPr>
        <w:t xml:space="preserve">”), then promptly (and in any event within five (5) Business Days) after the Final Closing Date Cash, the Final Unpaid Company Transaction Expenses, the Final Closing Date Indebtedness, the Final Closing Date Working Capital, the Final Working Capital Increase, and the Final Working Capital Decrease are finally determined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 Purchaser shall pay to (x) Sellers on a pro rata basis (based on Sellers’ respective Pro Rata Percentages), by wire transfer of immediately available funds to the accounts designated in writing by Sellers, an amount equal to the Surplus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Transaction Bonus Portion of the Surplus and (y) the Company the Transaction Bonus Portion of the Surplus for further distribution in accordance with the applicable Honored Agreements pursuant to </w:t>
      </w:r>
      <w:r>
        <w:rPr>
          <w:rFonts w:ascii="Arial" w:cs="Arial" w:eastAsia="Arial" w:hAnsi="Arial"/>
          <w:sz w:val="19"/>
          <w:szCs w:val="19"/>
          <w:u w:val="single" w:color="auto"/>
          <w:color w:val="auto"/>
        </w:rPr>
        <w:t>Section 7.7(h</w:t>
      </w:r>
      <w:r>
        <w:rPr>
          <w:rFonts w:ascii="Arial" w:cs="Arial" w:eastAsia="Arial" w:hAnsi="Arial"/>
          <w:sz w:val="19"/>
          <w:szCs w:val="19"/>
          <w:color w:val="auto"/>
        </w:rPr>
        <w:t>), by wire transfer of immediately available funds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herein to the contrary, any such Surplus (including the Transaction Bonus Portion of any such Surplus) for which compensatory Tax withholding is required by Law shall be paid via an applicable payroll system) and (B) the Sellers’ Representative and Purchaser shall jointly instruct the Escrow Agent in writing to release (x) an amount equal to the Adjustment Escrow Funds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Transaction Bonus Portion of the Adjustment Escrow Funds to Sellers (based on Sellers’ respective Pro Rata Percentages) and</w:t>
      </w:r>
    </w:p>
    <w:p>
      <w:pPr>
        <w:spacing w:after="0" w:line="3" w:lineRule="exact"/>
        <w:rPr>
          <w:rFonts w:ascii="Arial" w:cs="Arial" w:eastAsia="Arial" w:hAnsi="Arial"/>
          <w:sz w:val="19"/>
          <w:szCs w:val="19"/>
          <w:color w:val="010000"/>
        </w:rPr>
      </w:pPr>
    </w:p>
    <w:p>
      <w:pPr>
        <w:jc w:val="both"/>
        <w:ind w:firstLine="8"/>
        <w:spacing w:after="0" w:line="245" w:lineRule="auto"/>
        <w:tabs>
          <w:tab w:leader="none" w:pos="332"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the Transaction Bonus Portion of the Adjustment Escrow Funds to the Company for further distribution in accordance with the applicable Honored Agreements pursuant to </w:t>
      </w:r>
      <w:r>
        <w:rPr>
          <w:rFonts w:ascii="Arial" w:cs="Arial" w:eastAsia="Arial" w:hAnsi="Arial"/>
          <w:sz w:val="21"/>
          <w:szCs w:val="21"/>
          <w:u w:val="single" w:color="auto"/>
          <w:color w:val="auto"/>
        </w:rPr>
        <w:t>Section 7.7(h)</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herein to the contrary, any such portion of the Adjustment Escrow Funds (including the Transaction Bonus Portion of the Adjustment Escrow Funds) for which compensatory Tax withholding is required by Law shall be paid via an applicable payroll system);</w:t>
      </w:r>
    </w:p>
    <w:p>
      <w:pPr>
        <w:spacing w:after="0" w:line="180" w:lineRule="exact"/>
        <w:rPr>
          <w:rFonts w:ascii="Arial" w:cs="Arial" w:eastAsia="Arial" w:hAnsi="Arial"/>
          <w:sz w:val="21"/>
          <w:szCs w:val="21"/>
          <w:color w:val="auto"/>
        </w:rPr>
      </w:pPr>
    </w:p>
    <w:p>
      <w:pPr>
        <w:jc w:val="both"/>
        <w:ind w:firstLine="1952"/>
        <w:spacing w:after="0" w:line="277" w:lineRule="auto"/>
        <w:tabs>
          <w:tab w:leader="none" w:pos="2586" w:val="left"/>
        </w:tabs>
        <w:numPr>
          <w:ilvl w:val="2"/>
          <w:numId w:val="24"/>
        </w:numPr>
        <w:rPr>
          <w:rFonts w:ascii="Arial" w:cs="Arial" w:eastAsia="Arial" w:hAnsi="Arial"/>
          <w:sz w:val="19"/>
          <w:szCs w:val="19"/>
          <w:color w:val="010000"/>
        </w:rPr>
      </w:pPr>
      <w:r>
        <w:rPr>
          <w:rFonts w:ascii="Arial" w:cs="Arial" w:eastAsia="Arial" w:hAnsi="Arial"/>
          <w:sz w:val="19"/>
          <w:szCs w:val="19"/>
          <w:color w:val="auto"/>
        </w:rPr>
        <w:t xml:space="preserve">if (x) the result of the Purchase Price as so recalculated is less than (y) the Estimated Purchase Price paid to Sellers at Closing pursuant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(such deficit of (x) relative to (y), the “</w:t>
      </w:r>
      <w:r>
        <w:rPr>
          <w:rFonts w:ascii="Arial" w:cs="Arial" w:eastAsia="Arial" w:hAnsi="Arial"/>
          <w:sz w:val="19"/>
          <w:szCs w:val="19"/>
          <w:u w:val="single" w:color="auto"/>
          <w:color w:val="auto"/>
        </w:rPr>
        <w:t>Deficit</w:t>
      </w:r>
      <w:r>
        <w:rPr>
          <w:rFonts w:ascii="Arial" w:cs="Arial" w:eastAsia="Arial" w:hAnsi="Arial"/>
          <w:sz w:val="19"/>
          <w:szCs w:val="19"/>
          <w:color w:val="auto"/>
        </w:rPr>
        <w:t xml:space="preserve">”), then the Sellers’ Representative and Purchaser shall, promptly (and in any event within five (5) Business Days) after the Final Closing Date Cash, the Final Unpaid Company Transaction Expenses, the Final Closing Date Indebtedness, the Final Closing Date Working Capital, the Final Working Capital Increase and the Final Working Capital Decrease are finally determined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jointly instruct the Escrow Agent in writing to (A) pay to Purchaser, out of the Adjustment Escrow Funds, an amount equal to the Deficit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58" w:name="page59"/>
    <w:bookmarkEnd w:id="58"/>
    <w:p>
      <w:pPr>
        <w:jc w:val="both"/>
        <w:ind w:firstLine="8"/>
        <w:spacing w:after="0" w:line="272" w:lineRule="auto"/>
        <w:tabs>
          <w:tab w:leader="none" w:pos="345"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if the Deficit is less than the amount of the Adjustment Escrow Funds, release to (x) Sellers (based on Sellers’ respective Pro Rata Percentages) an amount equal to the balance of the Adjustment Escrow Funds remaining after payment to Purchaser pursuant to the preceding clause (A)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Transaction Bonus Portion of such Adjustment Escrow Funds and (y) the Company the Transaction Bonus Portion of such Adjustment Escrow Funds for further distribution in accordance with the terms of the applicable Honored Agreements pursuant to </w:t>
      </w:r>
      <w:r>
        <w:rPr>
          <w:rFonts w:ascii="Arial" w:cs="Arial" w:eastAsia="Arial" w:hAnsi="Arial"/>
          <w:sz w:val="19"/>
          <w:szCs w:val="19"/>
          <w:u w:val="single" w:color="auto"/>
          <w:color w:val="auto"/>
        </w:rPr>
        <w:t>Section 7.7(h)</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herein to the contrary, any such portion of such Adjustment Escrow Funds (including the Transaction Bonus Portion of such Adjustment Escrow Funds) for which compensatory Tax withholding is required by Law shall be paid via an applicable payroll system). The Adjustment Escrow Funds shall be Purchaser’s sole recourse with respect to, and the exclusive source of funds for, any payments required to be made by Sellers under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and Sellers shall have no obligation to Purchaser to the extent the Deficit and/or any other amounts payable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1.4(c)</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exceed the Adjustment Escrow Funds; or</w:t>
      </w:r>
    </w:p>
    <w:p>
      <w:pPr>
        <w:spacing w:after="0" w:line="160" w:lineRule="exact"/>
        <w:rPr>
          <w:rFonts w:ascii="Arial" w:cs="Arial" w:eastAsia="Arial" w:hAnsi="Arial"/>
          <w:sz w:val="19"/>
          <w:szCs w:val="19"/>
          <w:color w:val="auto"/>
        </w:rPr>
      </w:pPr>
    </w:p>
    <w:p>
      <w:pPr>
        <w:jc w:val="both"/>
        <w:ind w:firstLine="1952"/>
        <w:spacing w:after="0" w:line="272" w:lineRule="auto"/>
        <w:tabs>
          <w:tab w:leader="none" w:pos="2632" w:val="left"/>
        </w:tabs>
        <w:numPr>
          <w:ilvl w:val="1"/>
          <w:numId w:val="25"/>
        </w:numPr>
        <w:rPr>
          <w:rFonts w:ascii="Arial" w:cs="Arial" w:eastAsia="Arial" w:hAnsi="Arial"/>
          <w:sz w:val="19"/>
          <w:szCs w:val="19"/>
          <w:color w:val="010000"/>
        </w:rPr>
      </w:pPr>
      <w:r>
        <w:rPr>
          <w:rFonts w:ascii="Arial" w:cs="Arial" w:eastAsia="Arial" w:hAnsi="Arial"/>
          <w:sz w:val="19"/>
          <w:szCs w:val="19"/>
          <w:color w:val="auto"/>
        </w:rPr>
        <w:t xml:space="preserve">if the Purchase Price equals the Estimated Purchase Price paid to Sellers at Closing pursuant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then the Sellers’ Representative and Purchaser shall, promptly (and in any event within five (5) Business Days) after the Final Closing Date Cash, the Final Unpaid Company Transaction Expenses, the Final Closing Date Indebtedness, Final Closing Date Working Capital, the Final Working Capital Increase, and the Final Working Capital Decrease are finally determined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jointly instruct the Escrow Agent in writing to release (x) an amount equal to the Adjustment Escrow Funds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Transaction Bonus Portion of the Adjustment Escrow Funds to Sellers (based on Sellers’ respective Pro Rata Percentages) and (y) an amount equal to the Transaction Bonus Portion of the Adjustment Escrow Funds to the Company for further distribution in accordance with the terms of the applicable Honored Agreements pursuant to </w:t>
      </w:r>
      <w:r>
        <w:rPr>
          <w:rFonts w:ascii="Arial" w:cs="Arial" w:eastAsia="Arial" w:hAnsi="Arial"/>
          <w:sz w:val="19"/>
          <w:szCs w:val="19"/>
          <w:u w:val="single" w:color="auto"/>
          <w:color w:val="auto"/>
        </w:rPr>
        <w:t>Section 7.7(h)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herein to the contrary, any such portion of the Adjustment Escrow Funds (including the Transaction Bonus Portion of the Adjustment Escrow Funds) for which compensatory Tax withholding is required by Law shall be paid via an applicable payroll system).</w:t>
      </w:r>
    </w:p>
    <w:p>
      <w:pPr>
        <w:spacing w:after="0" w:line="161" w:lineRule="exact"/>
        <w:rPr>
          <w:sz w:val="20"/>
          <w:szCs w:val="20"/>
          <w:color w:val="auto"/>
        </w:rPr>
      </w:pPr>
    </w:p>
    <w:p>
      <w:pPr>
        <w:jc w:val="both"/>
        <w:ind w:left="340" w:firstLine="1288"/>
        <w:spacing w:after="0" w:line="246" w:lineRule="auto"/>
        <w:tabs>
          <w:tab w:leader="none" w:pos="2429" w:val="left"/>
        </w:tabs>
        <w:numPr>
          <w:ilvl w:val="0"/>
          <w:numId w:val="26"/>
        </w:numPr>
        <w:rPr>
          <w:rFonts w:ascii="Arial" w:cs="Arial" w:eastAsia="Arial" w:hAnsi="Arial"/>
          <w:sz w:val="21"/>
          <w:szCs w:val="21"/>
          <w:color w:val="010000"/>
        </w:rPr>
      </w:pPr>
      <w:r>
        <w:rPr>
          <w:rFonts w:ascii="Arial" w:cs="Arial" w:eastAsia="Arial" w:hAnsi="Arial"/>
          <w:sz w:val="21"/>
          <w:szCs w:val="21"/>
          <w:u w:val="single" w:color="auto"/>
          <w:color w:val="auto"/>
        </w:rPr>
        <w:t>Cooperation</w:t>
      </w:r>
      <w:r>
        <w:rPr>
          <w:rFonts w:ascii="Arial" w:cs="Arial" w:eastAsia="Arial" w:hAnsi="Arial"/>
          <w:sz w:val="21"/>
          <w:szCs w:val="21"/>
          <w:color w:val="auto"/>
        </w:rPr>
        <w:t xml:space="preserve">. During the period of time from and after the Closing Date through the final determination of the Final Closing Date Cash, the Final Unpaid Company Transaction Expenses, the Final Closing Date Indebtedness, the Final Closing Date Working Capital, the Final Working Capital Increase, and the Final Working Capital Decrease and payment of the Surplus or Deficit, if and as applicable, in accordance with this </w:t>
      </w:r>
      <w:r>
        <w:rPr>
          <w:rFonts w:ascii="Arial" w:cs="Arial" w:eastAsia="Arial" w:hAnsi="Arial"/>
          <w:sz w:val="21"/>
          <w:szCs w:val="21"/>
          <w:u w:val="single" w:color="auto"/>
          <w:color w:val="auto"/>
        </w:rPr>
        <w:t>Section 1.4</w:t>
      </w:r>
      <w:r>
        <w:rPr>
          <w:rFonts w:ascii="Arial" w:cs="Arial" w:eastAsia="Arial" w:hAnsi="Arial"/>
          <w:sz w:val="21"/>
          <w:szCs w:val="21"/>
          <w:color w:val="auto"/>
        </w:rPr>
        <w:t>, Purchaser and the Sellers’ Representative, as applicable, shall share with the other Party all written presentations and information provided by Purchaser or the Sellers’ Representative, as the case may be, to the Accounting Referee.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1.5 </w:t>
      </w:r>
      <w:r>
        <w:rPr>
          <w:rFonts w:ascii="Arial" w:cs="Arial" w:eastAsia="Arial" w:hAnsi="Arial"/>
          <w:sz w:val="21"/>
          <w:szCs w:val="21"/>
          <w:u w:val="single" w:color="auto"/>
          <w:color w:val="000000"/>
        </w:rPr>
        <w:t>Withholding</w:t>
      </w:r>
      <w:r>
        <w:rPr>
          <w:rFonts w:ascii="Arial" w:cs="Arial" w:eastAsia="Arial" w:hAnsi="Arial"/>
          <w:sz w:val="21"/>
          <w:szCs w:val="21"/>
          <w:color w:val="000000"/>
        </w:rPr>
        <w:t>. Notwithstanding anything to the contrary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I</w:t>
      </w:r>
      <w:r>
        <w:rPr>
          <w:rFonts w:ascii="Arial" w:cs="Arial" w:eastAsia="Arial" w:hAnsi="Arial"/>
          <w:sz w:val="21"/>
          <w:szCs w:val="21"/>
          <w:color w:val="000000"/>
        </w:rPr>
        <w:t>, to the extent required by the</w:t>
      </w:r>
      <w:r>
        <w:rPr>
          <w:rFonts w:ascii="Arial" w:cs="Arial" w:eastAsia="Arial" w:hAnsi="Arial"/>
          <w:sz w:val="21"/>
          <w:szCs w:val="21"/>
          <w:color w:val="010000"/>
        </w:rPr>
        <w:t xml:space="preserve"> </w:t>
      </w:r>
      <w:r>
        <w:rPr>
          <w:rFonts w:ascii="Arial" w:cs="Arial" w:eastAsia="Arial" w:hAnsi="Arial"/>
          <w:sz w:val="21"/>
          <w:szCs w:val="21"/>
          <w:color w:val="000000"/>
        </w:rPr>
        <w:t xml:space="preserve">Code or applicable Law, Purchaser and the Company (and any other Person that has any withholding obligation with respect to any payment made pursuant to this Agreement) shall be permitted to deduct and withhold any required amounts from any payment required to be made under this Agreement;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other than with respect to compensatory withholding, any Person that intends to deduct and withhold any amounts shall, at least three (3) days prior to withholding, use commercially reasonable efforts to notify the Sellers’ Representative of its intention to deduct and withhold such amounts and the reason therefor, and such Person shall cooperate with any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9"/>
          <w:szCs w:val="19"/>
          <w:color w:val="auto"/>
        </w:rPr>
        <w:t xml:space="preserve">request from the Sellers’ Representative to obtain a reduction of or relief from such deduction or withholding;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feasible and permitted by applicable Law, any compensatory withholding with respect to Stock Consideration payable to a Seller under this Agreement shall not reduce the number of Purchaser Shares received by such Seller, but rather such withholding shall be satisfied by, and shall reduce, any cash consideration payable to such Seller concurrently with the payment of Stock Consideration that is subject to compensatory withholding;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compensatory withholding with respect to the settlement of any restricted stock units shall not reduce the number of Shares to be settled thereby, but rather such withholding shall be satisfied by, and shall reduce, any cash consideration payable to the holder thereof in respect of such settled Shares upon the Closing under this Agreement. Any amounts so deducted or withheld shall be treated as if paid to the applicable Person in respect of which such withholding was made.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Closing</w:t>
      </w:r>
      <w:r>
        <w:rPr>
          <w:rFonts w:ascii="Arial" w:cs="Arial" w:eastAsia="Arial" w:hAnsi="Arial"/>
          <w:sz w:val="22"/>
          <w:szCs w:val="22"/>
          <w:color w:val="000000"/>
        </w:rPr>
        <w:t>. The closing of the Transaction (the “</w:t>
      </w:r>
      <w:r>
        <w:rPr>
          <w:rFonts w:ascii="Arial" w:cs="Arial" w:eastAsia="Arial" w:hAnsi="Arial"/>
          <w:sz w:val="22"/>
          <w:szCs w:val="22"/>
          <w:u w:val="single" w:color="auto"/>
          <w:color w:val="000000"/>
        </w:rPr>
        <w:t>Closing</w:t>
      </w:r>
      <w:r>
        <w:rPr>
          <w:rFonts w:ascii="Arial" w:cs="Arial" w:eastAsia="Arial" w:hAnsi="Arial"/>
          <w:sz w:val="22"/>
          <w:szCs w:val="22"/>
          <w:color w:val="000000"/>
        </w:rPr>
        <w:t>”) shall take place remotely by the exchange</w:t>
      </w:r>
      <w:r>
        <w:rPr>
          <w:rFonts w:ascii="Arial" w:cs="Arial" w:eastAsia="Arial" w:hAnsi="Arial"/>
          <w:sz w:val="22"/>
          <w:szCs w:val="22"/>
          <w:color w:val="010000"/>
        </w:rPr>
        <w:t xml:space="preserve"> </w:t>
      </w:r>
      <w:r>
        <w:rPr>
          <w:rFonts w:ascii="Arial" w:cs="Arial" w:eastAsia="Arial" w:hAnsi="Arial"/>
          <w:sz w:val="22"/>
          <w:szCs w:val="22"/>
          <w:color w:val="000000"/>
        </w:rPr>
        <w:t>of documents and signatures via Electronic Delivery in lieu of an in-person Closing on the second (2</w:t>
      </w:r>
      <w:r>
        <w:rPr>
          <w:rFonts w:ascii="Arial" w:cs="Arial" w:eastAsia="Arial" w:hAnsi="Arial"/>
          <w:sz w:val="16"/>
          <w:szCs w:val="16"/>
          <w:color w:val="000000"/>
        </w:rPr>
        <w:t>nd</w:t>
      </w:r>
      <w:r>
        <w:rPr>
          <w:rFonts w:ascii="Arial" w:cs="Arial" w:eastAsia="Arial" w:hAnsi="Arial"/>
          <w:sz w:val="22"/>
          <w:szCs w:val="22"/>
          <w:color w:val="000000"/>
        </w:rPr>
        <w:t xml:space="preserve">) Business Day immediately following the first day on which all of the conditions contained in </w:t>
      </w:r>
      <w:r>
        <w:rPr>
          <w:rFonts w:ascii="Arial" w:cs="Arial" w:eastAsia="Arial" w:hAnsi="Arial"/>
          <w:sz w:val="22"/>
          <w:szCs w:val="22"/>
          <w:u w:val="single" w:color="auto"/>
          <w:color w:val="000000"/>
        </w:rPr>
        <w:t>Article VIII</w:t>
      </w:r>
      <w:r>
        <w:rPr>
          <w:rFonts w:ascii="Arial" w:cs="Arial" w:eastAsia="Arial" w:hAnsi="Arial"/>
          <w:sz w:val="22"/>
          <w:szCs w:val="22"/>
          <w:color w:val="000000"/>
        </w:rPr>
        <w:t xml:space="preserve"> (except for those conditions which by their nature are to be satisfied at Closing, but subject to the satisfaction or waiver of such conditions) are satisfied or waived in accordance with this Agreement, or on such other date, place and time as the Sellers’ Representative and Purchaser may agree in writing. The date on which the Closing occurs is referred to herein as the “</w:t>
      </w:r>
      <w:r>
        <w:rPr>
          <w:rFonts w:ascii="Arial" w:cs="Arial" w:eastAsia="Arial" w:hAnsi="Arial"/>
          <w:sz w:val="22"/>
          <w:szCs w:val="22"/>
          <w:u w:val="single" w:color="auto"/>
          <w:color w:val="000000"/>
        </w:rPr>
        <w:t>Closing Date</w:t>
      </w:r>
      <w:r>
        <w:rPr>
          <w:rFonts w:ascii="Arial" w:cs="Arial" w:eastAsia="Arial" w:hAnsi="Arial"/>
          <w:sz w:val="22"/>
          <w:szCs w:val="22"/>
          <w:color w:val="000000"/>
        </w:rPr>
        <w: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u w:val="single" w:color="auto"/>
          <w:color w:val="000000"/>
        </w:rPr>
        <w:t>Deliveries by Sellers at Closing</w:t>
      </w:r>
      <w:r>
        <w:rPr>
          <w:rFonts w:ascii="Arial" w:cs="Arial" w:eastAsia="Arial" w:hAnsi="Arial"/>
          <w:sz w:val="22"/>
          <w:szCs w:val="22"/>
          <w:color w:val="000000"/>
        </w:rPr>
        <w:t>. At the Closing, Sellers’ Representative (on behalf of Sellers) shall</w:t>
      </w:r>
      <w:r>
        <w:rPr>
          <w:rFonts w:ascii="Arial" w:cs="Arial" w:eastAsia="Arial" w:hAnsi="Arial"/>
          <w:sz w:val="22"/>
          <w:szCs w:val="22"/>
          <w:color w:val="010000"/>
        </w:rPr>
        <w:t xml:space="preserve"> </w:t>
      </w:r>
      <w:r>
        <w:rPr>
          <w:rFonts w:ascii="Arial" w:cs="Arial" w:eastAsia="Arial" w:hAnsi="Arial"/>
          <w:sz w:val="22"/>
          <w:szCs w:val="22"/>
          <w:color w:val="000000"/>
        </w:rPr>
        <w:t>deliver, or cause to be delivered, to Purchase</w:t>
      </w:r>
      <w:r>
        <w:rPr>
          <w:rFonts w:ascii="Arial" w:cs="Arial" w:eastAsia="Arial" w:hAnsi="Arial"/>
          <w:sz w:val="22"/>
          <w:szCs w:val="22"/>
          <w:color w:val="0C0C0C"/>
        </w:rPr>
        <w:t>r the following:</w:t>
      </w:r>
    </w:p>
    <w:p>
      <w:pPr>
        <w:spacing w:after="0" w:line="175" w:lineRule="exact"/>
        <w:rPr>
          <w:sz w:val="20"/>
          <w:szCs w:val="20"/>
          <w:color w:val="auto"/>
        </w:rPr>
      </w:pPr>
    </w:p>
    <w:p>
      <w:pPr>
        <w:ind w:left="1920" w:hanging="616"/>
        <w:spacing w:after="0"/>
        <w:tabs>
          <w:tab w:leader="none" w:pos="19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certificates required by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8.2(d)</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1304"/>
        <w:spacing w:after="0" w:line="234" w:lineRule="auto"/>
        <w:tabs>
          <w:tab w:leader="none" w:pos="2223"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certificate, dated as of the Closing Date and duly executed by the Secretary of the Company, on behalf of the Company, certifying that attached thereto are (i) certified copies of the Company’s organizational documents, (ii) true, correct, and complete copies of the resolutions of the Company’s board of directors, authorizing the execution, delivery, and performance of this Agreement, the Transaction Agreements, and the Transaction, which resolutions have not been modified, rescinded, or revoked, and (iii) a certificate of status of the Company from the California Secretary of State, dated within three (3) Business Days prior to the Closing Date;</w:t>
      </w:r>
    </w:p>
    <w:p>
      <w:pPr>
        <w:spacing w:after="0" w:line="190" w:lineRule="exact"/>
        <w:rPr>
          <w:rFonts w:ascii="Arial" w:cs="Arial" w:eastAsia="Arial" w:hAnsi="Arial"/>
          <w:sz w:val="22"/>
          <w:szCs w:val="22"/>
          <w:color w:val="auto"/>
        </w:rPr>
      </w:pPr>
    </w:p>
    <w:p>
      <w:pPr>
        <w:ind w:firstLine="1304"/>
        <w:spacing w:after="0" w:line="250" w:lineRule="auto"/>
        <w:tabs>
          <w:tab w:leader="none" w:pos="199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stock certificates representing all of the Shares, duly endorsed in blank or accompanied by a stock transfer power;</w:t>
      </w:r>
    </w:p>
    <w:p>
      <w:pPr>
        <w:spacing w:after="0" w:line="174" w:lineRule="exact"/>
        <w:rPr>
          <w:rFonts w:ascii="Arial" w:cs="Arial" w:eastAsia="Arial" w:hAnsi="Arial"/>
          <w:sz w:val="22"/>
          <w:szCs w:val="22"/>
          <w:color w:val="auto"/>
        </w:rPr>
      </w:pPr>
    </w:p>
    <w:p>
      <w:pPr>
        <w:ind w:left="1980" w:hanging="676"/>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Pay-Off Letters;</w:t>
      </w:r>
    </w:p>
    <w:p>
      <w:pPr>
        <w:spacing w:after="0" w:line="206" w:lineRule="exact"/>
        <w:rPr>
          <w:rFonts w:ascii="Arial" w:cs="Arial" w:eastAsia="Arial" w:hAnsi="Arial"/>
          <w:sz w:val="22"/>
          <w:szCs w:val="22"/>
          <w:color w:val="auto"/>
        </w:rPr>
      </w:pPr>
    </w:p>
    <w:p>
      <w:pPr>
        <w:ind w:left="2000" w:hanging="696"/>
        <w:spacing w:after="0"/>
        <w:tabs>
          <w:tab w:leader="none" w:pos="20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evidence of the resignation of the directors and officers of the Company, effective as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0" w:name="page61"/>
    <w:bookmarkEnd w:id="60"/>
    <w:p>
      <w:pPr>
        <w:ind w:left="1900" w:hanging="596"/>
        <w:spacing w:after="0"/>
        <w:tabs>
          <w:tab w:leader="none" w:pos="19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Escrow Agreement, duly executed by the Sellers’ Representative and the Escrow Agent;</w:t>
      </w:r>
    </w:p>
    <w:p>
      <w:pPr>
        <w:spacing w:after="0" w:line="240" w:lineRule="exact"/>
        <w:rPr>
          <w:rFonts w:ascii="Arial" w:cs="Arial" w:eastAsia="Arial" w:hAnsi="Arial"/>
          <w:sz w:val="19"/>
          <w:szCs w:val="19"/>
          <w:color w:val="auto"/>
        </w:rPr>
      </w:pPr>
    </w:p>
    <w:p>
      <w:pPr>
        <w:ind w:right="20" w:firstLine="1304"/>
        <w:spacing w:after="0" w:line="250" w:lineRule="auto"/>
        <w:tabs>
          <w:tab w:leader="none" w:pos="2077"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each Shareholder, a properly executed affidavit prepared in accordance with Treasury Regulations section 1.1445-2(b) certifying such Shareholder’s non-foreign status; and</w:t>
      </w:r>
    </w:p>
    <w:p>
      <w:pPr>
        <w:spacing w:after="0" w:line="174" w:lineRule="exact"/>
        <w:rPr>
          <w:rFonts w:ascii="Arial" w:cs="Arial" w:eastAsia="Arial" w:hAnsi="Arial"/>
          <w:sz w:val="22"/>
          <w:szCs w:val="22"/>
          <w:color w:val="auto"/>
        </w:rPr>
      </w:pPr>
    </w:p>
    <w:p>
      <w:pPr>
        <w:jc w:val="both"/>
        <w:ind w:firstLine="1304"/>
        <w:spacing w:after="0"/>
        <w:tabs>
          <w:tab w:leader="none" w:pos="20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pay-off letters, duly executed by the Related Parties under the Related Party transactions set forth on </w:t>
      </w:r>
      <w:r>
        <w:rPr>
          <w:rFonts w:ascii="Arial" w:cs="Arial" w:eastAsia="Arial" w:hAnsi="Arial"/>
          <w:sz w:val="22"/>
          <w:szCs w:val="22"/>
          <w:u w:val="single" w:color="auto"/>
          <w:color w:val="auto"/>
        </w:rPr>
        <w:t>Schedule 2.2(h)</w:t>
      </w:r>
      <w:r>
        <w:rPr>
          <w:rFonts w:ascii="Arial" w:cs="Arial" w:eastAsia="Arial" w:hAnsi="Arial"/>
          <w:sz w:val="22"/>
          <w:szCs w:val="22"/>
          <w:color w:val="auto"/>
        </w:rPr>
        <w:t xml:space="preserve">, substantially in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(each a “</w:t>
      </w:r>
      <w:r>
        <w:rPr>
          <w:rFonts w:ascii="Arial" w:cs="Arial" w:eastAsia="Arial" w:hAnsi="Arial"/>
          <w:sz w:val="22"/>
          <w:szCs w:val="22"/>
          <w:u w:val="single" w:color="auto"/>
          <w:color w:val="auto"/>
        </w:rPr>
        <w:t>Related Party Pay-off</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Deliveries by Purchaser at the Closing</w:t>
      </w:r>
      <w:r>
        <w:rPr>
          <w:rFonts w:ascii="Arial" w:cs="Arial" w:eastAsia="Arial" w:hAnsi="Arial"/>
          <w:sz w:val="22"/>
          <w:szCs w:val="22"/>
          <w:color w:val="000000"/>
        </w:rPr>
        <w:t>. At Closing, Purchaser shall deliver, or cause to be</w:t>
      </w:r>
      <w:r>
        <w:rPr>
          <w:rFonts w:ascii="Arial" w:cs="Arial" w:eastAsia="Arial" w:hAnsi="Arial"/>
          <w:sz w:val="22"/>
          <w:szCs w:val="22"/>
          <w:color w:val="010000"/>
        </w:rPr>
        <w:t xml:space="preserve"> </w:t>
      </w:r>
      <w:r>
        <w:rPr>
          <w:rFonts w:ascii="Arial" w:cs="Arial" w:eastAsia="Arial" w:hAnsi="Arial"/>
          <w:sz w:val="22"/>
          <w:szCs w:val="22"/>
          <w:color w:val="000000"/>
        </w:rPr>
        <w:t xml:space="preserve">delivered, to Sellers or the Sellers’ Representative, as applicable, and the other payees referenced in </w:t>
      </w:r>
      <w:r>
        <w:rPr>
          <w:rFonts w:ascii="Arial" w:cs="Arial" w:eastAsia="Arial" w:hAnsi="Arial"/>
          <w:sz w:val="22"/>
          <w:szCs w:val="22"/>
          <w:u w:val="single" w:color="auto"/>
          <w:color w:val="000000"/>
        </w:rPr>
        <w:t>Section 1.3</w:t>
      </w:r>
      <w:r>
        <w:rPr>
          <w:rFonts w:ascii="Arial" w:cs="Arial" w:eastAsia="Arial" w:hAnsi="Arial"/>
          <w:sz w:val="22"/>
          <w:szCs w:val="22"/>
          <w:color w:val="000000"/>
        </w:rPr>
        <w:t>, as applicable, the following:</w:t>
      </w:r>
    </w:p>
    <w:p>
      <w:pPr>
        <w:spacing w:after="0" w:line="186" w:lineRule="exact"/>
        <w:rPr>
          <w:sz w:val="20"/>
          <w:szCs w:val="20"/>
          <w:color w:val="auto"/>
        </w:rPr>
      </w:pPr>
    </w:p>
    <w:p>
      <w:pPr>
        <w:ind w:left="340" w:right="20" w:firstLine="1288"/>
        <w:spacing w:after="0" w:line="274" w:lineRule="auto"/>
        <w:tabs>
          <w:tab w:leader="none" w:pos="2321" w:val="left"/>
        </w:tabs>
        <w:numPr>
          <w:ilvl w:val="0"/>
          <w:numId w:val="29"/>
        </w:numPr>
        <w:rPr>
          <w:rFonts w:ascii="Arial" w:cs="Arial" w:eastAsia="Arial" w:hAnsi="Arial"/>
          <w:sz w:val="21"/>
          <w:szCs w:val="21"/>
          <w:color w:val="010000"/>
        </w:rPr>
      </w:pPr>
      <w:r>
        <w:rPr>
          <w:rFonts w:ascii="Arial" w:cs="Arial" w:eastAsia="Arial" w:hAnsi="Arial"/>
          <w:sz w:val="21"/>
          <w:szCs w:val="21"/>
          <w:color w:val="auto"/>
        </w:rPr>
        <w:t xml:space="preserve">to each of Sellers and the other payees referenced in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the applicable Closing Payment, as set forth in the Pre-Closing Statement delivered pursuant to </w:t>
      </w:r>
      <w:r>
        <w:rPr>
          <w:rFonts w:ascii="Arial" w:cs="Arial" w:eastAsia="Arial" w:hAnsi="Arial"/>
          <w:sz w:val="21"/>
          <w:szCs w:val="21"/>
          <w:u w:val="single" w:color="auto"/>
          <w:color w:val="auto"/>
        </w:rPr>
        <w:t>Section 1.4(a)</w:t>
      </w:r>
      <w:r>
        <w:rPr>
          <w:rFonts w:ascii="Arial" w:cs="Arial" w:eastAsia="Arial" w:hAnsi="Arial"/>
          <w:sz w:val="21"/>
          <w:szCs w:val="21"/>
          <w:color w:val="auto"/>
        </w:rPr>
        <w:t>;</w:t>
      </w:r>
    </w:p>
    <w:p>
      <w:pPr>
        <w:spacing w:after="0" w:line="150" w:lineRule="exact"/>
        <w:rPr>
          <w:rFonts w:ascii="Arial" w:cs="Arial" w:eastAsia="Arial" w:hAnsi="Arial"/>
          <w:sz w:val="21"/>
          <w:szCs w:val="21"/>
          <w:color w:val="010000"/>
        </w:rPr>
      </w:pPr>
    </w:p>
    <w:p>
      <w:pPr>
        <w:ind w:left="2320" w:hanging="692"/>
        <w:spacing w:after="0"/>
        <w:tabs>
          <w:tab w:leader="none" w:pos="2320" w:val="left"/>
        </w:tabs>
        <w:numPr>
          <w:ilvl w:val="0"/>
          <w:numId w:val="29"/>
        </w:numPr>
        <w:rPr>
          <w:rFonts w:ascii="Arial" w:cs="Arial" w:eastAsia="Arial" w:hAnsi="Arial"/>
          <w:sz w:val="19"/>
          <w:szCs w:val="19"/>
          <w:color w:val="010000"/>
        </w:rPr>
      </w:pPr>
      <w:r>
        <w:rPr>
          <w:rFonts w:ascii="Arial" w:cs="Arial" w:eastAsia="Arial" w:hAnsi="Arial"/>
          <w:sz w:val="19"/>
          <w:szCs w:val="19"/>
          <w:color w:val="auto"/>
        </w:rPr>
        <w:t>to Sellers’ Representative, the Escrow Agreement, duly executed by Purchaser; and</w:t>
      </w:r>
    </w:p>
    <w:p>
      <w:pPr>
        <w:spacing w:after="0" w:line="240" w:lineRule="exact"/>
        <w:rPr>
          <w:rFonts w:ascii="Arial" w:cs="Arial" w:eastAsia="Arial" w:hAnsi="Arial"/>
          <w:sz w:val="19"/>
          <w:szCs w:val="19"/>
          <w:color w:val="010000"/>
        </w:rPr>
      </w:pPr>
    </w:p>
    <w:p>
      <w:pPr>
        <w:ind w:left="2300" w:hanging="672"/>
        <w:spacing w:after="0"/>
        <w:tabs>
          <w:tab w:leader="none" w:pos="2300" w:val="left"/>
        </w:tabs>
        <w:numPr>
          <w:ilvl w:val="0"/>
          <w:numId w:val="29"/>
        </w:numPr>
        <w:rPr>
          <w:rFonts w:ascii="Arial" w:cs="Arial" w:eastAsia="Arial" w:hAnsi="Arial"/>
          <w:sz w:val="19"/>
          <w:szCs w:val="19"/>
          <w:color w:val="010000"/>
        </w:rPr>
      </w:pPr>
      <w:r>
        <w:rPr>
          <w:rFonts w:ascii="Arial" w:cs="Arial" w:eastAsia="Arial" w:hAnsi="Arial"/>
          <w:sz w:val="19"/>
          <w:szCs w:val="19"/>
          <w:color w:val="auto"/>
        </w:rPr>
        <w:t xml:space="preserve">to Sellers’ Representative, the certificates required by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8.3(b)</w:t>
      </w:r>
      <w:r>
        <w:rPr>
          <w:rFonts w:ascii="Arial" w:cs="Arial" w:eastAsia="Arial" w:hAnsi="Arial"/>
          <w:sz w:val="19"/>
          <w:szCs w:val="19"/>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WITH RESPECT TO THE COMPANY</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Except as set forth on the disclosure schedule delivered by the Company to Purchaser on the date hereof concurrently with entry into this Agreement (the “</w:t>
      </w:r>
      <w:r>
        <w:rPr>
          <w:rFonts w:ascii="Arial" w:cs="Arial" w:eastAsia="Arial" w:hAnsi="Arial"/>
          <w:sz w:val="21"/>
          <w:szCs w:val="21"/>
          <w:u w:val="single" w:color="auto"/>
          <w:color w:val="auto"/>
        </w:rPr>
        <w:t>Company Disclosure Schedule</w:t>
      </w:r>
      <w:r>
        <w:rPr>
          <w:rFonts w:ascii="Arial" w:cs="Arial" w:eastAsia="Arial" w:hAnsi="Arial"/>
          <w:sz w:val="21"/>
          <w:szCs w:val="21"/>
          <w:color w:val="auto"/>
        </w:rPr>
        <w:t xml:space="preserve">”) and attached to this Agreement as </w:t>
      </w:r>
      <w:r>
        <w:rPr>
          <w:rFonts w:ascii="Arial" w:cs="Arial" w:eastAsia="Arial" w:hAnsi="Arial"/>
          <w:sz w:val="21"/>
          <w:szCs w:val="21"/>
          <w:u w:val="single" w:color="auto"/>
          <w:color w:val="auto"/>
        </w:rPr>
        <w:t>Schedule A</w:t>
      </w:r>
      <w:r>
        <w:rPr>
          <w:rFonts w:ascii="Arial" w:cs="Arial" w:eastAsia="Arial" w:hAnsi="Arial"/>
          <w:sz w:val="21"/>
          <w:szCs w:val="21"/>
          <w:color w:val="auto"/>
        </w:rPr>
        <w:t>, the Company hereby represents and warrants to Purchaser as follows:</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Organization</w:t>
      </w:r>
      <w:r>
        <w:rPr>
          <w:rFonts w:ascii="Arial" w:cs="Arial" w:eastAsia="Arial" w:hAnsi="Arial"/>
          <w:sz w:val="21"/>
          <w:szCs w:val="21"/>
          <w:color w:val="000000"/>
        </w:rPr>
        <w:t>. The Company is a corporation duly organized, validly existing and in good standing</w:t>
      </w:r>
      <w:r>
        <w:rPr>
          <w:rFonts w:ascii="Arial" w:cs="Arial" w:eastAsia="Arial" w:hAnsi="Arial"/>
          <w:sz w:val="21"/>
          <w:szCs w:val="21"/>
          <w:color w:val="010000"/>
        </w:rPr>
        <w:t xml:space="preserve"> </w:t>
      </w:r>
      <w:r>
        <w:rPr>
          <w:rFonts w:ascii="Arial" w:cs="Arial" w:eastAsia="Arial" w:hAnsi="Arial"/>
          <w:sz w:val="21"/>
          <w:szCs w:val="21"/>
          <w:color w:val="000000"/>
        </w:rPr>
        <w:t>under the laws of the State of California. The Company has the corporate power and authority to own or lease all of its properties and assets and to carry on the Business as it is now being conducted, in all material respects. The Company is duly licensed or qualified to do business in each jurisdiction in which the nature of the Business or the character or location of any properties or assets owned or leased by it makes such licensing or qualification necessary, except for those jurisdictions where the failure to be so qualified would not have, individually or in the aggregate, a Company Material Adverse Effect.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u w:val="single" w:color="auto"/>
          <w:color w:val="auto"/>
        </w:rPr>
        <w:t>Authority; Conflicts; Consents of Third Parties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tabs>
          <w:tab w:leader="none" w:pos="2429"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Company has the requisite corporate power and authority to execute and deliver this Agreement and each other Transaction Agreement to which it is a party, to perform its obligations hereunder and thereunder and to consummate the Transaction.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9"/>
          <w:szCs w:val="19"/>
          <w:color w:val="auto"/>
        </w:rPr>
        <w:t>execution and delivery of the Transaction Agreements to which the Company is a party and the consummation of the Transaction contemplated thereby have been duly authorized by the requisite action on the part of the Company. Each of the Transaction Agreements to which the Company is a party has been or will be at or prior to the Closing, duly and validly executed and delivered by the Company and (assuming the due authorization, execution and delivery by the other parties thereto) each such Transaction Agreement, when so executed and delivered, will constitute, the legal, valid and binding obligations of the Company enforceable against it in accordance with its terms, subject to applicable Equitable Principles.</w:t>
      </w:r>
    </w:p>
    <w:p>
      <w:pPr>
        <w:spacing w:after="0" w:line="152" w:lineRule="exact"/>
        <w:rPr>
          <w:sz w:val="20"/>
          <w:szCs w:val="20"/>
          <w:color w:val="auto"/>
        </w:rPr>
      </w:pPr>
    </w:p>
    <w:p>
      <w:pPr>
        <w:jc w:val="both"/>
        <w:ind w:firstLine="1288"/>
        <w:spacing w:after="0" w:line="244" w:lineRule="auto"/>
        <w:tabs>
          <w:tab w:leader="none" w:pos="2304" w:val="left"/>
        </w:tabs>
        <w:numPr>
          <w:ilvl w:val="0"/>
          <w:numId w:val="31"/>
        </w:numPr>
        <w:rPr>
          <w:rFonts w:ascii="Arial" w:cs="Arial" w:eastAsia="Arial" w:hAnsi="Arial"/>
          <w:sz w:val="21"/>
          <w:szCs w:val="21"/>
          <w:color w:val="010000"/>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of the Company Disclosure Schedule, and assuming the Governmental Approvals are given, made, or obtained, as the case may be, none of the execution and delivery by the Company of this Agreement or the other Transaction Agreements to which the Company is a party or the consummation of the Transaction by the Company, conflicts with, violates or constitutes a default (with or without notice or lapse of time, or both) under, or permits the acceleration of any obligation under, or gives rise to a right of termination, modification or cancellation under any provision of, (i) the articles of incorporation or bylaws of the Company; (ii) any Material Contract, material Active Government Contract, or material Permit to which the Company is a party or by which any of its properties or assets are bound; or (iii) any Law applicable to the Company, except in the case of clauses (ii) and (iii), where such conflict, violation or default would not be, or reasonably be expected to be, individually or in the aggregate, material to the Company.</w:t>
      </w:r>
    </w:p>
    <w:p>
      <w:pPr>
        <w:spacing w:after="0" w:line="188" w:lineRule="exact"/>
        <w:rPr>
          <w:rFonts w:ascii="Arial" w:cs="Arial" w:eastAsia="Arial" w:hAnsi="Arial"/>
          <w:sz w:val="21"/>
          <w:szCs w:val="21"/>
          <w:color w:val="010000"/>
        </w:rPr>
      </w:pPr>
    </w:p>
    <w:p>
      <w:pPr>
        <w:jc w:val="both"/>
        <w:ind w:firstLine="1288"/>
        <w:spacing w:after="0" w:line="244" w:lineRule="auto"/>
        <w:tabs>
          <w:tab w:leader="none" w:pos="2103" w:val="left"/>
        </w:tabs>
        <w:numPr>
          <w:ilvl w:val="0"/>
          <w:numId w:val="31"/>
        </w:numPr>
        <w:rPr>
          <w:rFonts w:ascii="Arial" w:cs="Arial" w:eastAsia="Arial" w:hAnsi="Arial"/>
          <w:sz w:val="21"/>
          <w:szCs w:val="21"/>
          <w:color w:val="010000"/>
        </w:rPr>
      </w:pPr>
      <w:r>
        <w:rPr>
          <w:rFonts w:ascii="Arial" w:cs="Arial" w:eastAsia="Arial" w:hAnsi="Arial"/>
          <w:sz w:val="21"/>
          <w:szCs w:val="21"/>
          <w:color w:val="auto"/>
        </w:rPr>
        <w:t>Except for any filing or termination of the waiting period or other approval required under the HSR Act and the antitrust Laws of any other applicable jurisdiction (collectively, the “</w:t>
      </w:r>
      <w:r>
        <w:rPr>
          <w:rFonts w:ascii="Arial" w:cs="Arial" w:eastAsia="Arial" w:hAnsi="Arial"/>
          <w:sz w:val="21"/>
          <w:szCs w:val="21"/>
          <w:u w:val="single" w:color="auto"/>
          <w:color w:val="auto"/>
        </w:rPr>
        <w:t>Antitrust</w:t>
      </w:r>
      <w:r>
        <w:rPr>
          <w:rFonts w:ascii="Arial" w:cs="Arial" w:eastAsia="Arial" w:hAnsi="Arial"/>
          <w:sz w:val="21"/>
          <w:szCs w:val="21"/>
          <w:color w:val="auto"/>
        </w:rPr>
        <w:t xml:space="preserve"> </w:t>
      </w:r>
      <w:r>
        <w:rPr>
          <w:rFonts w:ascii="Arial" w:cs="Arial" w:eastAsia="Arial" w:hAnsi="Arial"/>
          <w:sz w:val="21"/>
          <w:szCs w:val="21"/>
          <w:u w:val="single" w:color="auto"/>
          <w:color w:val="auto"/>
        </w:rPr>
        <w:t>Approvals</w:t>
      </w:r>
      <w:r>
        <w:rPr>
          <w:rFonts w:ascii="Arial" w:cs="Arial" w:eastAsia="Arial" w:hAnsi="Arial"/>
          <w:sz w:val="21"/>
          <w:szCs w:val="21"/>
          <w:color w:val="auto"/>
        </w:rPr>
        <w:t xml:space="preserve">”) and as set forth in </w:t>
      </w:r>
      <w:r>
        <w:rPr>
          <w:rFonts w:ascii="Arial" w:cs="Arial" w:eastAsia="Arial" w:hAnsi="Arial"/>
          <w:sz w:val="21"/>
          <w:szCs w:val="21"/>
          <w:u w:val="single" w:color="auto"/>
          <w:color w:val="auto"/>
        </w:rPr>
        <w:t>Section 3.2(c)</w:t>
      </w:r>
      <w:r>
        <w:rPr>
          <w:rFonts w:ascii="Arial" w:cs="Arial" w:eastAsia="Arial" w:hAnsi="Arial"/>
          <w:sz w:val="21"/>
          <w:szCs w:val="21"/>
          <w:color w:val="auto"/>
        </w:rPr>
        <w:t xml:space="preserve"> of the Company Disclosure Schedule, no consent, waiver, approval, Order, Permit, waiting period expiration or termination, or authorization of, or declaration or filing with, or notification to, any Governmental Authority (the items disclosed on </w:t>
      </w:r>
      <w:r>
        <w:rPr>
          <w:rFonts w:ascii="Arial" w:cs="Arial" w:eastAsia="Arial" w:hAnsi="Arial"/>
          <w:sz w:val="21"/>
          <w:szCs w:val="21"/>
          <w:u w:val="single" w:color="auto"/>
          <w:color w:val="auto"/>
        </w:rPr>
        <w:t>Section 3.2(c)</w:t>
      </w:r>
      <w:r>
        <w:rPr>
          <w:rFonts w:ascii="Arial" w:cs="Arial" w:eastAsia="Arial" w:hAnsi="Arial"/>
          <w:sz w:val="21"/>
          <w:szCs w:val="21"/>
          <w:color w:val="auto"/>
        </w:rPr>
        <w:t xml:space="preserve"> of the Company Disclosure Schedule, together with the Antitrust Approvals, shall be referred to herein as the “</w:t>
      </w:r>
      <w:r>
        <w:rPr>
          <w:rFonts w:ascii="Arial" w:cs="Arial" w:eastAsia="Arial" w:hAnsi="Arial"/>
          <w:sz w:val="21"/>
          <w:szCs w:val="21"/>
          <w:u w:val="single" w:color="auto"/>
          <w:color w:val="auto"/>
        </w:rPr>
        <w:t>Governmental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Approvals</w:t>
      </w:r>
      <w:r>
        <w:rPr>
          <w:rFonts w:ascii="Arial" w:cs="Arial" w:eastAsia="Arial" w:hAnsi="Arial"/>
          <w:sz w:val="21"/>
          <w:szCs w:val="21"/>
          <w:color w:val="auto"/>
        </w:rPr>
        <w:t>”) is required on the part of the Company in connection with the execution and delivery by the Company of this Agreement or the other Transaction Agreements to which the Company is a party or the consummation of the Transaction by the Company, except for those which the failure to obtain such Governmental Approvals would not be, or reasonably be expected to be, individually or in the aggregate, material to the Company.</w:t>
      </w:r>
    </w:p>
    <w:p>
      <w:pPr>
        <w:spacing w:after="0" w:line="18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19"/>
          <w:szCs w:val="19"/>
          <w:u w:val="single" w:color="auto"/>
          <w:color w:val="auto"/>
        </w:rPr>
        <w:t>Capitalization; No Subsidiaries</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75" w:lineRule="auto"/>
        <w:tabs>
          <w:tab w:leader="none" w:pos="2157"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The authorized capital stock of the Company consists of one hundred ten thousand (110,000) shares of common stock, without par value. The issued and outstanding Equity Interests of the Company are as set forth in the Capitalization Schedule (as defined below), all of which are owned by Sellers free and clear of Liens, other than transfer restrictions under applicable securities Laws. The Company does not hold any shares as treasury stock. All of the issued and outstanding Shares have been duly authorized and validly issued and are fully paid, non-assessable, and not issued in violation of (or subject to) any preemptive rights, call rights or rights of first refusal, purchase options, or similar rights. As of the Closing, Purchaser shall own all of the issued and outstanding capital stock of the Company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62" w:name="page63"/>
    <w:bookmarkEnd w:id="62"/>
    <w:p>
      <w:pPr>
        <w:ind w:left="340"/>
        <w:spacing w:after="0" w:line="250" w:lineRule="auto"/>
        <w:rPr>
          <w:sz w:val="20"/>
          <w:szCs w:val="20"/>
          <w:color w:val="auto"/>
        </w:rPr>
      </w:pPr>
      <w:r>
        <w:rPr>
          <w:rFonts w:ascii="Arial" w:cs="Arial" w:eastAsia="Arial" w:hAnsi="Arial"/>
          <w:sz w:val="22"/>
          <w:szCs w:val="22"/>
          <w:color w:val="auto"/>
        </w:rPr>
        <w:t>other Person shall have any right with respect thereto. There are no declared or accrued but unpaid dividends or distributions to any Seller or former equityholder of the Company.</w:t>
      </w:r>
    </w:p>
    <w:p>
      <w:pPr>
        <w:spacing w:after="0" w:line="175" w:lineRule="exact"/>
        <w:rPr>
          <w:sz w:val="20"/>
          <w:szCs w:val="20"/>
          <w:color w:val="auto"/>
        </w:rPr>
      </w:pPr>
    </w:p>
    <w:p>
      <w:pPr>
        <w:jc w:val="both"/>
        <w:ind w:left="340" w:firstLine="1288"/>
        <w:spacing w:after="0" w:line="273" w:lineRule="auto"/>
        <w:tabs>
          <w:tab w:leader="none" w:pos="2482" w:val="left"/>
        </w:tabs>
        <w:numPr>
          <w:ilvl w:val="1"/>
          <w:numId w:val="33"/>
        </w:numPr>
        <w:rPr>
          <w:rFonts w:ascii="Arial" w:cs="Arial" w:eastAsia="Arial" w:hAnsi="Arial"/>
          <w:sz w:val="19"/>
          <w:szCs w:val="19"/>
          <w:color w:val="010000"/>
        </w:rPr>
      </w:pP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of the Company Disclosure Schedule (the “</w:t>
      </w:r>
      <w:r>
        <w:rPr>
          <w:rFonts w:ascii="Arial" w:cs="Arial" w:eastAsia="Arial" w:hAnsi="Arial"/>
          <w:sz w:val="19"/>
          <w:szCs w:val="19"/>
          <w:u w:val="single" w:color="auto"/>
          <w:color w:val="auto"/>
        </w:rPr>
        <w:t>Capitalization Schedule</w:t>
      </w:r>
      <w:r>
        <w:rPr>
          <w:rFonts w:ascii="Arial" w:cs="Arial" w:eastAsia="Arial" w:hAnsi="Arial"/>
          <w:sz w:val="19"/>
          <w:szCs w:val="19"/>
          <w:color w:val="auto"/>
        </w:rPr>
        <w:t>”) sets forth each of the record holders of the Equity Interests of the Company, and the respective number and type of Equity Interests held by each of them. Except as set forth on the Capitalization Schedule, there are no</w:t>
      </w:r>
    </w:p>
    <w:p>
      <w:pPr>
        <w:spacing w:after="0" w:line="1" w:lineRule="exact"/>
        <w:rPr>
          <w:rFonts w:ascii="Arial" w:cs="Arial" w:eastAsia="Arial" w:hAnsi="Arial"/>
          <w:sz w:val="19"/>
          <w:szCs w:val="19"/>
          <w:color w:val="010000"/>
        </w:rPr>
      </w:pPr>
    </w:p>
    <w:p>
      <w:pPr>
        <w:jc w:val="both"/>
        <w:ind w:left="340" w:hanging="8"/>
        <w:spacing w:after="0" w:line="233" w:lineRule="auto"/>
        <w:tabs>
          <w:tab w:leader="none" w:pos="662" w:val="left"/>
        </w:tabs>
        <w:numPr>
          <w:ilvl w:val="0"/>
          <w:numId w:val="34"/>
        </w:numPr>
        <w:rPr>
          <w:rFonts w:ascii="Arial" w:cs="Arial" w:eastAsia="Arial" w:hAnsi="Arial"/>
          <w:sz w:val="22"/>
          <w:szCs w:val="22"/>
          <w:color w:val="auto"/>
        </w:rPr>
      </w:pPr>
      <w:r>
        <w:rPr>
          <w:rFonts w:ascii="Arial" w:cs="Arial" w:eastAsia="Arial" w:hAnsi="Arial"/>
          <w:sz w:val="22"/>
          <w:szCs w:val="22"/>
          <w:color w:val="auto"/>
        </w:rPr>
        <w:t>outstanding subscriptions, options, warrants, rights, calls, commitments, conversion rights, rights of exchange, plans or other agreements of any character providing for the purchase, issuance or sale of any Equity Interests in the Company, (ii) voting trusts, proxies or other agreements or understandings with respect to the voting or transfer of the equity of the Company, or (iii) stock appreciation rights or phantom stock or similar plans or rights.</w:t>
      </w:r>
    </w:p>
    <w:p>
      <w:pPr>
        <w:spacing w:after="0" w:line="185" w:lineRule="exact"/>
        <w:rPr>
          <w:rFonts w:ascii="Arial" w:cs="Arial" w:eastAsia="Arial" w:hAnsi="Arial"/>
          <w:sz w:val="22"/>
          <w:szCs w:val="22"/>
          <w:color w:val="auto"/>
        </w:rPr>
      </w:pPr>
    </w:p>
    <w:p>
      <w:pPr>
        <w:jc w:val="both"/>
        <w:ind w:left="340" w:firstLine="1288"/>
        <w:spacing w:after="0" w:line="238" w:lineRule="auto"/>
        <w:tabs>
          <w:tab w:leader="none" w:pos="2308" w:val="left"/>
        </w:tabs>
        <w:numPr>
          <w:ilvl w:val="1"/>
          <w:numId w:val="34"/>
        </w:numPr>
        <w:rPr>
          <w:rFonts w:ascii="Arial" w:cs="Arial" w:eastAsia="Arial" w:hAnsi="Arial"/>
          <w:sz w:val="22"/>
          <w:szCs w:val="22"/>
          <w:color w:val="010000"/>
        </w:rPr>
      </w:pPr>
      <w:r>
        <w:rPr>
          <w:rFonts w:ascii="Arial" w:cs="Arial" w:eastAsia="Arial" w:hAnsi="Arial"/>
          <w:sz w:val="22"/>
          <w:szCs w:val="22"/>
          <w:color w:val="auto"/>
        </w:rPr>
        <w:t>The Company has no Subsidiaries, and the Company does not own, directly, any Equity Interest in any other Person. The Company is not party to any Contracts to acquire any capital stock or other Equity Interest or make any investment (in the form of a loan, capital contribution, or otherwise) in any Person.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06" w:lineRule="exact"/>
        <w:rPr>
          <w:sz w:val="20"/>
          <w:szCs w:val="20"/>
          <w:color w:val="auto"/>
        </w:rPr>
      </w:pPr>
    </w:p>
    <w:p>
      <w:pPr>
        <w:jc w:val="both"/>
        <w:ind w:left="340" w:right="20" w:firstLine="1288"/>
        <w:spacing w:after="0"/>
        <w:tabs>
          <w:tab w:leader="none" w:pos="2564"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Company has made available to Purchaser the following financial statements (collectively the “</w:t>
      </w:r>
      <w:r>
        <w:rPr>
          <w:rFonts w:ascii="Arial" w:cs="Arial" w:eastAsia="Arial" w:hAnsi="Arial"/>
          <w:sz w:val="22"/>
          <w:szCs w:val="22"/>
          <w:u w:val="single" w:color="auto"/>
          <w:color w:val="auto"/>
        </w:rPr>
        <w:t>Company Financial Statements</w:t>
      </w:r>
      <w:r>
        <w:rPr>
          <w:rFonts w:ascii="Arial" w:cs="Arial" w:eastAsia="Arial" w:hAnsi="Arial"/>
          <w:sz w:val="22"/>
          <w:szCs w:val="22"/>
          <w:color w:val="auto"/>
        </w:rPr>
        <w:t xml:space="preserve">”), each of which is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of the Company Disclosure Schedule:</w:t>
      </w:r>
    </w:p>
    <w:p>
      <w:pPr>
        <w:spacing w:after="0" w:line="186" w:lineRule="exact"/>
        <w:rPr>
          <w:rFonts w:ascii="Arial" w:cs="Arial" w:eastAsia="Arial" w:hAnsi="Arial"/>
          <w:sz w:val="22"/>
          <w:szCs w:val="22"/>
          <w:color w:val="010000"/>
        </w:rPr>
      </w:pPr>
    </w:p>
    <w:p>
      <w:pPr>
        <w:jc w:val="both"/>
        <w:ind w:firstLine="1952"/>
        <w:spacing w:after="0"/>
        <w:tabs>
          <w:tab w:leader="none" w:pos="2755"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audited balance sheets for the Company as of December 31, 2018 and December 31, 2019, and the respective related audited statements of operations, changes in stockholder’s equity, and statements of cash flows for the fiscal years then ended; and</w:t>
      </w:r>
    </w:p>
    <w:p>
      <w:pPr>
        <w:spacing w:after="0" w:line="186" w:lineRule="exact"/>
        <w:rPr>
          <w:rFonts w:ascii="Arial" w:cs="Arial" w:eastAsia="Arial" w:hAnsi="Arial"/>
          <w:sz w:val="22"/>
          <w:szCs w:val="22"/>
          <w:color w:val="010000"/>
        </w:rPr>
      </w:pPr>
    </w:p>
    <w:p>
      <w:pPr>
        <w:ind w:firstLine="1952"/>
        <w:spacing w:after="0" w:line="250" w:lineRule="auto"/>
        <w:tabs>
          <w:tab w:leader="none" w:pos="2734"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an unaudited balance sheet and statement of operations for the Company for the eleven (11)-month period ended November 30, 2020 (the “</w:t>
      </w:r>
      <w:r>
        <w:rPr>
          <w:rFonts w:ascii="Arial" w:cs="Arial" w:eastAsia="Arial" w:hAnsi="Arial"/>
          <w:sz w:val="22"/>
          <w:szCs w:val="22"/>
          <w:u w:val="single" w:color="auto"/>
          <w:color w:val="auto"/>
        </w:rPr>
        <w:t>Unaudited Financial Statements</w:t>
      </w:r>
      <w:r>
        <w:rPr>
          <w:rFonts w:ascii="Arial" w:cs="Arial" w:eastAsia="Arial" w:hAnsi="Arial"/>
          <w:sz w:val="22"/>
          <w:szCs w:val="22"/>
          <w:color w:val="auto"/>
        </w:rPr>
        <w:t>”).</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November 30, 2020 shall be referred to herein as the “</w:t>
      </w:r>
      <w:r>
        <w:rPr>
          <w:rFonts w:ascii="Arial" w:cs="Arial" w:eastAsia="Arial" w:hAnsi="Arial"/>
          <w:sz w:val="22"/>
          <w:szCs w:val="22"/>
          <w:u w:val="single" w:color="auto"/>
          <w:color w:val="auto"/>
        </w:rPr>
        <w:t>Balance Sheet Date</w:t>
      </w:r>
      <w:r>
        <w:rPr>
          <w:rFonts w:ascii="Arial" w:cs="Arial" w:eastAsia="Arial" w:hAnsi="Arial"/>
          <w:sz w:val="22"/>
          <w:szCs w:val="22"/>
          <w:color w:val="auto"/>
        </w:rPr>
        <w:t>” and the balance sheet of the Company as of such date shall be referred to herein as the “</w:t>
      </w:r>
      <w:r>
        <w:rPr>
          <w:rFonts w:ascii="Arial" w:cs="Arial" w:eastAsia="Arial" w:hAnsi="Arial"/>
          <w:sz w:val="22"/>
          <w:szCs w:val="22"/>
          <w:u w:val="single" w:color="auto"/>
          <w:color w:val="auto"/>
        </w:rPr>
        <w:t>Balance Sheet</w:t>
      </w:r>
      <w:r>
        <w:rPr>
          <w:rFonts w:ascii="Arial" w:cs="Arial" w:eastAsia="Arial" w:hAnsi="Arial"/>
          <w:sz w:val="22"/>
          <w:szCs w:val="22"/>
          <w:color w:val="auto"/>
        </w:rPr>
        <w:t>”.</w:t>
      </w:r>
    </w:p>
    <w:p>
      <w:pPr>
        <w:spacing w:after="0" w:line="175" w:lineRule="exact"/>
        <w:rPr>
          <w:sz w:val="20"/>
          <w:szCs w:val="20"/>
          <w:color w:val="auto"/>
        </w:rPr>
      </w:pPr>
    </w:p>
    <w:p>
      <w:pPr>
        <w:jc w:val="both"/>
        <w:ind w:left="340" w:firstLine="1288"/>
        <w:spacing w:after="0" w:line="235" w:lineRule="auto"/>
        <w:tabs>
          <w:tab w:leader="none" w:pos="2360" w:val="left"/>
        </w:tabs>
        <w:numPr>
          <w:ilvl w:val="0"/>
          <w:numId w:val="36"/>
        </w:numPr>
        <w:rPr>
          <w:rFonts w:ascii="Arial" w:cs="Arial" w:eastAsia="Arial" w:hAnsi="Arial"/>
          <w:sz w:val="22"/>
          <w:szCs w:val="22"/>
          <w:color w:val="010000"/>
        </w:rPr>
      </w:pPr>
      <w:r>
        <w:rPr>
          <w:rFonts w:ascii="Arial" w:cs="Arial" w:eastAsia="Arial" w:hAnsi="Arial"/>
          <w:sz w:val="22"/>
          <w:szCs w:val="22"/>
          <w:color w:val="auto"/>
        </w:rPr>
        <w:t xml:space="preserve">The Company Financial Statements (i) have been prepared from the books and records of the Company, (ii) present fairly, in all material respects, the financial results of operations of the Company as of the dates and for the periods indicated therein, and (iii) have been prepared in accordance with GAAP, as consistently applied by the Company throughout such periods;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Unaudited Financial Statements are subject to normal year-end adjustments (none of which is material) and do not contain any footnotes.</w:t>
      </w:r>
    </w:p>
    <w:p>
      <w:pPr>
        <w:spacing w:after="0" w:line="187" w:lineRule="exact"/>
        <w:rPr>
          <w:rFonts w:ascii="Arial" w:cs="Arial" w:eastAsia="Arial" w:hAnsi="Arial"/>
          <w:sz w:val="22"/>
          <w:szCs w:val="22"/>
          <w:color w:val="010000"/>
        </w:rPr>
      </w:pPr>
    </w:p>
    <w:p>
      <w:pPr>
        <w:jc w:val="both"/>
        <w:ind w:left="340" w:firstLine="1288"/>
        <w:spacing w:after="0" w:line="235" w:lineRule="auto"/>
        <w:tabs>
          <w:tab w:leader="none" w:pos="2389" w:val="left"/>
        </w:tabs>
        <w:numPr>
          <w:ilvl w:val="0"/>
          <w:numId w:val="36"/>
        </w:numPr>
        <w:rPr>
          <w:rFonts w:ascii="Arial" w:cs="Arial" w:eastAsia="Arial" w:hAnsi="Arial"/>
          <w:sz w:val="22"/>
          <w:szCs w:val="22"/>
          <w:color w:val="010000"/>
        </w:rPr>
      </w:pPr>
      <w:r>
        <w:rPr>
          <w:rFonts w:ascii="Arial" w:cs="Arial" w:eastAsia="Arial" w:hAnsi="Arial"/>
          <w:sz w:val="22"/>
          <w:szCs w:val="22"/>
          <w:color w:val="auto"/>
        </w:rPr>
        <w:t xml:space="preserve">The Company has established and adhered to a system of internal accounting controls that are designed to provide reasonable assurance in all material respects regarding the reliability of financial reporting. Except as set forth in </w:t>
      </w:r>
      <w:r>
        <w:rPr>
          <w:rFonts w:ascii="Arial" w:cs="Arial" w:eastAsia="Arial" w:hAnsi="Arial"/>
          <w:sz w:val="22"/>
          <w:szCs w:val="22"/>
          <w:u w:val="single" w:color="auto"/>
          <w:color w:val="auto"/>
        </w:rPr>
        <w:t>Section 3.4(c)</w:t>
      </w:r>
      <w:r>
        <w:rPr>
          <w:rFonts w:ascii="Arial" w:cs="Arial" w:eastAsia="Arial" w:hAnsi="Arial"/>
          <w:sz w:val="22"/>
          <w:szCs w:val="22"/>
          <w:color w:val="auto"/>
        </w:rPr>
        <w:t xml:space="preserve"> of the Company Disclosure Schedule, in the past six (6) years, there has not been (i) any significant deficiency or weakness in any system of internal accounting controls used by the Company, (ii) any fraud or other wrongdoing that involves any of the management or other employees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63" w:name="page64"/>
    <w:bookmarkEnd w:id="63"/>
    <w:p>
      <w:pPr>
        <w:ind w:left="340"/>
        <w:spacing w:after="0" w:line="328" w:lineRule="auto"/>
        <w:rPr>
          <w:sz w:val="20"/>
          <w:szCs w:val="20"/>
          <w:color w:val="auto"/>
        </w:rPr>
      </w:pPr>
      <w:r>
        <w:rPr>
          <w:rFonts w:ascii="Arial" w:cs="Arial" w:eastAsia="Arial" w:hAnsi="Arial"/>
          <w:sz w:val="19"/>
          <w:szCs w:val="19"/>
          <w:color w:val="auto"/>
        </w:rPr>
        <w:t>the Company who have a role in the preparation of financial statements or the internal accounting controls used by the Company, or (iii) any material written claim or allegation regarding any of the foregoing.</w:t>
      </w:r>
    </w:p>
    <w:p>
      <w:pPr>
        <w:spacing w:after="0" w:line="105" w:lineRule="exact"/>
        <w:rPr>
          <w:sz w:val="20"/>
          <w:szCs w:val="20"/>
          <w:color w:val="auto"/>
        </w:rPr>
      </w:pPr>
    </w:p>
    <w:p>
      <w:pPr>
        <w:jc w:val="both"/>
        <w:ind w:left="340" w:right="20" w:firstLine="1288"/>
        <w:spacing w:after="0" w:line="276" w:lineRule="auto"/>
        <w:tabs>
          <w:tab w:leader="none" w:pos="2603" w:val="left"/>
        </w:tabs>
        <w:numPr>
          <w:ilvl w:val="1"/>
          <w:numId w:val="37"/>
        </w:numPr>
        <w:rPr>
          <w:rFonts w:ascii="Arial" w:cs="Arial" w:eastAsia="Arial" w:hAnsi="Arial"/>
          <w:sz w:val="19"/>
          <w:szCs w:val="19"/>
          <w:color w:val="010000"/>
        </w:rPr>
      </w:pPr>
      <w:r>
        <w:rPr>
          <w:rFonts w:ascii="Arial" w:cs="Arial" w:eastAsia="Arial" w:hAnsi="Arial"/>
          <w:sz w:val="19"/>
          <w:szCs w:val="19"/>
          <w:u w:val="single" w:color="auto"/>
          <w:color w:val="auto"/>
        </w:rPr>
        <w:t>Section 3.4(d)</w:t>
      </w:r>
      <w:r>
        <w:rPr>
          <w:rFonts w:ascii="Arial" w:cs="Arial" w:eastAsia="Arial" w:hAnsi="Arial"/>
          <w:sz w:val="19"/>
          <w:szCs w:val="19"/>
          <w:color w:val="auto"/>
        </w:rPr>
        <w:t xml:space="preserve"> of the Company Disclosure Schedule contains a true, correct, and complete list, as of the Balance Sheet Date, of all Indebtedness of the Company, of the types identified in item</w:t>
      </w:r>
    </w:p>
    <w:p>
      <w:pPr>
        <w:spacing w:after="0" w:line="1" w:lineRule="exact"/>
        <w:rPr>
          <w:rFonts w:ascii="Arial" w:cs="Arial" w:eastAsia="Arial" w:hAnsi="Arial"/>
          <w:sz w:val="19"/>
          <w:szCs w:val="19"/>
          <w:color w:val="010000"/>
        </w:rPr>
      </w:pPr>
    </w:p>
    <w:p>
      <w:pPr>
        <w:ind w:left="340" w:hanging="8"/>
        <w:spacing w:after="0" w:line="236" w:lineRule="auto"/>
        <w:tabs>
          <w:tab w:leader="none" w:pos="642"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and item (v) of the definition of Indebtedness, and identifies for each such item of Indebtedness the outstanding principal and accrued but unpaid interest as of such date.</w:t>
      </w:r>
    </w:p>
    <w:p>
      <w:pPr>
        <w:spacing w:after="0" w:line="186" w:lineRule="exact"/>
        <w:rPr>
          <w:rFonts w:ascii="Arial" w:cs="Arial" w:eastAsia="Arial" w:hAnsi="Arial"/>
          <w:sz w:val="22"/>
          <w:szCs w:val="22"/>
          <w:color w:val="auto"/>
        </w:rPr>
      </w:pPr>
    </w:p>
    <w:p>
      <w:pPr>
        <w:jc w:val="both"/>
        <w:ind w:left="340" w:firstLine="1288"/>
        <w:spacing w:after="0" w:line="273" w:lineRule="auto"/>
        <w:tabs>
          <w:tab w:leader="none" w:pos="2551" w:val="left"/>
        </w:tabs>
        <w:numPr>
          <w:ilvl w:val="1"/>
          <w:numId w:val="38"/>
        </w:numPr>
        <w:rPr>
          <w:rFonts w:ascii="Arial" w:cs="Arial" w:eastAsia="Arial" w:hAnsi="Arial"/>
          <w:sz w:val="19"/>
          <w:szCs w:val="19"/>
          <w:color w:val="010000"/>
        </w:rPr>
      </w:pPr>
      <w:r>
        <w:rPr>
          <w:rFonts w:ascii="Arial" w:cs="Arial" w:eastAsia="Arial" w:hAnsi="Arial"/>
          <w:sz w:val="19"/>
          <w:szCs w:val="19"/>
          <w:u w:val="single" w:color="auto"/>
          <w:color w:val="auto"/>
        </w:rPr>
        <w:t>Section 3.4(e)</w:t>
      </w:r>
      <w:r>
        <w:rPr>
          <w:rFonts w:ascii="Arial" w:cs="Arial" w:eastAsia="Arial" w:hAnsi="Arial"/>
          <w:sz w:val="19"/>
          <w:szCs w:val="19"/>
          <w:color w:val="auto"/>
        </w:rPr>
        <w:t xml:space="preserve"> of the Company Disclosure Schedule sets forth a true, correct, and complete list of all Receivables including an aging thereof, as of the Balance Sheet Date, organized on an aggregate basis aged in thirty (30)-day intervals through the oldest Receivable reflected therein. All Receivables set forth on </w:t>
      </w:r>
      <w:r>
        <w:rPr>
          <w:rFonts w:ascii="Arial" w:cs="Arial" w:eastAsia="Arial" w:hAnsi="Arial"/>
          <w:sz w:val="19"/>
          <w:szCs w:val="19"/>
          <w:u w:val="single" w:color="auto"/>
          <w:color w:val="auto"/>
        </w:rPr>
        <w:t>Section 3.4(e)</w:t>
      </w:r>
      <w:r>
        <w:rPr>
          <w:rFonts w:ascii="Arial" w:cs="Arial" w:eastAsia="Arial" w:hAnsi="Arial"/>
          <w:sz w:val="19"/>
          <w:szCs w:val="19"/>
          <w:color w:val="auto"/>
        </w:rPr>
        <w:t xml:space="preserve"> of the Company Disclosure Schedule arose out of performance of services by or sales of the Company in the ordinary course of business and represent valid obligations arising from sales actually made or services actually performed by the Company. There has been no material contest or claim and there is no material right of set-off under any agreement with any obligor of any such Receivables relating to the amount or validity of such Receivables. Notwithstanding anything contained in this </w:t>
      </w:r>
      <w:r>
        <w:rPr>
          <w:rFonts w:ascii="Arial" w:cs="Arial" w:eastAsia="Arial" w:hAnsi="Arial"/>
          <w:sz w:val="19"/>
          <w:szCs w:val="19"/>
          <w:u w:val="single" w:color="auto"/>
          <w:color w:val="auto"/>
        </w:rPr>
        <w:t>Section 3.4(e)</w:t>
      </w:r>
      <w:r>
        <w:rPr>
          <w:rFonts w:ascii="Arial" w:cs="Arial" w:eastAsia="Arial" w:hAnsi="Arial"/>
          <w:sz w:val="19"/>
          <w:szCs w:val="19"/>
          <w:color w:val="auto"/>
        </w:rPr>
        <w:t xml:space="preserve"> to the contrary and for the avoidance of doubt, the failure to collect any Receivable shall not, in and of itself, be a breach of this </w:t>
      </w:r>
      <w:r>
        <w:rPr>
          <w:rFonts w:ascii="Arial" w:cs="Arial" w:eastAsia="Arial" w:hAnsi="Arial"/>
          <w:sz w:val="19"/>
          <w:szCs w:val="19"/>
          <w:u w:val="single" w:color="auto"/>
          <w:color w:val="auto"/>
        </w:rPr>
        <w:t>Section 3.4(e)</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left="340" w:firstLine="1288"/>
        <w:spacing w:after="0" w:line="279" w:lineRule="auto"/>
        <w:tabs>
          <w:tab w:leader="none" w:pos="2284" w:val="left"/>
        </w:tabs>
        <w:numPr>
          <w:ilvl w:val="1"/>
          <w:numId w:val="38"/>
        </w:numPr>
        <w:rPr>
          <w:rFonts w:ascii="Arial" w:cs="Arial" w:eastAsia="Arial" w:hAnsi="Arial"/>
          <w:sz w:val="19"/>
          <w:szCs w:val="19"/>
          <w:color w:val="010000"/>
        </w:rPr>
      </w:pPr>
      <w:r>
        <w:rPr>
          <w:rFonts w:ascii="Arial" w:cs="Arial" w:eastAsia="Arial" w:hAnsi="Arial"/>
          <w:sz w:val="19"/>
          <w:szCs w:val="19"/>
          <w:u w:val="single" w:color="auto"/>
          <w:color w:val="auto"/>
        </w:rPr>
        <w:t>Section 3.4(f)(i)</w:t>
      </w:r>
      <w:r>
        <w:rPr>
          <w:rFonts w:ascii="Arial" w:cs="Arial" w:eastAsia="Arial" w:hAnsi="Arial"/>
          <w:sz w:val="19"/>
          <w:szCs w:val="19"/>
          <w:color w:val="auto"/>
        </w:rPr>
        <w:t xml:space="preserve"> of the Company Disclosure Schedule sets forth, as of the Balance Sheet Date, all of the accounts payable of the Company. All accounts payable of the Company are reflected in the Unaudited Financial Statements or were incurred following the date of the Unaudited Financial Statements in the ordinary course of business. All such accounts payable are the result of bona fide transactions in the ordinary course of business, represent valid obligations of the Company, and, except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3.4(f)(ii)</w:t>
      </w:r>
      <w:r>
        <w:rPr>
          <w:rFonts w:ascii="Arial" w:cs="Arial" w:eastAsia="Arial" w:hAnsi="Arial"/>
          <w:sz w:val="19"/>
          <w:szCs w:val="19"/>
          <w:color w:val="auto"/>
        </w:rPr>
        <w:t xml:space="preserve"> of the Company Disclosure Schedule, have been paid or are not yet due and payable.</w:t>
      </w:r>
    </w:p>
    <w:p>
      <w:pPr>
        <w:spacing w:after="0" w:line="1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010000"/>
        </w:rPr>
        <w:t xml:space="preserve">3.5 </w:t>
      </w:r>
      <w:r>
        <w:rPr>
          <w:rFonts w:ascii="Arial" w:cs="Arial" w:eastAsia="Arial" w:hAnsi="Arial"/>
          <w:sz w:val="21"/>
          <w:szCs w:val="21"/>
          <w:u w:val="single" w:color="auto"/>
          <w:color w:val="000000"/>
        </w:rPr>
        <w:t>Undisclosed Liabilities</w:t>
      </w:r>
      <w:r>
        <w:rPr>
          <w:rFonts w:ascii="Arial" w:cs="Arial" w:eastAsia="Arial" w:hAnsi="Arial"/>
          <w:sz w:val="21"/>
          <w:szCs w:val="21"/>
          <w:color w:val="000000"/>
        </w:rPr>
        <w:t>. Except as set forth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3.5</w:t>
      </w:r>
      <w:r>
        <w:rPr>
          <w:rFonts w:ascii="Arial" w:cs="Arial" w:eastAsia="Arial" w:hAnsi="Arial"/>
          <w:sz w:val="21"/>
          <w:szCs w:val="21"/>
          <w:color w:val="010000"/>
        </w:rPr>
        <w:t xml:space="preserve"> </w:t>
      </w:r>
      <w:r>
        <w:rPr>
          <w:rFonts w:ascii="Arial" w:cs="Arial" w:eastAsia="Arial" w:hAnsi="Arial"/>
          <w:sz w:val="21"/>
          <w:szCs w:val="21"/>
          <w:color w:val="000000"/>
        </w:rPr>
        <w:t>of the Company Disclosure Schedule,</w:t>
      </w:r>
      <w:r>
        <w:rPr>
          <w:rFonts w:ascii="Arial" w:cs="Arial" w:eastAsia="Arial" w:hAnsi="Arial"/>
          <w:sz w:val="21"/>
          <w:szCs w:val="21"/>
          <w:color w:val="010000"/>
        </w:rPr>
        <w:t xml:space="preserve"> </w:t>
      </w:r>
      <w:r>
        <w:rPr>
          <w:rFonts w:ascii="Arial" w:cs="Arial" w:eastAsia="Arial" w:hAnsi="Arial"/>
          <w:sz w:val="21"/>
          <w:szCs w:val="21"/>
          <w:color w:val="000000"/>
        </w:rPr>
        <w:t>the Company has no Liabilities, other than (a) as disclosed in, set forth on, or reflected or reserved against in the Unaudited Financial Statements including any notes thereto, (b) those incurred in the ordinary course of business since the Balance Sheet Date, (c) Unpaid Company Transaction Expenses, (d) any Contingent Consideration, or (e) those that are not material to the Company.</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3.6 </w:t>
      </w:r>
      <w:r>
        <w:rPr>
          <w:rFonts w:ascii="Arial" w:cs="Arial" w:eastAsia="Arial" w:hAnsi="Arial"/>
          <w:sz w:val="21"/>
          <w:szCs w:val="21"/>
          <w:u w:val="single" w:color="auto"/>
          <w:color w:val="000000"/>
        </w:rPr>
        <w:t>Absence of Certain Developments</w:t>
      </w:r>
      <w:r>
        <w:rPr>
          <w:rFonts w:ascii="Arial" w:cs="Arial" w:eastAsia="Arial" w:hAnsi="Arial"/>
          <w:sz w:val="21"/>
          <w:szCs w:val="21"/>
          <w:color w:val="000000"/>
        </w:rPr>
        <w:t>. Except as set forth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3.6</w:t>
      </w:r>
      <w:r>
        <w:rPr>
          <w:rFonts w:ascii="Arial" w:cs="Arial" w:eastAsia="Arial" w:hAnsi="Arial"/>
          <w:sz w:val="21"/>
          <w:szCs w:val="21"/>
          <w:color w:val="010000"/>
        </w:rPr>
        <w:t xml:space="preserve"> </w:t>
      </w:r>
      <w:r>
        <w:rPr>
          <w:rFonts w:ascii="Arial" w:cs="Arial" w:eastAsia="Arial" w:hAnsi="Arial"/>
          <w:sz w:val="21"/>
          <w:szCs w:val="21"/>
          <w:color w:val="000000"/>
        </w:rPr>
        <w:t>of the Company Disclosure</w:t>
      </w:r>
      <w:r>
        <w:rPr>
          <w:rFonts w:ascii="Arial" w:cs="Arial" w:eastAsia="Arial" w:hAnsi="Arial"/>
          <w:sz w:val="21"/>
          <w:szCs w:val="21"/>
          <w:color w:val="010000"/>
        </w:rPr>
        <w:t xml:space="preserve"> </w:t>
      </w:r>
      <w:r>
        <w:rPr>
          <w:rFonts w:ascii="Arial" w:cs="Arial" w:eastAsia="Arial" w:hAnsi="Arial"/>
          <w:sz w:val="21"/>
          <w:szCs w:val="21"/>
          <w:color w:val="000000"/>
        </w:rPr>
        <w:t xml:space="preserve">Schedule, between the Balance Sheet Date and the date of this Agreement, (a) the Business has been conducted in all material respects in the ordinary course of business consistent with past practice, (b) there has not been any event, change, occurrence or circumstance that would have, individually or in the aggregate, a Company Material Adverse Effect, and (c) the Company has not taken any action that, if taken after the date of this Agreement and prior to the Closing, would constitute a violation of the covenants and restrictions set forth in </w:t>
      </w:r>
      <w:r>
        <w:rPr>
          <w:rFonts w:ascii="Arial" w:cs="Arial" w:eastAsia="Arial" w:hAnsi="Arial"/>
          <w:sz w:val="21"/>
          <w:szCs w:val="21"/>
          <w:u w:val="single" w:color="auto"/>
          <w:color w:val="000000"/>
        </w:rPr>
        <w:t>Section 6.1</w:t>
      </w:r>
      <w:r>
        <w:rPr>
          <w:rFonts w:ascii="Arial" w:cs="Arial" w:eastAsia="Arial" w:hAnsi="Arial"/>
          <w:sz w:val="21"/>
          <w:szCs w:val="21"/>
          <w:color w:val="000000"/>
        </w:rPr>
        <w:t xml:space="preserve"> (subject to </w:t>
      </w:r>
      <w:r>
        <w:rPr>
          <w:rFonts w:ascii="Arial" w:cs="Arial" w:eastAsia="Arial" w:hAnsi="Arial"/>
          <w:sz w:val="21"/>
          <w:szCs w:val="21"/>
          <w:u w:val="single" w:color="auto"/>
          <w:color w:val="000000"/>
        </w:rPr>
        <w:t>Schedule 6.1</w:t>
      </w:r>
      <w:r>
        <w:rPr>
          <w:rFonts w:ascii="Arial" w:cs="Arial" w:eastAsia="Arial" w:hAnsi="Arial"/>
          <w:sz w:val="21"/>
          <w:szCs w:val="21"/>
          <w:color w:val="000000"/>
        </w:rPr>
        <w:t>).</w:t>
      </w:r>
    </w:p>
    <w:p>
      <w:pPr>
        <w:spacing w:after="0" w:line="18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010000"/>
        </w:rPr>
        <w:t xml:space="preserve">3.7 </w:t>
      </w:r>
      <w:r>
        <w:rPr>
          <w:rFonts w:ascii="Arial" w:cs="Arial" w:eastAsia="Arial" w:hAnsi="Arial"/>
          <w:sz w:val="21"/>
          <w:szCs w:val="21"/>
          <w:u w:val="single" w:color="auto"/>
          <w:color w:val="000000"/>
        </w:rPr>
        <w:t>Legal Proceedings</w:t>
      </w:r>
      <w:r>
        <w:rPr>
          <w:rFonts w:ascii="Arial" w:cs="Arial" w:eastAsia="Arial" w:hAnsi="Arial"/>
          <w:sz w:val="21"/>
          <w:szCs w:val="21"/>
          <w:color w:val="000000"/>
        </w:rPr>
        <w:t>. There are no, and for the last five (5) years there have not been any, pending</w:t>
      </w:r>
      <w:r>
        <w:rPr>
          <w:rFonts w:ascii="Arial" w:cs="Arial" w:eastAsia="Arial" w:hAnsi="Arial"/>
          <w:sz w:val="21"/>
          <w:szCs w:val="21"/>
          <w:color w:val="010000"/>
        </w:rPr>
        <w:t xml:space="preserve"> </w:t>
      </w:r>
      <w:r>
        <w:rPr>
          <w:rFonts w:ascii="Arial" w:cs="Arial" w:eastAsia="Arial" w:hAnsi="Arial"/>
          <w:sz w:val="21"/>
          <w:szCs w:val="21"/>
          <w:color w:val="000000"/>
        </w:rPr>
        <w:t>or, to the Knowledge of the Company, threatened material Legal Proceedings against, relating to, or otherwise affecting, the Company, the Business, its assets, or otherwise pertaining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64" w:name="page65"/>
    <w:bookmarkEnd w:id="64"/>
    <w:p>
      <w:pPr>
        <w:jc w:val="both"/>
        <w:spacing w:after="0" w:line="279" w:lineRule="auto"/>
        <w:rPr>
          <w:sz w:val="20"/>
          <w:szCs w:val="20"/>
          <w:color w:val="auto"/>
        </w:rPr>
      </w:pPr>
      <w:r>
        <w:rPr>
          <w:rFonts w:ascii="Arial" w:cs="Arial" w:eastAsia="Arial" w:hAnsi="Arial"/>
          <w:sz w:val="19"/>
          <w:szCs w:val="19"/>
          <w:color w:val="auto"/>
        </w:rPr>
        <w:t xml:space="preserve">ownership of the Shares or the operation of the Business. Except as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of the Company Disclosure Schedule, the Company has not received written notice within the past five (5) years of any material audit, inquiry, or investigation pending or threatened against the Company. There is no outstanding material Order imposed upon the Company. To the Knowledge of the Company, no facts or circumstances exist that would reasonably be expected to give rise to any material Legal Proceeding. The Company does not intend to initiate any Legal Proceeding relating to the Business, its assets, or the Shares.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3.8</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36" w:lineRule="auto"/>
        <w:tabs>
          <w:tab w:leader="none" w:pos="2659"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3.8(a)</w:t>
      </w:r>
      <w:r>
        <w:rPr>
          <w:rFonts w:ascii="Arial" w:cs="Arial" w:eastAsia="Arial" w:hAnsi="Arial"/>
          <w:sz w:val="22"/>
          <w:szCs w:val="22"/>
          <w:color w:val="auto"/>
        </w:rPr>
        <w:t xml:space="preserve"> of the Company Disclosure Schedule, the Company is, and for the past five (5) years has been, in material compliance with all Laws applicable to the Business and its operations. During the past five (5) years, the Company has not received any written notice of, or been formally charged by a Governmental Authority with, any material violation of any applicable Laws.</w:t>
      </w:r>
    </w:p>
    <w:p>
      <w:pPr>
        <w:spacing w:after="0" w:line="187" w:lineRule="exact"/>
        <w:rPr>
          <w:rFonts w:ascii="Arial" w:cs="Arial" w:eastAsia="Arial" w:hAnsi="Arial"/>
          <w:sz w:val="22"/>
          <w:szCs w:val="22"/>
          <w:color w:val="010000"/>
        </w:rPr>
      </w:pPr>
    </w:p>
    <w:p>
      <w:pPr>
        <w:jc w:val="both"/>
        <w:ind w:left="340" w:firstLine="1288"/>
        <w:spacing w:after="0" w:line="272" w:lineRule="auto"/>
        <w:tabs>
          <w:tab w:leader="none" w:pos="2576"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3.8(b)(i)</w:t>
      </w:r>
      <w:r>
        <w:rPr>
          <w:rFonts w:ascii="Arial" w:cs="Arial" w:eastAsia="Arial" w:hAnsi="Arial"/>
          <w:sz w:val="19"/>
          <w:szCs w:val="19"/>
          <w:color w:val="auto"/>
        </w:rPr>
        <w:t xml:space="preserve"> of the Company Disclosure Schedule, the Company has obtained all material Permits that are required for the operation of the Business as presently conducted. Each material Permit held by the Company is valid, binding and in full force and effect. The Company has not received any written notice alleging the failure to hold any Permit or threatening the suspension, revocation, restriction, nonrenewal, or modification of any material Permits, or the imposition of any fine, penalty, or other sanctions with respect to such material Permits. To the Knowledge of the Company, no Governmental Authority has decided not to renew any such material Permits. The Company is in compliance with the material terms and conditions of all of the material Permits that it holds, in each case except as would not reasonably be expected to be material, individually or in the aggregate, to the Company. All material Permits of the Company are in full force and effect, not subject to appeal or challenge, and no such Permits will be adversely affected by the consummation of the Transaction. Except as set forth in </w:t>
      </w:r>
      <w:r>
        <w:rPr>
          <w:rFonts w:ascii="Arial" w:cs="Arial" w:eastAsia="Arial" w:hAnsi="Arial"/>
          <w:sz w:val="19"/>
          <w:szCs w:val="19"/>
          <w:u w:val="single" w:color="auto"/>
          <w:color w:val="auto"/>
        </w:rPr>
        <w:t>Section 3.8(b)(ii)</w:t>
      </w:r>
      <w:r>
        <w:rPr>
          <w:rFonts w:ascii="Arial" w:cs="Arial" w:eastAsia="Arial" w:hAnsi="Arial"/>
          <w:sz w:val="19"/>
          <w:szCs w:val="19"/>
          <w:color w:val="auto"/>
        </w:rPr>
        <w:t xml:space="preserve"> of the Company Disclosure Schedule, no Person, other than the Company, owns or has any proprietary or financial interest in any such Permits.</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left="340" w:firstLine="1288"/>
        <w:spacing w:after="0" w:line="273" w:lineRule="auto"/>
        <w:tabs>
          <w:tab w:leader="none" w:pos="2578"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Since January 1, 2018, neither the Company nor any of its directors, officers, or employees nor, to the Knowledge of the Company, any other Person authorized to act on its behalf (including any distributor, agent, sales intermediary or other third party), has (i) violated any Applicable Anti-Corruption Law or (ii) offered, given, promised to give, or authorized the giving of money or anything of value, to any Government Official or any other Person: (A) for the purpose of (1) corruptly or improperly influencing any act or decision of any Government Official or Person in his/her official capacity, (2) inducing any Government Official or Person to do, or omit to do, any act in violation of his/her duties, (3) securing any improper business advantage, or (4) obtaining or retaining business for the Company or directing business to any Person; or (B) in a manner that would constitute, or have the purpose or effect of, public or commercial bribery, acceptance of, or acquiescence in, extortion, kickbacks or other unlawful or improper means of obtaining business or any improper business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5" w:name="page66"/>
    <w:bookmarkEnd w:id="65"/>
    <w:p>
      <w:pPr>
        <w:jc w:val="both"/>
        <w:ind w:firstLine="1288"/>
        <w:spacing w:after="0" w:line="277" w:lineRule="auto"/>
        <w:tabs>
          <w:tab w:leader="none" w:pos="2061"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The Company has maintained complete and accurate books and records in reasonable detail in all material respects, including records of payments to any agents, consultants, representatives, third parties, and Government Officials. Neither the Company nor any of its directors, officers, or employees, nor, to the Knowledge of the Company, any other Person authorized to act on its behalf, has established or maintained, or is maintaining, any secret, illegal, or unrecorded fund of corporate monies or other properties. No false or fictitious entries have been made in the books and records of the Company relating to any corrupt payment or gift of anything of value, including any bribe, kickback, or other illegal or improper payment.</w:t>
      </w:r>
    </w:p>
    <w:p>
      <w:pPr>
        <w:spacing w:after="0" w:line="151" w:lineRule="exact"/>
        <w:rPr>
          <w:rFonts w:ascii="Arial" w:cs="Arial" w:eastAsia="Arial" w:hAnsi="Arial"/>
          <w:sz w:val="19"/>
          <w:szCs w:val="19"/>
          <w:color w:val="010000"/>
        </w:rPr>
      </w:pPr>
    </w:p>
    <w:p>
      <w:pPr>
        <w:ind w:firstLine="1288"/>
        <w:spacing w:after="0" w:line="250" w:lineRule="auto"/>
        <w:tabs>
          <w:tab w:leader="none" w:pos="2305"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The Company has in place reasonably adequate controls and systems to ensure compliance with the Applicable Anti-Corruption Laws.</w:t>
      </w:r>
    </w:p>
    <w:p>
      <w:pPr>
        <w:spacing w:after="0" w:line="174" w:lineRule="exact"/>
        <w:rPr>
          <w:rFonts w:ascii="Arial" w:cs="Arial" w:eastAsia="Arial" w:hAnsi="Arial"/>
          <w:sz w:val="22"/>
          <w:szCs w:val="22"/>
          <w:color w:val="010000"/>
        </w:rPr>
      </w:pPr>
    </w:p>
    <w:p>
      <w:pPr>
        <w:jc w:val="both"/>
        <w:ind w:firstLine="1288"/>
        <w:spacing w:after="0" w:line="246" w:lineRule="auto"/>
        <w:tabs>
          <w:tab w:leader="none" w:pos="2254"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Neither the Company nor any of its directors, officers, or employees nor, to the Knowledge of the Company, any other Person authorized to act on its behalf, is, or has been, (i) under administrative, civil, or criminal investigation, internal investigation by any party, or the subject of any inquiry or allegations or (ii) under an indictment, suspension, debarment, or audit (other than a routine Contract audit) by any party, in each case, in connection with alleged or possible violations of any Applicable Anti-Corruption Laws. Neither the Company nor any of its directors, officers, or employees nor, to the Knowledge of the Company, any other Person authorized to act on its behalf has received a whistleblower report of alleged or possible violations of any Applicable Anti-Corruption Laws.</w:t>
      </w:r>
    </w:p>
    <w:p>
      <w:pPr>
        <w:spacing w:after="0" w:line="179" w:lineRule="exact"/>
        <w:rPr>
          <w:rFonts w:ascii="Arial" w:cs="Arial" w:eastAsia="Arial" w:hAnsi="Arial"/>
          <w:sz w:val="21"/>
          <w:szCs w:val="21"/>
          <w:color w:val="010000"/>
        </w:rPr>
      </w:pPr>
    </w:p>
    <w:p>
      <w:pPr>
        <w:jc w:val="both"/>
        <w:ind w:firstLine="1288"/>
        <w:spacing w:after="0" w:line="249" w:lineRule="auto"/>
        <w:tabs>
          <w:tab w:leader="none" w:pos="2277"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Neither the Company nor any of its directors, officers, or employees nor, to the Knowledge of the Company, any other Person authorized to act on its behalf has received notice, inquiry, or other communication from, or made a voluntary disclosure to, the U.S. Department of Justice or other criminal, civil or administrative enforcement agency of any domestic or non-U.S. jurisdiction in connection with alleged or possible violations of any Applicable Anti-Corruption Law.</w:t>
      </w:r>
    </w:p>
    <w:p>
      <w:pPr>
        <w:spacing w:after="0" w:line="17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3.9</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of the Company Disclosure Schedule:</w:t>
      </w:r>
    </w:p>
    <w:p>
      <w:pPr>
        <w:spacing w:after="0" w:line="206" w:lineRule="exact"/>
        <w:rPr>
          <w:sz w:val="20"/>
          <w:szCs w:val="20"/>
          <w:color w:val="auto"/>
        </w:rPr>
      </w:pPr>
    </w:p>
    <w:p>
      <w:pPr>
        <w:jc w:val="both"/>
        <w:ind w:firstLine="1288"/>
        <w:spacing w:after="0" w:line="238" w:lineRule="auto"/>
        <w:tabs>
          <w:tab w:leader="none" w:pos="2022"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All U.S. federal and other material Tax Returns required to be filed with respect to the Company, taking into account any validly obtained extensions of time to file, have been timely filed by the Company, or on behalf of the Company, with the appropriate Taxing Authorities, and all such Tax Returns are true, correct and complete in all material respects.</w:t>
      </w:r>
    </w:p>
    <w:p>
      <w:pPr>
        <w:spacing w:after="0" w:line="184" w:lineRule="exact"/>
        <w:rPr>
          <w:rFonts w:ascii="Arial" w:cs="Arial" w:eastAsia="Arial" w:hAnsi="Arial"/>
          <w:sz w:val="22"/>
          <w:szCs w:val="22"/>
          <w:color w:val="010000"/>
        </w:rPr>
      </w:pPr>
    </w:p>
    <w:p>
      <w:pPr>
        <w:ind w:firstLine="1288"/>
        <w:spacing w:after="0" w:line="250" w:lineRule="auto"/>
        <w:tabs>
          <w:tab w:leader="none" w:pos="2115"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All material Taxes of the Company have been timely paid to the appropriate Taxing Authority regardless of whether shown on any Tax Return.</w:t>
      </w:r>
    </w:p>
    <w:p>
      <w:pPr>
        <w:spacing w:after="0" w:line="174" w:lineRule="exact"/>
        <w:rPr>
          <w:rFonts w:ascii="Arial" w:cs="Arial" w:eastAsia="Arial" w:hAnsi="Arial"/>
          <w:sz w:val="22"/>
          <w:szCs w:val="22"/>
          <w:color w:val="010000"/>
        </w:rPr>
      </w:pPr>
    </w:p>
    <w:p>
      <w:pPr>
        <w:ind w:firstLine="1288"/>
        <w:spacing w:after="0" w:line="250" w:lineRule="auto"/>
        <w:tabs>
          <w:tab w:leader="none" w:pos="2143"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No material deficiencies for any Taxes have been proposed, asserted or assessed in writing against the Company that are still pending.</w:t>
      </w:r>
    </w:p>
    <w:p>
      <w:pPr>
        <w:spacing w:after="0" w:line="174" w:lineRule="exact"/>
        <w:rPr>
          <w:rFonts w:ascii="Arial" w:cs="Arial" w:eastAsia="Arial" w:hAnsi="Arial"/>
          <w:sz w:val="22"/>
          <w:szCs w:val="22"/>
          <w:color w:val="010000"/>
        </w:rPr>
      </w:pPr>
    </w:p>
    <w:p>
      <w:pPr>
        <w:ind w:firstLine="1288"/>
        <w:spacing w:after="0" w:line="250" w:lineRule="auto"/>
        <w:tabs>
          <w:tab w:leader="none" w:pos="2034"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The Company has withheld or collected, and paid to the appropriate Taxing Authority, all Taxes required to have been withheld or collected and remitted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66" w:name="page67"/>
    <w:bookmarkEnd w:id="66"/>
    <w:p>
      <w:pPr>
        <w:jc w:val="both"/>
        <w:ind w:left="8"/>
        <w:spacing w:after="0" w:line="236" w:lineRule="auto"/>
        <w:rPr>
          <w:sz w:val="20"/>
          <w:szCs w:val="20"/>
          <w:color w:val="auto"/>
        </w:rPr>
      </w:pPr>
      <w:r>
        <w:rPr>
          <w:rFonts w:ascii="Arial" w:cs="Arial" w:eastAsia="Arial" w:hAnsi="Arial"/>
          <w:sz w:val="22"/>
          <w:szCs w:val="22"/>
          <w:color w:val="auto"/>
        </w:rPr>
        <w:t>(including Taxes arising as a result of payments or distributions to (i) equityholders, (ii) employees and (iii) service providers). The Company has complied in all material respects with all information reporting and withholding requirements, including maintaining all required records with respect thereto, in connection with amounts paid or owing to any employee, independent contractor, customer, creditor, equityholder or other third party.</w:t>
      </w:r>
    </w:p>
    <w:p>
      <w:pPr>
        <w:spacing w:after="0" w:line="187" w:lineRule="exact"/>
        <w:rPr>
          <w:sz w:val="20"/>
          <w:szCs w:val="20"/>
          <w:color w:val="auto"/>
        </w:rPr>
      </w:pPr>
    </w:p>
    <w:p>
      <w:pPr>
        <w:jc w:val="both"/>
        <w:ind w:left="8" w:firstLine="1288"/>
        <w:spacing w:after="0" w:line="276" w:lineRule="auto"/>
        <w:tabs>
          <w:tab w:leader="none" w:pos="2002"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The unpaid Taxes of the Company (i) did not, as of the Balance Sheet Date, exceed the reserve for liability for Taxes set forth on the face of the Balance Sheet (rather than in any notes thereto) and</w:t>
      </w:r>
    </w:p>
    <w:p>
      <w:pPr>
        <w:spacing w:after="0" w:line="1" w:lineRule="exact"/>
        <w:rPr>
          <w:rFonts w:ascii="Arial" w:cs="Arial" w:eastAsia="Arial" w:hAnsi="Arial"/>
          <w:sz w:val="19"/>
          <w:szCs w:val="19"/>
          <w:color w:val="010000"/>
        </w:rPr>
      </w:pPr>
    </w:p>
    <w:p>
      <w:pPr>
        <w:ind w:left="8" w:hanging="8"/>
        <w:spacing w:after="0" w:line="236" w:lineRule="auto"/>
        <w:tabs>
          <w:tab w:leader="none" w:pos="347"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will not exceed that reserve as adjusted for the passage of time through the Closing Date in accordance with the past custom and practice of the Company in filing its Tax Returns.</w:t>
      </w:r>
    </w:p>
    <w:p>
      <w:pPr>
        <w:spacing w:after="0" w:line="186" w:lineRule="exact"/>
        <w:rPr>
          <w:rFonts w:ascii="Arial" w:cs="Arial" w:eastAsia="Arial" w:hAnsi="Arial"/>
          <w:sz w:val="22"/>
          <w:szCs w:val="22"/>
          <w:color w:val="auto"/>
        </w:rPr>
      </w:pPr>
    </w:p>
    <w:p>
      <w:pPr>
        <w:ind w:left="1948" w:hanging="652"/>
        <w:spacing w:after="0"/>
        <w:tabs>
          <w:tab w:leader="none" w:pos="1948"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The Company is not currently the subject of any Tax audit or examination.</w:t>
      </w:r>
    </w:p>
    <w:p>
      <w:pPr>
        <w:spacing w:after="0" w:line="206" w:lineRule="exact"/>
        <w:rPr>
          <w:rFonts w:ascii="Arial" w:cs="Arial" w:eastAsia="Arial" w:hAnsi="Arial"/>
          <w:sz w:val="22"/>
          <w:szCs w:val="22"/>
          <w:color w:val="010000"/>
        </w:rPr>
      </w:pPr>
    </w:p>
    <w:p>
      <w:pPr>
        <w:jc w:val="both"/>
        <w:ind w:left="8" w:firstLine="1288"/>
        <w:spacing w:after="0"/>
        <w:tabs>
          <w:tab w:leader="none" w:pos="2069"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No extensions of the period for assessment or collection of any Taxes are currently in effect with respect to the Company (other than extensions of time to file Tax Returns obtained in the ordinary course of business).</w:t>
      </w:r>
    </w:p>
    <w:p>
      <w:pPr>
        <w:spacing w:after="0" w:line="186" w:lineRule="exact"/>
        <w:rPr>
          <w:rFonts w:ascii="Arial" w:cs="Arial" w:eastAsia="Arial" w:hAnsi="Arial"/>
          <w:sz w:val="22"/>
          <w:szCs w:val="22"/>
          <w:color w:val="010000"/>
        </w:rPr>
      </w:pPr>
    </w:p>
    <w:p>
      <w:pPr>
        <w:jc w:val="both"/>
        <w:ind w:left="8" w:firstLine="1288"/>
        <w:spacing w:after="0" w:line="236" w:lineRule="auto"/>
        <w:tabs>
          <w:tab w:leader="none" w:pos="2028"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(i) No claim has been made in writing by any Taxing Authority in a jurisdiction where the Company does not file Tax Returns that the Company is or may be subject to taxation in such jurisdiction and (ii) the Company is not subject to Tax in any jurisdiction other than the United States by virtue of having employees, agents, a permanent establishment (within the meaning of an applicable Tax treaty) or any other place of business in such jurisdiction.</w:t>
      </w:r>
    </w:p>
    <w:p>
      <w:pPr>
        <w:spacing w:after="0" w:line="187" w:lineRule="exact"/>
        <w:rPr>
          <w:rFonts w:ascii="Arial" w:cs="Arial" w:eastAsia="Arial" w:hAnsi="Arial"/>
          <w:sz w:val="22"/>
          <w:szCs w:val="22"/>
          <w:color w:val="010000"/>
        </w:rPr>
      </w:pPr>
    </w:p>
    <w:p>
      <w:pPr>
        <w:jc w:val="both"/>
        <w:ind w:left="8" w:firstLine="1288"/>
        <w:spacing w:after="0" w:line="257" w:lineRule="auto"/>
        <w:tabs>
          <w:tab w:leader="none" w:pos="2142"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The Company is not a party to any “closing agreements” described in Code Section 7121 (or any comparable provision of state, local or foreign Tax Law) and has not requested or received any Tax ruling, in either case, that would have continuing effect after the Closing Date.</w:t>
      </w:r>
    </w:p>
    <w:p>
      <w:pPr>
        <w:spacing w:after="0" w:line="169" w:lineRule="exact"/>
        <w:rPr>
          <w:rFonts w:ascii="Arial" w:cs="Arial" w:eastAsia="Arial" w:hAnsi="Arial"/>
          <w:sz w:val="21"/>
          <w:szCs w:val="21"/>
          <w:color w:val="010000"/>
        </w:rPr>
      </w:pPr>
    </w:p>
    <w:p>
      <w:pPr>
        <w:ind w:left="8" w:firstLine="1288"/>
        <w:spacing w:after="0" w:line="250" w:lineRule="auto"/>
        <w:tabs>
          <w:tab w:leader="none" w:pos="2183"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There are no Liens for Taxes upon any of the assets or properties of the Company, except for Permitted Liens.</w:t>
      </w:r>
    </w:p>
    <w:p>
      <w:pPr>
        <w:spacing w:after="0" w:line="174" w:lineRule="exact"/>
        <w:rPr>
          <w:rFonts w:ascii="Arial" w:cs="Arial" w:eastAsia="Arial" w:hAnsi="Arial"/>
          <w:sz w:val="22"/>
          <w:szCs w:val="22"/>
          <w:color w:val="010000"/>
        </w:rPr>
      </w:pPr>
    </w:p>
    <w:p>
      <w:pPr>
        <w:jc w:val="both"/>
        <w:ind w:left="8" w:firstLine="1288"/>
        <w:spacing w:after="0" w:line="279" w:lineRule="auto"/>
        <w:tabs>
          <w:tab w:leader="none" w:pos="1988"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The Company (i) is not currently, and has not been, a member of a consolidated, unified or affiliated group for Tax purposes; and (ii) does not have any Liability for Taxes of any Person arising from the application of Section 1.1502-6 of the Treasury Regulations or any analogous provision of state, local or foreign Law, or as a transferee or successor, by Contract (other than pursuant to any Contract, the principal subject matter of which is not Taxes), from any express or implied obligation to indemnify or otherwise assume or succeed to the Liability of any other Person, or otherwise.</w:t>
      </w:r>
    </w:p>
    <w:p>
      <w:pPr>
        <w:spacing w:after="0" w:line="150" w:lineRule="exact"/>
        <w:rPr>
          <w:rFonts w:ascii="Arial" w:cs="Arial" w:eastAsia="Arial" w:hAnsi="Arial"/>
          <w:sz w:val="19"/>
          <w:szCs w:val="19"/>
          <w:color w:val="010000"/>
        </w:rPr>
      </w:pPr>
    </w:p>
    <w:p>
      <w:pPr>
        <w:jc w:val="both"/>
        <w:ind w:left="8" w:firstLine="1288"/>
        <w:spacing w:after="0" w:line="257" w:lineRule="auto"/>
        <w:tabs>
          <w:tab w:leader="none" w:pos="2237"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The Company is not a party to, bound by or obligated in any way under any Tax sharing or Tax indemnity agreement or similar Contract or arrangement (other than an agreement entered into in the ordinary course of business, the principal subject of which is not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504190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469" w:right="999" w:bottom="1440" w:gutter="0" w:footer="0" w:header="0"/>
        </w:sectPr>
      </w:pPr>
    </w:p>
    <w:bookmarkStart w:id="67" w:name="page68"/>
    <w:bookmarkEnd w:id="67"/>
    <w:p>
      <w:pPr>
        <w:jc w:val="both"/>
        <w:ind w:firstLine="1288"/>
        <w:spacing w:after="0"/>
        <w:tabs>
          <w:tab w:leader="none" w:pos="1986"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The Company has not been a “distributing corporation” or a “controlled corporation” in a distribution in which the parties to such distribution treated the distribution as one to which Section 355 of the Code is applicable.</w:t>
      </w:r>
    </w:p>
    <w:p>
      <w:pPr>
        <w:spacing w:after="0" w:line="186" w:lineRule="exact"/>
        <w:rPr>
          <w:rFonts w:ascii="Arial" w:cs="Arial" w:eastAsia="Arial" w:hAnsi="Arial"/>
          <w:sz w:val="22"/>
          <w:szCs w:val="22"/>
          <w:color w:val="010000"/>
        </w:rPr>
      </w:pPr>
    </w:p>
    <w:p>
      <w:pPr>
        <w:jc w:val="both"/>
        <w:ind w:firstLine="1288"/>
        <w:spacing w:after="0" w:line="328" w:lineRule="auto"/>
        <w:tabs>
          <w:tab w:leader="none" w:pos="1980"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No Tax holiday or Tax incentive or grant in any jurisdiction incurred by (or with respect to) the Company will terminate (or be subject to a clawback or recapture) as a result of any of the Transaction.</w:t>
      </w:r>
    </w:p>
    <w:p>
      <w:pPr>
        <w:spacing w:after="0" w:line="104" w:lineRule="exact"/>
        <w:rPr>
          <w:rFonts w:ascii="Arial" w:cs="Arial" w:eastAsia="Arial" w:hAnsi="Arial"/>
          <w:sz w:val="19"/>
          <w:szCs w:val="19"/>
          <w:color w:val="010000"/>
        </w:rPr>
      </w:pPr>
    </w:p>
    <w:p>
      <w:pPr>
        <w:jc w:val="both"/>
        <w:ind w:firstLine="1288"/>
        <w:spacing w:after="0" w:line="297" w:lineRule="auto"/>
        <w:tabs>
          <w:tab w:leader="none" w:pos="1993"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Company (i) has not deferred the employer’s share of any “applicable employment taxes” under Section 2302 of the CARES Act and (ii) has not claimed or received any credits under Sections 7001 through 7005 of the Families First Coronavirus Response Act or Section 2301 of the CARES Act.</w:t>
      </w:r>
    </w:p>
    <w:p>
      <w:pPr>
        <w:spacing w:after="0" w:line="133" w:lineRule="exact"/>
        <w:rPr>
          <w:rFonts w:ascii="Arial" w:cs="Arial" w:eastAsia="Arial" w:hAnsi="Arial"/>
          <w:sz w:val="19"/>
          <w:szCs w:val="19"/>
          <w:color w:val="010000"/>
        </w:rPr>
      </w:pPr>
    </w:p>
    <w:p>
      <w:pPr>
        <w:jc w:val="both"/>
        <w:ind w:firstLine="1288"/>
        <w:spacing w:after="0" w:line="245" w:lineRule="auto"/>
        <w:tabs>
          <w:tab w:leader="none" w:pos="2101"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The Company will not be required to include any item of income in, or exclude any item of deduction from, taxable income for any taxable period (or portion thereof) ending after the Closing Date as a result of any: (i) intercompany transactions occurring at or prior to the Closing or any excess loss account in existence at Closing described in Treasury Regulations under Section 1502 of the Code (or any corresponding or similar provision of state, local or foreign Tax Law); (ii) installment sale or open transaction disposition made on or prior to the Closing Date; (iii) deferred revenue or prepaid amount received on or prior to the Closing Date; (iv) change in, or improper use of, a method of accounting; or (v) election under Section 108(i) or Section 965 of the Code (or any corresponding or similar provision of state, local or foreign Tax Law).</w:t>
      </w:r>
    </w:p>
    <w:p>
      <w:pPr>
        <w:spacing w:after="0" w:line="184" w:lineRule="exact"/>
        <w:rPr>
          <w:rFonts w:ascii="Arial" w:cs="Arial" w:eastAsia="Arial" w:hAnsi="Arial"/>
          <w:sz w:val="21"/>
          <w:szCs w:val="21"/>
          <w:color w:val="010000"/>
        </w:rPr>
      </w:pPr>
    </w:p>
    <w:p>
      <w:pPr>
        <w:jc w:val="both"/>
        <w:ind w:firstLine="1288"/>
        <w:spacing w:after="0"/>
        <w:tabs>
          <w:tab w:leader="none" w:pos="2101"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The Company has not agreed to, and is not required to make, any adjustments under Section 481(a) of the Code (or any corresponding or similar provision of state, local or foreign Tax Law) by reason of a change in method of accounting or otherwise.</w:t>
      </w:r>
    </w:p>
    <w:p>
      <w:pPr>
        <w:spacing w:after="0" w:line="186" w:lineRule="exact"/>
        <w:rPr>
          <w:rFonts w:ascii="Arial" w:cs="Arial" w:eastAsia="Arial" w:hAnsi="Arial"/>
          <w:sz w:val="22"/>
          <w:szCs w:val="22"/>
          <w:color w:val="010000"/>
        </w:rPr>
      </w:pPr>
    </w:p>
    <w:p>
      <w:pPr>
        <w:jc w:val="both"/>
        <w:ind w:firstLine="1288"/>
        <w:spacing w:after="0" w:line="274" w:lineRule="auto"/>
        <w:tabs>
          <w:tab w:leader="none" w:pos="2092"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From its date of formation until January 1, 2018, the Company (then Arcturus UAV, LLC) was a single member limited liability company which was at all times classified as a disregarded entity for U.S. federal and applicable state and local Income Tax purposes; from January 1, 2018 until October 1, 2018, the Company (then Arcturus UAV, LLC) was at all times classified as a partnership for U.S. federal and applicable state and local Income Tax purposes; and from October 1, 2018, the Company (Arcturus UAV, Inc.) has at all times been classified as an association taxable as a corporation under Subchapter C of the Code for U.S. federal and applicable state and local Income Tax purposes. The Company does not own an interest, directly or indirectly, in any joint venture, partnership, limited liability company, association, or other entity or arrangement that is treated as a partnership for U.S. federal, state or local Income Tax purposes.</w:t>
      </w:r>
    </w:p>
    <w:p>
      <w:pPr>
        <w:spacing w:after="0" w:line="158" w:lineRule="exact"/>
        <w:rPr>
          <w:rFonts w:ascii="Arial" w:cs="Arial" w:eastAsia="Arial" w:hAnsi="Arial"/>
          <w:sz w:val="19"/>
          <w:szCs w:val="19"/>
          <w:color w:val="010000"/>
        </w:rPr>
      </w:pPr>
    </w:p>
    <w:p>
      <w:pPr>
        <w:jc w:val="both"/>
        <w:ind w:firstLine="1288"/>
        <w:spacing w:after="0" w:line="279" w:lineRule="auto"/>
        <w:tabs>
          <w:tab w:leader="none" w:pos="2158"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Company has not directly or indirectly participated in, or been a party to, any transaction that would constitute (i) a “reportable transaction” or “listed transaction” within the meaning of Treasury Regulation Section 1.6011-4(b) or (ii) a “tax shelter” within the meaning of Section 6111 of the Code and the Treasury Regulations promulgated thereunder, whether in respect of itself, its shareholders or any other Person. All transactions with Related Parties carried out by the Company are at arm’s length and reflect a proper transfer pricing policy, in accordance with all applicable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68" w:name="page69"/>
    <w:bookmarkEnd w:id="68"/>
    <w:p>
      <w:pPr>
        <w:jc w:val="both"/>
        <w:ind w:firstLine="1288"/>
        <w:spacing w:after="0"/>
        <w:tabs>
          <w:tab w:leader="none" w:pos="1986"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The Company has not been a United States real property holding corporation within the meaning of Section 897(c)(2) of the Code during the applicable period specified in Section 897(c)(1)(A)(ii) of the Code.</w:t>
      </w:r>
    </w:p>
    <w:p>
      <w:pPr>
        <w:spacing w:after="0" w:line="18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3.10</w:t>
      </w:r>
      <w:r>
        <w:rPr>
          <w:sz w:val="20"/>
          <w:szCs w:val="20"/>
          <w:color w:val="auto"/>
        </w:rPr>
        <w:tab/>
      </w:r>
      <w:r>
        <w:rPr>
          <w:rFonts w:ascii="Arial" w:cs="Arial" w:eastAsia="Arial" w:hAnsi="Arial"/>
          <w:sz w:val="19"/>
          <w:szCs w:val="19"/>
          <w:u w:val="single" w:color="auto"/>
          <w:color w:val="auto"/>
        </w:rPr>
        <w:t>Assets; Inventory</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71" w:lineRule="auto"/>
        <w:tabs>
          <w:tab w:leader="none" w:pos="2251"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of the Company Disclosure Schedule, the Company has good and valid title to, or a valid leasehold interest in, or otherwise has rights to use, all material properties and assets (tangible or intangible) reflected on the Balance Sheet or acquired after the Balance Sheet Date, free and clear of all Liens (other than Permitted Liens), and all such properties and assets are in the possession and control of the Company, other than assets sold or otherwise disposed of in the ordinary course of business since the Balance Sheet Date. The Company owns, has a valid license to use, or valid leasehold interest in, all of the material rights, assets, and properties, that are currently used in, held for use in, or necessary to operate the Business consistent with past practice and as currently conducted, and there are no other material assets (tangible or intangible) that are used in the operation of the Business. Each tangible asset of the Company is free from material defects, has been maintained in accordance with normal industry practice, is in good operating condition and repair in all material respects (subject to reasonable wear and tear), is adequate for its current use, is in conformity with applicable Laws and Permits relating to its use and operation, and is not in need of maintenance or repairs except for ordinary, routine maintenance that is not material in nature or cost, and that has not been unduly delayed.</w:t>
      </w:r>
    </w:p>
    <w:p>
      <w:pPr>
        <w:spacing w:after="0" w:line="164" w:lineRule="exact"/>
        <w:rPr>
          <w:rFonts w:ascii="Arial" w:cs="Arial" w:eastAsia="Arial" w:hAnsi="Arial"/>
          <w:sz w:val="19"/>
          <w:szCs w:val="19"/>
          <w:color w:val="010000"/>
        </w:rPr>
      </w:pPr>
    </w:p>
    <w:p>
      <w:pPr>
        <w:jc w:val="both"/>
        <w:ind w:firstLine="1288"/>
        <w:spacing w:after="0" w:line="248" w:lineRule="auto"/>
        <w:tabs>
          <w:tab w:leader="none" w:pos="1980" w:val="left"/>
        </w:tabs>
        <w:numPr>
          <w:ilvl w:val="0"/>
          <w:numId w:val="46"/>
        </w:numPr>
        <w:rPr>
          <w:rFonts w:ascii="Arial" w:cs="Arial" w:eastAsia="Arial" w:hAnsi="Arial"/>
          <w:sz w:val="21"/>
          <w:szCs w:val="21"/>
          <w:color w:val="010000"/>
        </w:rPr>
      </w:pPr>
      <w:r>
        <w:rPr>
          <w:rFonts w:ascii="Arial" w:cs="Arial" w:eastAsia="Arial" w:hAnsi="Arial"/>
          <w:sz w:val="21"/>
          <w:szCs w:val="21"/>
          <w:color w:val="auto"/>
        </w:rPr>
        <w:t>No inventory of the Company is with customers, agents, distributors, representatives, or other Persons on consignment. The inventory of the Company is of a quality and quantity useable in the ordinary course of business of the Company and is of a quantity reasonably sufficient to enable the Company to carry on the Business, as presently conducted, immediately after the Closing, subject to adequate allowances, if any, reflected in the Unaudited Financial Statements for obsolete, excess, slow moving, lower of cost, or market and other irregular items.</w:t>
      </w:r>
    </w:p>
    <w:p>
      <w:pPr>
        <w:spacing w:after="0" w:line="177"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3.11</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3.11 </w:t>
      </w:r>
      <w:r>
        <w:rPr>
          <w:rFonts w:ascii="Arial" w:cs="Arial" w:eastAsia="Arial" w:hAnsi="Arial"/>
          <w:sz w:val="19"/>
          <w:szCs w:val="19"/>
          <w:color w:val="auto"/>
        </w:rPr>
        <w:t>of the Company Disclosure Schedule:</w:t>
      </w:r>
    </w:p>
    <w:p>
      <w:pPr>
        <w:spacing w:after="0" w:line="206" w:lineRule="exact"/>
        <w:rPr>
          <w:sz w:val="20"/>
          <w:szCs w:val="20"/>
          <w:color w:val="auto"/>
        </w:rPr>
      </w:pPr>
    </w:p>
    <w:p>
      <w:pPr>
        <w:jc w:val="both"/>
        <w:ind w:firstLine="1288"/>
        <w:spacing w:after="0" w:line="248" w:lineRule="auto"/>
        <w:tabs>
          <w:tab w:leader="none" w:pos="2035"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The Company is, and for the past five (5) years has been, in material compliance with all Environmental Laws applicable to the Business and its operations. The Company has obtained, maintained, and is in material compliance with all Permits that are required under Environmental Laws for the occupation of its Leased Real Property and operation of the Business as presently conducted (collectively, the “</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and the Company is not in default or material violation of any term, condition, or provision of any Environmental Permit.</w:t>
      </w:r>
    </w:p>
    <w:p>
      <w:pPr>
        <w:spacing w:after="0" w:line="176" w:lineRule="exact"/>
        <w:rPr>
          <w:rFonts w:ascii="Arial" w:cs="Arial" w:eastAsia="Arial" w:hAnsi="Arial"/>
          <w:sz w:val="21"/>
          <w:szCs w:val="21"/>
          <w:color w:val="010000"/>
        </w:rPr>
      </w:pPr>
    </w:p>
    <w:p>
      <w:pPr>
        <w:jc w:val="both"/>
        <w:ind w:firstLine="1288"/>
        <w:spacing w:after="0" w:line="236" w:lineRule="auto"/>
        <w:tabs>
          <w:tab w:leader="none" w:pos="2074"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(i) Except as to matters with respect to which the Company has no material Liability, the Company has not caused and has not conducted Remediation or corrective action of any kind with respect to, and to the Company’s Knowledge there has not been any Release or threatened Release of Hazardous Materials, on, in, at or under any properties (including any buildings, structures, improvements, soils or subsurface strata,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69" w:name="page70"/>
    <w:bookmarkEnd w:id="69"/>
    <w:p>
      <w:pPr>
        <w:jc w:val="both"/>
        <w:ind w:left="340"/>
        <w:spacing w:after="0" w:line="282" w:lineRule="auto"/>
        <w:rPr>
          <w:sz w:val="20"/>
          <w:szCs w:val="20"/>
          <w:color w:val="auto"/>
        </w:rPr>
      </w:pPr>
      <w:r>
        <w:rPr>
          <w:rFonts w:ascii="Arial" w:cs="Arial" w:eastAsia="Arial" w:hAnsi="Arial"/>
          <w:sz w:val="19"/>
          <w:szCs w:val="19"/>
          <w:color w:val="auto"/>
        </w:rPr>
        <w:t>surface water bodies or drainage ways, and ground waters thereof) currently comprising the Leased Real Property or any property formerly owned, leased, or operated by, or for, the Company; and (ii) the Company has not owned or operated any underground improvement containing Hazardous Materials, including any treatment or storage tank or water, gas or oil well at any property described in the foregoing sentence, and to the Company’s Knowledge, no such underground improvement is present at any Leased Real Property.</w:t>
      </w:r>
    </w:p>
    <w:p>
      <w:pPr>
        <w:spacing w:after="0" w:line="147" w:lineRule="exact"/>
        <w:rPr>
          <w:sz w:val="20"/>
          <w:szCs w:val="20"/>
          <w:color w:val="auto"/>
        </w:rPr>
      </w:pPr>
    </w:p>
    <w:p>
      <w:pPr>
        <w:jc w:val="both"/>
        <w:ind w:left="340" w:firstLine="1288"/>
        <w:spacing w:after="0" w:line="287" w:lineRule="auto"/>
        <w:tabs>
          <w:tab w:leader="none" w:pos="2362"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There is no pending or, to the Knowledge of the Company, threatened investigation by any Governmental Authority, nor any pending or, to the Knowledge of the Company, threatened action with respect to the Company relating to Hazardous Materials or otherwise under any Environmental Laws, in each case, that has given or would reasonably be expected to result in material Liabilities for the Company.</w:t>
      </w:r>
    </w:p>
    <w:p>
      <w:pPr>
        <w:spacing w:after="0" w:line="142" w:lineRule="exact"/>
        <w:rPr>
          <w:rFonts w:ascii="Arial" w:cs="Arial" w:eastAsia="Arial" w:hAnsi="Arial"/>
          <w:sz w:val="19"/>
          <w:szCs w:val="19"/>
          <w:color w:val="010000"/>
        </w:rPr>
      </w:pPr>
    </w:p>
    <w:p>
      <w:pPr>
        <w:jc w:val="both"/>
        <w:ind w:left="340" w:firstLine="1288"/>
        <w:spacing w:after="0" w:line="238" w:lineRule="auto"/>
        <w:tabs>
          <w:tab w:leader="none" w:pos="2509"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There has been no generation, treatment, storage, transportation, handling, Release, disposal, or arrangement for the disposal of, contamination by, or exposure of any Person to, any Hazardous Material that has given or would reasonably be expected to give rise to any material Liabilities for the Company.</w:t>
      </w:r>
    </w:p>
    <w:p>
      <w:pPr>
        <w:spacing w:after="0" w:line="184" w:lineRule="exact"/>
        <w:rPr>
          <w:rFonts w:ascii="Arial" w:cs="Arial" w:eastAsia="Arial" w:hAnsi="Arial"/>
          <w:sz w:val="22"/>
          <w:szCs w:val="22"/>
          <w:color w:val="010000"/>
        </w:rPr>
      </w:pPr>
    </w:p>
    <w:p>
      <w:pPr>
        <w:jc w:val="both"/>
        <w:ind w:left="340" w:firstLine="1288"/>
        <w:spacing w:after="0" w:line="252" w:lineRule="auto"/>
        <w:tabs>
          <w:tab w:leader="none" w:pos="2483"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Company has made available to Purchaser all environmental, health and safety assessments, Environmental Permits, and other material environmental-related documents in the possession, custody, or control of the Company that relate to the Company, its operations, or the environmental condition of any current or former properties owned or leased thereby.</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3.12</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tabs>
          <w:tab w:leader="none" w:pos="2537"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Section 3.12(a)</w:t>
      </w:r>
      <w:r>
        <w:rPr>
          <w:rFonts w:ascii="Arial" w:cs="Arial" w:eastAsia="Arial" w:hAnsi="Arial"/>
          <w:sz w:val="22"/>
          <w:szCs w:val="22"/>
          <w:color w:val="auto"/>
        </w:rPr>
        <w:t xml:space="preserve"> of the Company Disclosure Schedule sets forth a list of all of the following Contracts as of the date of this Agreement to which the Company is a party or by which it is bound (collectively, the “</w:t>
      </w: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firstLine="1952"/>
        <w:spacing w:after="0" w:line="282" w:lineRule="auto"/>
        <w:tabs>
          <w:tab w:leader="none" w:pos="2755" w:val="left"/>
        </w:tabs>
        <w:numPr>
          <w:ilvl w:val="1"/>
          <w:numId w:val="49"/>
        </w:numPr>
        <w:rPr>
          <w:rFonts w:ascii="Arial" w:cs="Arial" w:eastAsia="Arial" w:hAnsi="Arial"/>
          <w:sz w:val="19"/>
          <w:szCs w:val="19"/>
          <w:color w:val="010000"/>
        </w:rPr>
      </w:pPr>
      <w:r>
        <w:rPr>
          <w:rFonts w:ascii="Arial" w:cs="Arial" w:eastAsia="Arial" w:hAnsi="Arial"/>
          <w:sz w:val="19"/>
          <w:szCs w:val="19"/>
          <w:color w:val="auto"/>
        </w:rPr>
        <w:t>any Contract with each current or former (to the extent of any ongoing Liability) officer, director, employee or individual consultant of the Company that (A) provides for the payment of annual base compensation in excess of One Hundred Fifty Thousand Dollars ($150,000), (B) provides for the payment of any compensation or benefits as a result of the consummation of the Transaction, or (C) is not terminable by the Company upon sixty (60) days’ notice or less without any material Liability to the Company;</w:t>
      </w:r>
    </w:p>
    <w:p>
      <w:pPr>
        <w:spacing w:after="0" w:line="147" w:lineRule="exact"/>
        <w:rPr>
          <w:rFonts w:ascii="Arial" w:cs="Arial" w:eastAsia="Arial" w:hAnsi="Arial"/>
          <w:sz w:val="19"/>
          <w:szCs w:val="19"/>
          <w:color w:val="010000"/>
        </w:rPr>
      </w:pPr>
    </w:p>
    <w:p>
      <w:pPr>
        <w:ind w:firstLine="1952"/>
        <w:spacing w:after="0" w:line="250" w:lineRule="auto"/>
        <w:tabs>
          <w:tab w:leader="none" w:pos="2680"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Contracts relating to the acquisition by the Company of any operating business or the capital stock of any other Person;</w:t>
      </w:r>
    </w:p>
    <w:p>
      <w:pPr>
        <w:spacing w:after="0" w:line="174" w:lineRule="exact"/>
        <w:rPr>
          <w:rFonts w:ascii="Arial" w:cs="Arial" w:eastAsia="Arial" w:hAnsi="Arial"/>
          <w:sz w:val="22"/>
          <w:szCs w:val="22"/>
          <w:color w:val="010000"/>
        </w:rPr>
      </w:pPr>
    </w:p>
    <w:p>
      <w:pPr>
        <w:jc w:val="both"/>
        <w:ind w:firstLine="1952"/>
        <w:spacing w:after="0" w:line="236" w:lineRule="auto"/>
        <w:tabs>
          <w:tab w:leader="none" w:pos="2727"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any Contract for the acquisition, sale, disposition, assignment, or transfer of any equity or assets of the Company (A) which is or would be material to the Company (in a single transaction or a series of related transactions, whether by merger, sale of stock, sale of assets, or otherwise) or (B) under which the Company has any outstanding Liabilities (contingent or otherwise, including earn-out provisions and indemnification obligations);</w:t>
      </w:r>
    </w:p>
    <w:p>
      <w:pPr>
        <w:spacing w:after="0" w:line="187" w:lineRule="exact"/>
        <w:rPr>
          <w:rFonts w:ascii="Arial" w:cs="Arial" w:eastAsia="Arial" w:hAnsi="Arial"/>
          <w:sz w:val="22"/>
          <w:szCs w:val="22"/>
          <w:color w:val="010000"/>
        </w:rPr>
      </w:pPr>
    </w:p>
    <w:p>
      <w:pPr>
        <w:ind w:left="2640" w:hanging="688"/>
        <w:spacing w:after="0"/>
        <w:tabs>
          <w:tab w:leader="none" w:pos="2640" w:val="left"/>
        </w:tabs>
        <w:numPr>
          <w:ilvl w:val="1"/>
          <w:numId w:val="49"/>
        </w:numPr>
        <w:rPr>
          <w:rFonts w:ascii="Arial" w:cs="Arial" w:eastAsia="Arial" w:hAnsi="Arial"/>
          <w:sz w:val="19"/>
          <w:szCs w:val="19"/>
          <w:color w:val="010000"/>
        </w:rPr>
      </w:pPr>
      <w:r>
        <w:rPr>
          <w:rFonts w:ascii="Arial" w:cs="Arial" w:eastAsia="Arial" w:hAnsi="Arial"/>
          <w:sz w:val="19"/>
          <w:szCs w:val="19"/>
          <w:color w:val="auto"/>
        </w:rPr>
        <w:t>Contracts for or relating to the making of any material loans to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70" w:name="page71"/>
    <w:bookmarkEnd w:id="70"/>
    <w:p>
      <w:pPr>
        <w:jc w:val="both"/>
        <w:ind w:firstLine="1952"/>
        <w:spacing w:after="0" w:line="282" w:lineRule="auto"/>
        <w:tabs>
          <w:tab w:leader="none" w:pos="2749"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any Contract under which the Company is (A) lessee of or holds or operates any equipment, vehicle, or other tangible personal property owned by any other Person or (B) lessor of, or permits any third party to hold or operate, any such personal property owned or controlled by the Company, except, in each case, for any lease or related leases of personal property under which the aggregate annual rental payments to any individual lessor do not exceed One Hundred Thousand Dollars ($100,000);</w:t>
      </w:r>
    </w:p>
    <w:p>
      <w:pPr>
        <w:spacing w:after="0" w:line="147" w:lineRule="exact"/>
        <w:rPr>
          <w:rFonts w:ascii="Arial" w:cs="Arial" w:eastAsia="Arial" w:hAnsi="Arial"/>
          <w:sz w:val="19"/>
          <w:szCs w:val="19"/>
          <w:color w:val="010000"/>
        </w:rPr>
      </w:pPr>
    </w:p>
    <w:p>
      <w:pPr>
        <w:jc w:val="both"/>
        <w:ind w:firstLine="1952"/>
        <w:spacing w:after="0" w:line="282" w:lineRule="auto"/>
        <w:tabs>
          <w:tab w:leader="none" w:pos="2782"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Contracts which are expected to involve payment or receipt by the Company of more than Five Hundred Thousand Dollars ($500,000) in the aggregate for any individual Contract or series of related Contracts during the fiscal year ending December 31, 2020, other than (A) purchase and sales orders entered into in the ordinary course of business using the Company’s standard form of purchase order (a copy of which has been made available to Purchaser prior to the date hereof) and (B) Benefit Plans;</w:t>
      </w:r>
    </w:p>
    <w:p>
      <w:pPr>
        <w:spacing w:after="0" w:line="147" w:lineRule="exact"/>
        <w:rPr>
          <w:rFonts w:ascii="Arial" w:cs="Arial" w:eastAsia="Arial" w:hAnsi="Arial"/>
          <w:sz w:val="19"/>
          <w:szCs w:val="19"/>
          <w:color w:val="010000"/>
        </w:rPr>
      </w:pPr>
    </w:p>
    <w:p>
      <w:pPr>
        <w:ind w:left="2600" w:hanging="648"/>
        <w:spacing w:after="0"/>
        <w:tabs>
          <w:tab w:leader="none" w:pos="260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Contract with any Material Customer or Material Vendor;</w:t>
      </w:r>
    </w:p>
    <w:p>
      <w:pPr>
        <w:spacing w:after="0" w:line="206" w:lineRule="exact"/>
        <w:rPr>
          <w:rFonts w:ascii="Arial" w:cs="Arial" w:eastAsia="Arial" w:hAnsi="Arial"/>
          <w:sz w:val="22"/>
          <w:szCs w:val="22"/>
          <w:color w:val="010000"/>
        </w:rPr>
      </w:pPr>
    </w:p>
    <w:p>
      <w:pPr>
        <w:ind w:right="20" w:firstLine="1952"/>
        <w:spacing w:after="0" w:line="250" w:lineRule="auto"/>
        <w:tabs>
          <w:tab w:leader="none" w:pos="2646"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Contracts granting a right of first refusal, first offer or similar preferential right to purchase or acquire Equity Interests in the Company;</w:t>
      </w:r>
    </w:p>
    <w:p>
      <w:pPr>
        <w:spacing w:after="0" w:line="174" w:lineRule="exact"/>
        <w:rPr>
          <w:rFonts w:ascii="Arial" w:cs="Arial" w:eastAsia="Arial" w:hAnsi="Arial"/>
          <w:sz w:val="22"/>
          <w:szCs w:val="22"/>
          <w:color w:val="010000"/>
        </w:rPr>
      </w:pPr>
    </w:p>
    <w:p>
      <w:pPr>
        <w:jc w:val="both"/>
        <w:ind w:firstLine="1952"/>
        <w:spacing w:after="0" w:line="238" w:lineRule="auto"/>
        <w:tabs>
          <w:tab w:leader="none" w:pos="2742"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Contract granting to any Person an option or a first refusal, first offer, “most favored nation,” or similar preferential right to purchase or acquire any material asset of the Company or to act as supplier to the Company, or that purports to limit the ability of the Company to own, operate, sell, transfer, pledge, or otherwise dispose of any material amount of assets;</w:t>
      </w:r>
    </w:p>
    <w:p>
      <w:pPr>
        <w:spacing w:after="0" w:line="184" w:lineRule="exact"/>
        <w:rPr>
          <w:rFonts w:ascii="Arial" w:cs="Arial" w:eastAsia="Arial" w:hAnsi="Arial"/>
          <w:sz w:val="22"/>
          <w:szCs w:val="22"/>
          <w:color w:val="010000"/>
        </w:rPr>
      </w:pPr>
    </w:p>
    <w:p>
      <w:pPr>
        <w:jc w:val="both"/>
        <w:ind w:firstLine="1952"/>
        <w:spacing w:after="0"/>
        <w:tabs>
          <w:tab w:leader="none" w:pos="2655"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Contracts containing non-competition, non-solicitation, exclusivity, or other similar covenants binding on the Company or prohibiting or materially limiting the Company’s ability to conduct business with any Person in any geographic area;</w:t>
      </w:r>
    </w:p>
    <w:p>
      <w:pPr>
        <w:spacing w:after="0" w:line="186" w:lineRule="exact"/>
        <w:rPr>
          <w:rFonts w:ascii="Arial" w:cs="Arial" w:eastAsia="Arial" w:hAnsi="Arial"/>
          <w:sz w:val="22"/>
          <w:szCs w:val="22"/>
          <w:color w:val="010000"/>
        </w:rPr>
      </w:pPr>
    </w:p>
    <w:p>
      <w:pPr>
        <w:ind w:left="2640" w:hanging="688"/>
        <w:spacing w:after="0"/>
        <w:tabs>
          <w:tab w:leader="none" w:pos="26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Contracts for joint venture agreements or similar partnerships;</w:t>
      </w:r>
    </w:p>
    <w:p>
      <w:pPr>
        <w:spacing w:after="0" w:line="206" w:lineRule="exact"/>
        <w:rPr>
          <w:rFonts w:ascii="Arial" w:cs="Arial" w:eastAsia="Arial" w:hAnsi="Arial"/>
          <w:sz w:val="22"/>
          <w:szCs w:val="22"/>
          <w:color w:val="010000"/>
        </w:rPr>
      </w:pPr>
    </w:p>
    <w:p>
      <w:pPr>
        <w:jc w:val="both"/>
        <w:ind w:firstLine="1952"/>
        <w:spacing w:after="0" w:line="287" w:lineRule="auto"/>
        <w:tabs>
          <w:tab w:leader="none" w:pos="2734"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any Contract for capital expenditures or the acquisition or construction of fixed assets or purchase of capital assets requiring the payment by the Company of an amount in excess of One Hundred Thousand Dollars ($100,000), individually, or Two Hundred Fifty Thousand Dollars ($250,000), in the aggregate, for payments required by related Contracts, acquisitions, or constructions to any individual Person;</w:t>
      </w:r>
    </w:p>
    <w:p>
      <w:pPr>
        <w:spacing w:after="0" w:line="142" w:lineRule="exact"/>
        <w:rPr>
          <w:rFonts w:ascii="Arial" w:cs="Arial" w:eastAsia="Arial" w:hAnsi="Arial"/>
          <w:sz w:val="19"/>
          <w:szCs w:val="19"/>
          <w:color w:val="010000"/>
        </w:rPr>
      </w:pPr>
    </w:p>
    <w:p>
      <w:pPr>
        <w:ind w:left="2600" w:hanging="648"/>
        <w:spacing w:after="0"/>
        <w:tabs>
          <w:tab w:leader="none" w:pos="260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Active Government Contract;</w:t>
      </w:r>
    </w:p>
    <w:p>
      <w:pPr>
        <w:spacing w:after="0" w:line="206" w:lineRule="exact"/>
        <w:rPr>
          <w:rFonts w:ascii="Arial" w:cs="Arial" w:eastAsia="Arial" w:hAnsi="Arial"/>
          <w:sz w:val="22"/>
          <w:szCs w:val="22"/>
          <w:color w:val="010000"/>
        </w:rPr>
      </w:pPr>
    </w:p>
    <w:p>
      <w:pPr>
        <w:ind w:left="2900" w:hanging="948"/>
        <w:spacing w:after="0"/>
        <w:tabs>
          <w:tab w:leader="none" w:pos="2900"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any Contract or Bid with a non-U.S. government or non-U.S. public sector</w:t>
      </w:r>
    </w:p>
    <w:p>
      <w:pPr>
        <w:spacing w:after="0" w:line="1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organization;</w:t>
      </w:r>
    </w:p>
    <w:p>
      <w:pPr>
        <w:spacing w:after="0" w:line="188" w:lineRule="exact"/>
        <w:rPr>
          <w:rFonts w:ascii="Arial" w:cs="Arial" w:eastAsia="Arial" w:hAnsi="Arial"/>
          <w:sz w:val="21"/>
          <w:szCs w:val="21"/>
          <w:color w:val="010000"/>
        </w:rPr>
      </w:pPr>
    </w:p>
    <w:p>
      <w:pPr>
        <w:ind w:left="2640" w:hanging="688"/>
        <w:spacing w:after="0"/>
        <w:tabs>
          <w:tab w:leader="none" w:pos="26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material Real Property Lease;</w:t>
      </w:r>
    </w:p>
    <w:p>
      <w:pPr>
        <w:spacing w:after="0" w:line="206" w:lineRule="exact"/>
        <w:rPr>
          <w:rFonts w:ascii="Arial" w:cs="Arial" w:eastAsia="Arial" w:hAnsi="Arial"/>
          <w:sz w:val="22"/>
          <w:szCs w:val="22"/>
          <w:color w:val="010000"/>
        </w:rPr>
      </w:pPr>
    </w:p>
    <w:p>
      <w:pPr>
        <w:ind w:left="2640" w:hanging="688"/>
        <w:spacing w:after="0"/>
        <w:tabs>
          <w:tab w:leader="none" w:pos="26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settlement, conciliation, or similar Contract;</w:t>
      </w:r>
    </w:p>
    <w:p>
      <w:pPr>
        <w:spacing w:after="0" w:line="206" w:lineRule="exact"/>
        <w:rPr>
          <w:rFonts w:ascii="Arial" w:cs="Arial" w:eastAsia="Arial" w:hAnsi="Arial"/>
          <w:sz w:val="22"/>
          <w:szCs w:val="22"/>
          <w:color w:val="010000"/>
        </w:rPr>
      </w:pPr>
    </w:p>
    <w:p>
      <w:pPr>
        <w:ind w:firstLine="1952"/>
        <w:spacing w:after="0" w:line="250" w:lineRule="auto"/>
        <w:tabs>
          <w:tab w:leader="none" w:pos="2667"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any collective bargaining agreement or any other Contract with any labor union, works council, or labor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1" w:name="page72"/>
    <w:bookmarkEnd w:id="71"/>
    <w:p>
      <w:pPr>
        <w:ind w:firstLine="1952"/>
        <w:spacing w:after="0" w:line="250" w:lineRule="auto"/>
        <w:tabs>
          <w:tab w:leader="none" w:pos="2605"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Contracts involving any minimum purchase obligations of (A) the Company to any other Person or (B) any other Person to the Company;</w:t>
      </w:r>
    </w:p>
    <w:p>
      <w:pPr>
        <w:spacing w:after="0" w:line="174" w:lineRule="exact"/>
        <w:rPr>
          <w:rFonts w:ascii="Arial" w:cs="Arial" w:eastAsia="Arial" w:hAnsi="Arial"/>
          <w:sz w:val="22"/>
          <w:szCs w:val="22"/>
          <w:color w:val="010000"/>
        </w:rPr>
      </w:pPr>
    </w:p>
    <w:p>
      <w:pPr>
        <w:jc w:val="both"/>
        <w:ind w:firstLine="1952"/>
        <w:spacing w:after="0"/>
        <w:tabs>
          <w:tab w:leader="none" w:pos="2701"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Contracts relating to the incurrence, assumption or guarantee of any Indebtedness or imposing a Lien (other than Permitted Liens) on any of the assets of the Company, including indentures, guarantees, loans or credit agreements;</w:t>
      </w:r>
    </w:p>
    <w:p>
      <w:pPr>
        <w:spacing w:after="0" w:line="186" w:lineRule="exact"/>
        <w:rPr>
          <w:rFonts w:ascii="Arial" w:cs="Arial" w:eastAsia="Arial" w:hAnsi="Arial"/>
          <w:sz w:val="22"/>
          <w:szCs w:val="22"/>
          <w:color w:val="010000"/>
        </w:rPr>
      </w:pPr>
    </w:p>
    <w:p>
      <w:pPr>
        <w:jc w:val="both"/>
        <w:ind w:firstLine="1952"/>
        <w:spacing w:after="0" w:line="236" w:lineRule="auto"/>
        <w:tabs>
          <w:tab w:leader="none" w:pos="2911"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Contracts pursuant to which the Company (A) obtains a license to material Intellectual Property (excluding licenses of commercially available software with annual license, maintenance, or other fees of less than Twenty-Five Thousand Dollars ($25,000) in the aggregate) or (B) grants to a third party any license to material Intellectual Property (excluding non-exclusive licenses granted to customers in the ordinary course of business); and</w:t>
      </w:r>
    </w:p>
    <w:p>
      <w:pPr>
        <w:spacing w:after="0" w:line="187" w:lineRule="exact"/>
        <w:rPr>
          <w:rFonts w:ascii="Arial" w:cs="Arial" w:eastAsia="Arial" w:hAnsi="Arial"/>
          <w:sz w:val="22"/>
          <w:szCs w:val="22"/>
          <w:color w:val="010000"/>
        </w:rPr>
      </w:pPr>
    </w:p>
    <w:p>
      <w:pPr>
        <w:ind w:left="2640" w:hanging="688"/>
        <w:spacing w:after="0"/>
        <w:tabs>
          <w:tab w:leader="none" w:pos="2640"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Contracts with Related Parties.</w:t>
      </w:r>
    </w:p>
    <w:p>
      <w:pPr>
        <w:spacing w:after="0" w:line="206" w:lineRule="exact"/>
        <w:rPr>
          <w:rFonts w:ascii="Arial" w:cs="Arial" w:eastAsia="Arial" w:hAnsi="Arial"/>
          <w:sz w:val="22"/>
          <w:szCs w:val="22"/>
          <w:color w:val="010000"/>
        </w:rPr>
      </w:pPr>
    </w:p>
    <w:p>
      <w:pPr>
        <w:jc w:val="both"/>
        <w:ind w:left="340" w:firstLine="1288"/>
        <w:spacing w:after="0" w:line="273" w:lineRule="auto"/>
        <w:tabs>
          <w:tab w:leader="none" w:pos="2509"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Each Material Contract is in full force and effect and is a legal, valid, binding and enforceable obligation of the Company, and, to the Knowledge of the Company, of the other party or parties thereto, except as enforceability may be limited by applicable Equitable Principles. With respect to each Material Contract, (i) there does not exist thereunder any material breach or material default on the part of the Company or, to the Knowledge of the Company, any other party to such Material Contract; (ii) to the Knowledge of the Company, no event has occurred which, with the passage of time or the giving of notice or both, would result in a default or breach by the Company or any other party thereto, under such Material Contract; (iii) the Company has not received written notice of any termination, non-renewal, or cancellation by another party to such Material Contract or of such party’s intention to terminate, fail to renew, or cancel such Material Contract, and (iv), to the Knowledge of the Company, no party to such Material Contract has any intention to terminate, fail to renew, or cancel any Material Contract.</w:t>
      </w:r>
    </w:p>
    <w:p>
      <w:pPr>
        <w:spacing w:after="0" w:line="155" w:lineRule="exact"/>
        <w:rPr>
          <w:rFonts w:ascii="Arial" w:cs="Arial" w:eastAsia="Arial" w:hAnsi="Arial"/>
          <w:sz w:val="19"/>
          <w:szCs w:val="19"/>
          <w:color w:val="010000"/>
        </w:rPr>
      </w:pPr>
    </w:p>
    <w:p>
      <w:pPr>
        <w:jc w:val="both"/>
        <w:ind w:left="340" w:firstLine="1288"/>
        <w:spacing w:after="0" w:line="287" w:lineRule="auto"/>
        <w:tabs>
          <w:tab w:leader="none" w:pos="2321"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Prior to the date hereof, the Company has made available to Purchaser a true, complete, and correct copy of each written Material Contract, together with all amendments, written waivers, or other changes thereto, and a true, complete, and correct description of the material terms and conditions of each oral Material Contract, including any waivers or other changes thereto, whether written or oral.</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3.13</w:t>
      </w:r>
      <w:r>
        <w:rPr>
          <w:sz w:val="20"/>
          <w:szCs w:val="20"/>
          <w:color w:val="auto"/>
        </w:rPr>
        <w:tab/>
      </w:r>
      <w:r>
        <w:rPr>
          <w:rFonts w:ascii="Arial" w:cs="Arial" w:eastAsia="Arial" w:hAnsi="Arial"/>
          <w:sz w:val="19"/>
          <w:szCs w:val="19"/>
          <w:u w:val="single" w:color="auto"/>
          <w:color w:val="auto"/>
        </w:rPr>
        <w:t>Government Contracts and Government Bids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34" w:lineRule="auto"/>
        <w:tabs>
          <w:tab w:leader="none" w:pos="2429"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Section 3.13(a)</w:t>
      </w:r>
      <w:r>
        <w:rPr>
          <w:rFonts w:ascii="Arial" w:cs="Arial" w:eastAsia="Arial" w:hAnsi="Arial"/>
          <w:sz w:val="22"/>
          <w:szCs w:val="22"/>
          <w:color w:val="auto"/>
        </w:rPr>
        <w:t xml:space="preserve"> of the Company Disclosure Schedule sets forth a true, complete, and correct list, as of the date of this Agreement, of (i) each Government Contract for which the period of performance has not expired or terminated or final payment has not been received as of the date of this Agreement (each, an “</w:t>
      </w:r>
      <w:r>
        <w:rPr>
          <w:rFonts w:ascii="Arial" w:cs="Arial" w:eastAsia="Arial" w:hAnsi="Arial"/>
          <w:sz w:val="22"/>
          <w:szCs w:val="22"/>
          <w:u w:val="single" w:color="auto"/>
          <w:color w:val="auto"/>
        </w:rPr>
        <w:t>Active Government Contract</w:t>
      </w:r>
      <w:r>
        <w:rPr>
          <w:rFonts w:ascii="Arial" w:cs="Arial" w:eastAsia="Arial" w:hAnsi="Arial"/>
          <w:sz w:val="22"/>
          <w:szCs w:val="22"/>
          <w:color w:val="auto"/>
        </w:rPr>
        <w:t>”); and (ii) Government Bids for awards of new Government Contracts made by the Company (each, an “</w:t>
      </w:r>
      <w:r>
        <w:rPr>
          <w:rFonts w:ascii="Arial" w:cs="Arial" w:eastAsia="Arial" w:hAnsi="Arial"/>
          <w:sz w:val="22"/>
          <w:szCs w:val="22"/>
          <w:u w:val="single" w:color="auto"/>
          <w:color w:val="auto"/>
        </w:rPr>
        <w:t>Active Government Bid</w:t>
      </w:r>
      <w:r>
        <w:rPr>
          <w:rFonts w:ascii="Arial" w:cs="Arial" w:eastAsia="Arial" w:hAnsi="Arial"/>
          <w:sz w:val="22"/>
          <w:szCs w:val="22"/>
          <w:color w:val="auto"/>
        </w:rPr>
        <w:t>”). All Active Government Contracts were legally awarded and are binding on the parties thereto, subject to applicable Equitable Principles. The Company has made available to Purchaser true, complete, and correct copies of all Active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2" w:name="page73"/>
    <w:bookmarkEnd w:id="72"/>
    <w:p>
      <w:pPr>
        <w:jc w:val="both"/>
        <w:ind w:firstLine="1288"/>
        <w:spacing w:after="0" w:line="238" w:lineRule="auto"/>
        <w:tabs>
          <w:tab w:leader="none" w:pos="202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3.13(b)</w:t>
      </w:r>
      <w:r>
        <w:rPr>
          <w:rFonts w:ascii="Arial" w:cs="Arial" w:eastAsia="Arial" w:hAnsi="Arial"/>
          <w:sz w:val="22"/>
          <w:szCs w:val="22"/>
          <w:color w:val="auto"/>
        </w:rPr>
        <w:t xml:space="preserve"> of the Company Disclosure Schedule, during the past five (5) years, the Company has complied with all material terms and material conditions of (including all representations and certifications relating to) Government Contracts and Government Bids, including all applicable Laws or regulations incorporated therein.</w:t>
      </w:r>
    </w:p>
    <w:p>
      <w:pPr>
        <w:spacing w:after="0" w:line="184" w:lineRule="exact"/>
        <w:rPr>
          <w:rFonts w:ascii="Arial" w:cs="Arial" w:eastAsia="Arial" w:hAnsi="Arial"/>
          <w:sz w:val="22"/>
          <w:szCs w:val="22"/>
          <w:color w:val="010000"/>
        </w:rPr>
      </w:pPr>
    </w:p>
    <w:p>
      <w:pPr>
        <w:jc w:val="both"/>
        <w:ind w:firstLine="1288"/>
        <w:spacing w:after="0" w:line="272" w:lineRule="auto"/>
        <w:tabs>
          <w:tab w:leader="none" w:pos="2076"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3.13(c)(i)</w:t>
      </w:r>
      <w:r>
        <w:rPr>
          <w:rFonts w:ascii="Arial" w:cs="Arial" w:eastAsia="Arial" w:hAnsi="Arial"/>
          <w:sz w:val="19"/>
          <w:szCs w:val="19"/>
          <w:color w:val="auto"/>
        </w:rPr>
        <w:t xml:space="preserve"> of the Company Disclosure Schedule, during the past five (5) years, (A) no Governmental Authority nor any prime contractor or higher-tier subcontractor under any Government Contracts or Government Bids has notified the Company in writing of any actual or alleged violation or breach of any statute, regulation, representation, certification, disclosure obligation or contract term; (B) the Company has received no notice of termination for convenience, cause or default, cure notice, show cause notice, or stop work order relating to any Government Contract, other than with respect to any ordinary course of business termination for convenience due to a change in scope of a Government Contract; and (C) no Government Contract of the Company has been terminated for convenience, default or cause, other than with respect to any ordinary course of business termination for convenience due to a change in scope of a Government Contract. To the Knowledge of the Company, no facts or circumstances exist upon which a termination for convenience, default, or cause may be based in the future. Except as set forth in </w:t>
      </w:r>
      <w:r>
        <w:rPr>
          <w:rFonts w:ascii="Arial" w:cs="Arial" w:eastAsia="Arial" w:hAnsi="Arial"/>
          <w:sz w:val="19"/>
          <w:szCs w:val="19"/>
          <w:u w:val="single" w:color="auto"/>
          <w:color w:val="auto"/>
        </w:rPr>
        <w:t>Section 3.13(c)(ii)</w:t>
      </w:r>
      <w:r>
        <w:rPr>
          <w:rFonts w:ascii="Arial" w:cs="Arial" w:eastAsia="Arial" w:hAnsi="Arial"/>
          <w:sz w:val="19"/>
          <w:szCs w:val="19"/>
          <w:color w:val="auto"/>
        </w:rPr>
        <w:t xml:space="preserve"> of the Company Disclosure Schedule, the execution, delivery or performance of this Agreement will not result in a material violation, breach or default under any Active Government Contract.</w:t>
      </w:r>
    </w:p>
    <w:p>
      <w:pPr>
        <w:spacing w:after="0" w:line="155" w:lineRule="exact"/>
        <w:rPr>
          <w:rFonts w:ascii="Arial" w:cs="Arial" w:eastAsia="Arial" w:hAnsi="Arial"/>
          <w:sz w:val="19"/>
          <w:szCs w:val="19"/>
          <w:color w:val="010000"/>
        </w:rPr>
      </w:pPr>
    </w:p>
    <w:p>
      <w:pPr>
        <w:jc w:val="both"/>
        <w:ind w:firstLine="1288"/>
        <w:spacing w:after="0" w:line="243" w:lineRule="auto"/>
        <w:tabs>
          <w:tab w:leader="none" w:pos="2169"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3.13(d)</w:t>
      </w:r>
      <w:r>
        <w:rPr>
          <w:rFonts w:ascii="Arial" w:cs="Arial" w:eastAsia="Arial" w:hAnsi="Arial"/>
          <w:sz w:val="21"/>
          <w:szCs w:val="21"/>
          <w:color w:val="auto"/>
        </w:rPr>
        <w:t xml:space="preserve"> of the Company Disclosure Schedule, (i) the Company is not a party to any material outstanding claims, requests for equitable adjustment, or Contract disputes relating to any Government Contract or Government Bid under the Contract Disputes Act or any other applicable Law and; (ii) during the past five (5) years, the Company has not received, and to the Knowledge of Company, no Governmental Authority, prime contractor or higher-tier subcontractor has threatened to assert, any claim, request for equitable adjustment, or dispute against the Company relating to any Government Contract or Government Bid where the amount in controversy exceeds or is expected to exceed Twenty-Five Thousand Dollars ($25,000); (iii) to the Knowledge of the Company, there are no facts or circumstances upon which such a request for equitable adjustment, claim, or dispute in clauses (i) or (ii) may be based in the future; (iv) during the past five (5) years, the Company has not received notice of any cost disallowance, withholding, offset, overpayment or credit in excess of Twenty-Five Thousand Dollars ($25,000) requested by, or on behalf of, a Governmental Authority; and (v) during the past five (5) years, all invoices and claims for payment, reimbursement or adjustment submitted by the Company related to a Government Contract were current, accurate and complete in all material respects as of their respective submission dates.</w:t>
      </w:r>
    </w:p>
    <w:p>
      <w:pPr>
        <w:spacing w:after="0" w:line="193" w:lineRule="exact"/>
        <w:rPr>
          <w:rFonts w:ascii="Arial" w:cs="Arial" w:eastAsia="Arial" w:hAnsi="Arial"/>
          <w:sz w:val="21"/>
          <w:szCs w:val="21"/>
          <w:color w:val="010000"/>
        </w:rPr>
      </w:pPr>
    </w:p>
    <w:p>
      <w:pPr>
        <w:jc w:val="both"/>
        <w:ind w:firstLine="1288"/>
        <w:spacing w:after="0" w:line="235" w:lineRule="auto"/>
        <w:tabs>
          <w:tab w:leader="none" w:pos="2049"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In the past five (5) years, neither the Company nor any of its Principals (as defined in Federal Acquisition Regulation (“</w:t>
      </w:r>
      <w:r>
        <w:rPr>
          <w:rFonts w:ascii="Arial" w:cs="Arial" w:eastAsia="Arial" w:hAnsi="Arial"/>
          <w:sz w:val="22"/>
          <w:szCs w:val="22"/>
          <w:u w:val="single" w:color="auto"/>
          <w:color w:val="auto"/>
        </w:rPr>
        <w:t>FAR</w:t>
      </w:r>
      <w:r>
        <w:rPr>
          <w:rFonts w:ascii="Arial" w:cs="Arial" w:eastAsia="Arial" w:hAnsi="Arial"/>
          <w:sz w:val="22"/>
          <w:szCs w:val="22"/>
          <w:color w:val="auto"/>
        </w:rPr>
        <w:t>”) 2.101 and 52.209-5), nor any of their respective employees, are or have been debarred, suspended, proposed for suspension or debarment, declared ineligible (as defined in FAR 2.101), received a notice of determination of non-responsibility or determined non-responsible by any Governmental Authority, or otherwise excluded from holding, performing, or bidding on any Government Contract.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3" w:name="page74"/>
    <w:bookmarkEnd w:id="73"/>
    <w:p>
      <w:pPr>
        <w:jc w:val="both"/>
        <w:spacing w:after="0" w:line="287" w:lineRule="auto"/>
        <w:rPr>
          <w:sz w:val="20"/>
          <w:szCs w:val="20"/>
          <w:color w:val="auto"/>
        </w:rPr>
      </w:pPr>
      <w:r>
        <w:rPr>
          <w:rFonts w:ascii="Arial" w:cs="Arial" w:eastAsia="Arial" w:hAnsi="Arial"/>
          <w:sz w:val="19"/>
          <w:szCs w:val="19"/>
          <w:color w:val="auto"/>
        </w:rPr>
        <w:t>suspension, debarment, ineligibility (as defined in FAR 2.101), non-responsibility proceeding, or other exclusion action has been commenced or threatened against the Company or any of its Principals and, to the Knowledge of the Company, there are no facts or circumstances that would be reasonably likely to result in a suspension, debarment proceeding or ineligibility on the part of the Company or any of its Principals.</w:t>
      </w:r>
    </w:p>
    <w:p>
      <w:pPr>
        <w:spacing w:after="0" w:line="143" w:lineRule="exact"/>
        <w:rPr>
          <w:sz w:val="20"/>
          <w:szCs w:val="20"/>
          <w:color w:val="auto"/>
        </w:rPr>
      </w:pPr>
    </w:p>
    <w:p>
      <w:pPr>
        <w:jc w:val="both"/>
        <w:ind w:firstLine="1288"/>
        <w:spacing w:after="0" w:line="274" w:lineRule="auto"/>
        <w:tabs>
          <w:tab w:leader="none" w:pos="2011"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3.13(f)</w:t>
      </w:r>
      <w:r>
        <w:rPr>
          <w:rFonts w:ascii="Arial" w:cs="Arial" w:eastAsia="Arial" w:hAnsi="Arial"/>
          <w:sz w:val="19"/>
          <w:szCs w:val="19"/>
          <w:color w:val="auto"/>
        </w:rPr>
        <w:t xml:space="preserve"> of the Company Disclosure Schedule, during the past five (5) years, (i) the Company has not received written notice of any pending or threatened investigation, prosecution, administrative proceeding or audit (other than pre-award, post-award and indirect rate audits by the Defense Contract Audit Agency or the Defense Contract Management Agency or other Governmental Authorities performing a similar function that have not resulted in any investigation or claim for fraud or defective pricing or resulted in any penalty or assessment) related to any Government Contract or Government Bid of the Company; and (ii) the Company has not conducted or initiated any material internal investigation of its own initiative or at the request of any Governmental Authority, prime contractor or higher-tier subcontractor related to any Government Contract or Government Bid of Company.</w:t>
      </w:r>
    </w:p>
    <w:p>
      <w:pPr>
        <w:spacing w:after="0" w:line="158" w:lineRule="exact"/>
        <w:rPr>
          <w:rFonts w:ascii="Arial" w:cs="Arial" w:eastAsia="Arial" w:hAnsi="Arial"/>
          <w:sz w:val="19"/>
          <w:szCs w:val="19"/>
          <w:color w:val="010000"/>
        </w:rPr>
      </w:pPr>
    </w:p>
    <w:p>
      <w:pPr>
        <w:jc w:val="both"/>
        <w:ind w:firstLine="1288"/>
        <w:spacing w:after="0" w:line="279" w:lineRule="auto"/>
        <w:tabs>
          <w:tab w:leader="none" w:pos="2020"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3.13(g)</w:t>
      </w:r>
      <w:r>
        <w:rPr>
          <w:rFonts w:ascii="Arial" w:cs="Arial" w:eastAsia="Arial" w:hAnsi="Arial"/>
          <w:sz w:val="19"/>
          <w:szCs w:val="19"/>
          <w:color w:val="auto"/>
        </w:rPr>
        <w:t xml:space="preserve"> of the Company Disclosure Schedule, during the past five (5) years, the Company has not made any disclosure in writing to any Governmental Authority or other customer or prime contractor or higher-tier subcontractor related to any suspected or alleged violation of an applicable Law or requirement of a Government Contract or Government Bid by the Company or any of its Principals relating to a Government Contract or Government Bid nor is the Company required to make any such disclosure to a Governmental Authority.</w:t>
      </w:r>
    </w:p>
    <w:p>
      <w:pPr>
        <w:spacing w:after="0" w:line="150" w:lineRule="exact"/>
        <w:rPr>
          <w:rFonts w:ascii="Arial" w:cs="Arial" w:eastAsia="Arial" w:hAnsi="Arial"/>
          <w:sz w:val="19"/>
          <w:szCs w:val="19"/>
          <w:color w:val="010000"/>
        </w:rPr>
      </w:pPr>
    </w:p>
    <w:p>
      <w:pPr>
        <w:jc w:val="both"/>
        <w:ind w:firstLine="1288"/>
        <w:spacing w:after="0" w:line="272" w:lineRule="auto"/>
        <w:tabs>
          <w:tab w:leader="none" w:pos="2182" w:val="left"/>
        </w:tabs>
        <w:numPr>
          <w:ilvl w:val="0"/>
          <w:numId w:val="55"/>
        </w:numPr>
        <w:rPr>
          <w:rFonts w:ascii="Arial" w:cs="Arial" w:eastAsia="Arial" w:hAnsi="Arial"/>
          <w:sz w:val="19"/>
          <w:szCs w:val="19"/>
          <w:color w:val="010000"/>
        </w:rPr>
      </w:pPr>
      <w:r>
        <w:rPr>
          <w:rFonts w:ascii="Arial" w:cs="Arial" w:eastAsia="Arial" w:hAnsi="Arial"/>
          <w:sz w:val="19"/>
          <w:szCs w:val="19"/>
          <w:u w:val="single" w:color="auto"/>
          <w:color w:val="auto"/>
        </w:rPr>
        <w:t>Section 3.13(h)</w:t>
      </w:r>
      <w:r>
        <w:rPr>
          <w:rFonts w:ascii="Arial" w:cs="Arial" w:eastAsia="Arial" w:hAnsi="Arial"/>
          <w:sz w:val="19"/>
          <w:szCs w:val="19"/>
          <w:color w:val="auto"/>
        </w:rPr>
        <w:t xml:space="preserve"> of the Company Disclosure Schedule sets forth all facility security clearances held by the Company that the Company is permitted by Law to disclose. The Company and its employees who hold or have held security clearances are, and have been for the past five (5) years, in compliance in all material respects with applicable national security requirements, including the National Industrial Security Program Operating Manual (“</w:t>
      </w:r>
      <w:r>
        <w:rPr>
          <w:rFonts w:ascii="Arial" w:cs="Arial" w:eastAsia="Arial" w:hAnsi="Arial"/>
          <w:sz w:val="19"/>
          <w:szCs w:val="19"/>
          <w:u w:val="single" w:color="auto"/>
          <w:color w:val="auto"/>
        </w:rPr>
        <w:t>NISPOM</w:t>
      </w:r>
      <w:r>
        <w:rPr>
          <w:rFonts w:ascii="Arial" w:cs="Arial" w:eastAsia="Arial" w:hAnsi="Arial"/>
          <w:sz w:val="19"/>
          <w:szCs w:val="19"/>
          <w:color w:val="auto"/>
        </w:rPr>
        <w:t>”) and all applicable requirements under each Government Contract to which the Company is a party relating to the safeguarding of and access to classified information. No termination of any facility or personnel clearances held by the Company or its employees has occurred or has, to the Knowledge of the Company, been threatened in the past five (5) years. No facts exist which are reasonably expected to give rise to the revocation, invalidation or suspension of any facility security clearance held by the Company. In the past five (5) years, the Company has not received a rating less than “Satisfactory” from any inspection or audit by the Defense Counterintelligence and Security Agency (the “</w:t>
      </w:r>
      <w:r>
        <w:rPr>
          <w:rFonts w:ascii="Arial" w:cs="Arial" w:eastAsia="Arial" w:hAnsi="Arial"/>
          <w:sz w:val="19"/>
          <w:szCs w:val="19"/>
          <w:u w:val="single" w:color="auto"/>
          <w:color w:val="auto"/>
        </w:rPr>
        <w:t>DCSA</w:t>
      </w:r>
      <w:r>
        <w:rPr>
          <w:rFonts w:ascii="Arial" w:cs="Arial" w:eastAsia="Arial" w:hAnsi="Arial"/>
          <w:sz w:val="19"/>
          <w:szCs w:val="19"/>
          <w:color w:val="auto"/>
        </w:rPr>
        <w:t>”) of the U.S. Department of Defense, and there has been no unauthorized disclosure of classified information by employees of the Company.</w:t>
      </w:r>
    </w:p>
    <w:p>
      <w:pPr>
        <w:spacing w:after="0" w:line="155" w:lineRule="exact"/>
        <w:rPr>
          <w:rFonts w:ascii="Arial" w:cs="Arial" w:eastAsia="Arial" w:hAnsi="Arial"/>
          <w:sz w:val="19"/>
          <w:szCs w:val="19"/>
          <w:color w:val="010000"/>
        </w:rPr>
      </w:pPr>
    </w:p>
    <w:p>
      <w:pPr>
        <w:jc w:val="both"/>
        <w:ind w:firstLine="1288"/>
        <w:spacing w:after="0"/>
        <w:tabs>
          <w:tab w:leader="none" w:pos="2053"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3.13(i)</w:t>
      </w:r>
      <w:r>
        <w:rPr>
          <w:rFonts w:ascii="Arial" w:cs="Arial" w:eastAsia="Arial" w:hAnsi="Arial"/>
          <w:sz w:val="22"/>
          <w:szCs w:val="22"/>
          <w:color w:val="auto"/>
        </w:rPr>
        <w:t xml:space="preserve"> of the Company Disclosure Schedule, during the past five (5) years, the Company has not received notice of any adverse past performance evaluations or ratings in connection with any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4" w:name="page75"/>
    <w:bookmarkEnd w:id="74"/>
    <w:p>
      <w:pPr>
        <w:jc w:val="both"/>
        <w:ind w:firstLine="1288"/>
        <w:spacing w:after="0" w:line="235" w:lineRule="auto"/>
        <w:tabs>
          <w:tab w:leader="none" w:pos="2134"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All invoices and claims for payment, reimbursement or adjustment submitted by the Company in connection with a Government Contract during the last five (5) years were current, accurate, and complete in all material respects as of their respective submission dates and the Company has complied with all obligations to update such submissions. During the last five (5) years, none of the accounting or business systems or practices and procedures of the Company have been found to be non-compliant or inadequate by any Governmental Authority.</w:t>
      </w:r>
    </w:p>
    <w:p>
      <w:pPr>
        <w:spacing w:after="0" w:line="187" w:lineRule="exact"/>
        <w:rPr>
          <w:rFonts w:ascii="Arial" w:cs="Arial" w:eastAsia="Arial" w:hAnsi="Arial"/>
          <w:sz w:val="22"/>
          <w:szCs w:val="22"/>
          <w:color w:val="010000"/>
        </w:rPr>
      </w:pPr>
    </w:p>
    <w:p>
      <w:pPr>
        <w:jc w:val="both"/>
        <w:ind w:firstLine="1288"/>
        <w:spacing w:after="0" w:line="277" w:lineRule="auto"/>
        <w:tabs>
          <w:tab w:leader="none" w:pos="1980"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During the past five (5) years, the Company has complied with all material Government Contracts requirements regarding the utilization of small or other disadvantaged business subcontractors and has not represented itself in any Government Bid as a veteran-owned small business, service-disabled veteran-owned small business, HUBZone small business, small disadvantaged business, or women-owned small business. The Company has not been awarded any Active Government Contract on the basis of its small business status, and has not submitted any Active Government Bid in which the Company is seeking an award based on its status as a small business.</w:t>
      </w:r>
    </w:p>
    <w:p>
      <w:pPr>
        <w:spacing w:after="0" w:line="151" w:lineRule="exact"/>
        <w:rPr>
          <w:rFonts w:ascii="Arial" w:cs="Arial" w:eastAsia="Arial" w:hAnsi="Arial"/>
          <w:sz w:val="19"/>
          <w:szCs w:val="19"/>
          <w:color w:val="010000"/>
        </w:rPr>
      </w:pPr>
    </w:p>
    <w:p>
      <w:pPr>
        <w:jc w:val="both"/>
        <w:ind w:firstLine="1288"/>
        <w:spacing w:after="0" w:line="279" w:lineRule="auto"/>
        <w:tabs>
          <w:tab w:leader="none" w:pos="2215"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During the past five (5) years, the Company has not received, with respect to any Government Contract or Government Bid, any notice from a Governmental Authority raising questions or concerns regarding the possibility of actual or potential material organizational conflicts of interest (as defined in 48 C.F.R. §9.501) concerns or has been required to implement any organizational conflict of interest mitigation plan, or has agreed or undertaken to refrain from any material business activity for purposes relating to actual or perceived organizational conflicts of interest.</w:t>
      </w:r>
    </w:p>
    <w:p>
      <w:pPr>
        <w:spacing w:after="0" w:line="150"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3.14</w:t>
      </w:r>
      <w:r>
        <w:rPr>
          <w:sz w:val="20"/>
          <w:szCs w:val="20"/>
          <w:color w:val="auto"/>
        </w:rPr>
        <w:tab/>
      </w:r>
      <w:r>
        <w:rPr>
          <w:rFonts w:ascii="Arial" w:cs="Arial" w:eastAsia="Arial" w:hAnsi="Arial"/>
          <w:sz w:val="19"/>
          <w:szCs w:val="19"/>
          <w:u w:val="single" w:color="auto"/>
          <w:color w:val="auto"/>
        </w:rPr>
        <w:t>Intellectual Property and Data Privacy</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71" w:lineRule="auto"/>
        <w:tabs>
          <w:tab w:leader="none" w:pos="2319" w:val="left"/>
        </w:tabs>
        <w:numPr>
          <w:ilvl w:val="0"/>
          <w:numId w:val="57"/>
        </w:numPr>
        <w:rPr>
          <w:rFonts w:ascii="Arial" w:cs="Arial" w:eastAsia="Arial" w:hAnsi="Arial"/>
          <w:sz w:val="19"/>
          <w:szCs w:val="19"/>
          <w:color w:val="010000"/>
        </w:rPr>
      </w:pP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of the Company Disclosure Schedule sets forth a list of (i) all registrations and applications for the registration with a Governmental Authority of Intellectual Property owned by the Company (collectively, “</w:t>
      </w:r>
      <w:r>
        <w:rPr>
          <w:rFonts w:ascii="Arial" w:cs="Arial" w:eastAsia="Arial" w:hAnsi="Arial"/>
          <w:sz w:val="19"/>
          <w:szCs w:val="19"/>
          <w:u w:val="single" w:color="auto"/>
          <w:color w:val="auto"/>
        </w:rPr>
        <w:t>Registered Intellectual Property</w:t>
      </w:r>
      <w:r>
        <w:rPr>
          <w:rFonts w:ascii="Arial" w:cs="Arial" w:eastAsia="Arial" w:hAnsi="Arial"/>
          <w:sz w:val="19"/>
          <w:szCs w:val="19"/>
          <w:color w:val="auto"/>
        </w:rPr>
        <w:t xml:space="preserve">”) and (ii) all domain names that are owned by the Company. All of the registrations and applications set forth on </w:t>
      </w:r>
      <w:r>
        <w:rPr>
          <w:rFonts w:ascii="Arial" w:cs="Arial" w:eastAsia="Arial" w:hAnsi="Arial"/>
          <w:sz w:val="19"/>
          <w:szCs w:val="19"/>
          <w:u w:val="single" w:color="auto"/>
          <w:color w:val="auto"/>
        </w:rPr>
        <w:t>Section 3.14(a)(i)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3.14(a)(ii)</w:t>
      </w:r>
      <w:r>
        <w:rPr>
          <w:rFonts w:ascii="Arial" w:cs="Arial" w:eastAsia="Arial" w:hAnsi="Arial"/>
          <w:sz w:val="19"/>
          <w:szCs w:val="19"/>
          <w:color w:val="auto"/>
        </w:rPr>
        <w:t xml:space="preserve"> of the Company Disclosure Schedule are valid and in full force and effect, and have not been cancelled, expired, abandoned or otherwise terminated, and payment of all renewal and maintenance fees in respect thereof, and all filings related thereto, have been duly made. Except as set forth on </w:t>
      </w:r>
      <w:r>
        <w:rPr>
          <w:rFonts w:ascii="Arial" w:cs="Arial" w:eastAsia="Arial" w:hAnsi="Arial"/>
          <w:sz w:val="19"/>
          <w:szCs w:val="19"/>
          <w:u w:val="single" w:color="auto"/>
          <w:color w:val="auto"/>
        </w:rPr>
        <w:t>Section 3.14(a)(iii)</w:t>
      </w:r>
      <w:r>
        <w:rPr>
          <w:rFonts w:ascii="Arial" w:cs="Arial" w:eastAsia="Arial" w:hAnsi="Arial"/>
          <w:sz w:val="19"/>
          <w:szCs w:val="19"/>
          <w:color w:val="auto"/>
        </w:rPr>
        <w:t xml:space="preserve"> of the Company Disclosure Schedule, the Company owns and possesses all right, title and interest in and to each item of Intellectual Property owned by the Company, and has the valid and enforceable right to use all other material Intellectual Property used in, held for use in, or necessary for the Company’s Business as currently conducted, in each case free and clear of all Liens, except Permitted Liens. Except as set forth on </w:t>
      </w:r>
      <w:r>
        <w:rPr>
          <w:rFonts w:ascii="Arial" w:cs="Arial" w:eastAsia="Arial" w:hAnsi="Arial"/>
          <w:sz w:val="19"/>
          <w:szCs w:val="19"/>
          <w:u w:val="single" w:color="auto"/>
          <w:color w:val="auto"/>
        </w:rPr>
        <w:t>Section 3.14(a)(iv)</w:t>
      </w:r>
      <w:r>
        <w:rPr>
          <w:rFonts w:ascii="Arial" w:cs="Arial" w:eastAsia="Arial" w:hAnsi="Arial"/>
          <w:sz w:val="19"/>
          <w:szCs w:val="19"/>
          <w:color w:val="auto"/>
        </w:rPr>
        <w:t xml:space="preserve"> of the Company Disclosure Schedule, there are no annuities, payments, fees, responses to office actions or other filings required to be made and having a due date with respect to any Registered Intellectual Property or domain names within ninety (90) days after the date of this Agreement.</w:t>
      </w:r>
    </w:p>
    <w:p>
      <w:pPr>
        <w:spacing w:after="0" w:line="164" w:lineRule="exact"/>
        <w:rPr>
          <w:rFonts w:ascii="Arial" w:cs="Arial" w:eastAsia="Arial" w:hAnsi="Arial"/>
          <w:sz w:val="19"/>
          <w:szCs w:val="19"/>
          <w:color w:val="010000"/>
        </w:rPr>
      </w:pPr>
    </w:p>
    <w:p>
      <w:pPr>
        <w:jc w:val="both"/>
        <w:ind w:firstLine="1288"/>
        <w:spacing w:after="0"/>
        <w:tabs>
          <w:tab w:leader="none" w:pos="2169"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3.14(b)</w:t>
      </w:r>
      <w:r>
        <w:rPr>
          <w:rFonts w:ascii="Arial" w:cs="Arial" w:eastAsia="Arial" w:hAnsi="Arial"/>
          <w:sz w:val="22"/>
          <w:szCs w:val="22"/>
          <w:color w:val="auto"/>
        </w:rPr>
        <w:t xml:space="preserve"> of the Company Disclosure Schedule, (i) the Company does not, in the current operation of the Business, infringe, misappropriate, or otherwise violate the Intellectual Property of any third party; (ii)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5" w:name="page76"/>
    <w:bookmarkEnd w:id="75"/>
    <w:p>
      <w:pPr>
        <w:jc w:val="both"/>
        <w:spacing w:after="0" w:line="274" w:lineRule="auto"/>
        <w:rPr>
          <w:sz w:val="20"/>
          <w:szCs w:val="20"/>
          <w:color w:val="auto"/>
        </w:rPr>
      </w:pPr>
      <w:r>
        <w:rPr>
          <w:rFonts w:ascii="Arial" w:cs="Arial" w:eastAsia="Arial" w:hAnsi="Arial"/>
          <w:sz w:val="19"/>
          <w:szCs w:val="19"/>
          <w:color w:val="auto"/>
        </w:rPr>
        <w:t>January 1, 2014, the Company has not received any written notice of any action asserting that any such infringement, misappropriation, or other violation has occurred; and (iii) since January 1, 2014, the Company has not received any written request or invitation to take a license under any Intellectual Property owned by any third party. There is no pending claim by any third party contesting the ownership, use or practice, right to use or practice, right to register, registration, priority, duration, validity, or enforceability of, or alleging misuse of, the Registered Intellectual Property or any other Intellectual Property used in or held for use in the Company’s Business as currently conducted (including any litigation, interference, derivation, post-grant review, inter partes review, reissue, reexamination, opposition, cancellation, or similar action), and no such claim is or has been threatened in writing since January 1, 2014.</w:t>
      </w:r>
    </w:p>
    <w:p>
      <w:pPr>
        <w:spacing w:after="0" w:line="158" w:lineRule="exact"/>
        <w:rPr>
          <w:sz w:val="20"/>
          <w:szCs w:val="20"/>
          <w:color w:val="auto"/>
        </w:rPr>
      </w:pPr>
    </w:p>
    <w:p>
      <w:pPr>
        <w:jc w:val="both"/>
        <w:ind w:firstLine="1288"/>
        <w:spacing w:after="0" w:line="275" w:lineRule="auto"/>
        <w:tabs>
          <w:tab w:leader="none" w:pos="2103"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3.14(c)(i)</w:t>
      </w:r>
      <w:r>
        <w:rPr>
          <w:rFonts w:ascii="Arial" w:cs="Arial" w:eastAsia="Arial" w:hAnsi="Arial"/>
          <w:sz w:val="19"/>
          <w:szCs w:val="19"/>
          <w:color w:val="auto"/>
        </w:rPr>
        <w:t xml:space="preserve"> of the Company Disclosure Schedule, to the Knowledge of the Company, (x) no third party is infringing, misappropriating or otherwise violating any Intellectual Property owned by the Company that is material to the conduct of the Company’s Business and (y) the Company has not delivered written notice of a claim for any such infringement, misappropriation or other violation to a third party since January 1, 2014. Except as set forth in </w:t>
      </w:r>
      <w:r>
        <w:rPr>
          <w:rFonts w:ascii="Arial" w:cs="Arial" w:eastAsia="Arial" w:hAnsi="Arial"/>
          <w:sz w:val="19"/>
          <w:szCs w:val="19"/>
          <w:u w:val="single" w:color="auto"/>
          <w:color w:val="auto"/>
        </w:rPr>
        <w:t>Section 3.14(c)(ii)</w:t>
      </w:r>
      <w:r>
        <w:rPr>
          <w:rFonts w:ascii="Arial" w:cs="Arial" w:eastAsia="Arial" w:hAnsi="Arial"/>
          <w:sz w:val="19"/>
          <w:szCs w:val="19"/>
          <w:color w:val="auto"/>
        </w:rPr>
        <w:t xml:space="preserve"> of the Company Disclosure Schedule, to the Knowledge of the Company, there has been no unauthorized use or disclosure of any material Company trade secret and no facts or circumstances exist that would indicate that there has been such unauthorized use or disclosure of any such Company trade secret.</w:t>
      </w:r>
    </w:p>
    <w:p>
      <w:pPr>
        <w:spacing w:after="0" w:line="157" w:lineRule="exact"/>
        <w:rPr>
          <w:rFonts w:ascii="Arial" w:cs="Arial" w:eastAsia="Arial" w:hAnsi="Arial"/>
          <w:sz w:val="19"/>
          <w:szCs w:val="19"/>
          <w:color w:val="010000"/>
        </w:rPr>
      </w:pPr>
    </w:p>
    <w:p>
      <w:pPr>
        <w:jc w:val="both"/>
        <w:ind w:firstLine="1288"/>
        <w:spacing w:after="0" w:line="273" w:lineRule="auto"/>
        <w:tabs>
          <w:tab w:leader="none" w:pos="2047"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The Computer Systems are in good working order and operate and perform materially in accordance with their applicable specifications and as required in connection with the operation of the Business as currently conducted. The Computer Systems owned or controlled and operated by the Company are sufficient to operate the Business as currently conducted. The Company maintains reasonable and appropriate administrative, physical and technical security controls to safeguard the Computer Systems against disruption and unauthorized access or use, including employing commercially reasonable security, maintenance, disaster recovery, redundancy, backup, archiving and virus or malicious device scanning/protection measures. In the past five (5) years, there have been no material breaches of the Company’s security procedures or unauthorized access, use, disclosure, modification or destruction of any of the Computer Systems or data contained in the Computer Systems. The Company has established one or more incident response plans to address any actual or threatened security incident or data breach.</w:t>
      </w:r>
    </w:p>
    <w:p>
      <w:pPr>
        <w:spacing w:after="0" w:line="155" w:lineRule="exact"/>
        <w:rPr>
          <w:rFonts w:ascii="Arial" w:cs="Arial" w:eastAsia="Arial" w:hAnsi="Arial"/>
          <w:sz w:val="19"/>
          <w:szCs w:val="19"/>
          <w:color w:val="010000"/>
        </w:rPr>
      </w:pPr>
    </w:p>
    <w:p>
      <w:pPr>
        <w:jc w:val="both"/>
        <w:ind w:firstLine="1288"/>
        <w:spacing w:after="0" w:line="238" w:lineRule="auto"/>
        <w:tabs>
          <w:tab w:leader="none" w:pos="1995"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None of the software owned by the Company is currently or was in the past distributed or used with any Publicly Available Software in a manner that would require that any Intellectual Property owned or used by the Company be dedicated to the public domain, disclosed, distributed in source code form or made available at no charge.</w:t>
      </w:r>
    </w:p>
    <w:p>
      <w:pPr>
        <w:spacing w:after="0" w:line="184" w:lineRule="exact"/>
        <w:rPr>
          <w:rFonts w:ascii="Arial" w:cs="Arial" w:eastAsia="Arial" w:hAnsi="Arial"/>
          <w:sz w:val="22"/>
          <w:szCs w:val="22"/>
          <w:color w:val="010000"/>
        </w:rPr>
      </w:pPr>
    </w:p>
    <w:p>
      <w:pPr>
        <w:jc w:val="both"/>
        <w:ind w:firstLine="1288"/>
        <w:spacing w:after="0"/>
        <w:tabs>
          <w:tab w:leader="none" w:pos="2119"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The Company is not a party to any escrow agreement pertaining to source code for software owned by the Company. The Company has not provided source code for any software owned by the Company to any third party.</w:t>
      </w:r>
    </w:p>
    <w:p>
      <w:pPr>
        <w:spacing w:after="0" w:line="186" w:lineRule="exact"/>
        <w:rPr>
          <w:rFonts w:ascii="Arial" w:cs="Arial" w:eastAsia="Arial" w:hAnsi="Arial"/>
          <w:sz w:val="22"/>
          <w:szCs w:val="22"/>
          <w:color w:val="010000"/>
        </w:rPr>
      </w:pPr>
    </w:p>
    <w:p>
      <w:pPr>
        <w:jc w:val="both"/>
        <w:ind w:firstLine="1288"/>
        <w:spacing w:after="0"/>
        <w:tabs>
          <w:tab w:leader="none" w:pos="2007"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Each current and former Company employee, contractor, director, manager, and officer who has participated in, been involved in, or who contributed to, the creation or development of any material Intellectual Property owned, or purported to be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6" w:name="page77"/>
    <w:bookmarkEnd w:id="76"/>
    <w:p>
      <w:pPr>
        <w:jc w:val="both"/>
        <w:spacing w:after="0" w:line="249" w:lineRule="auto"/>
        <w:rPr>
          <w:sz w:val="20"/>
          <w:szCs w:val="20"/>
          <w:color w:val="auto"/>
        </w:rPr>
      </w:pPr>
      <w:r>
        <w:rPr>
          <w:rFonts w:ascii="Arial" w:cs="Arial" w:eastAsia="Arial" w:hAnsi="Arial"/>
          <w:sz w:val="21"/>
          <w:szCs w:val="21"/>
          <w:color w:val="auto"/>
        </w:rPr>
        <w:t>by, the Company has executed a valid and enforceable written Intellectual Property assignment and confidentiality agreement for the sole and exclusive benefit of the Company in the form of (i) a present assignment of all rights, title and interests that such Person may have, may have had or may hereafter acquire in or to such Intellectual Property and a valid and enforceable waiver of any and all rights (including moral rights) that such Person may have therein and (ii) a nondisclosure agreement.</w:t>
      </w:r>
    </w:p>
    <w:p>
      <w:pPr>
        <w:spacing w:after="0" w:line="178" w:lineRule="exact"/>
        <w:rPr>
          <w:sz w:val="20"/>
          <w:szCs w:val="20"/>
          <w:color w:val="auto"/>
        </w:rPr>
      </w:pPr>
    </w:p>
    <w:p>
      <w:pPr>
        <w:jc w:val="both"/>
        <w:ind w:firstLine="1288"/>
        <w:spacing w:after="0" w:line="238" w:lineRule="auto"/>
        <w:tabs>
          <w:tab w:leader="none" w:pos="2088"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The Company has taken all commercially reasonable measures to protect the secrecy and value of the Company’s trade secrets and proprietary information. The Company has taken all commercially reasonable steps to maintain the validity and enforceability of all material Intellectual Property owned by the Company.</w:t>
      </w:r>
    </w:p>
    <w:p>
      <w:pPr>
        <w:spacing w:after="0" w:line="184" w:lineRule="exact"/>
        <w:rPr>
          <w:rFonts w:ascii="Arial" w:cs="Arial" w:eastAsia="Arial" w:hAnsi="Arial"/>
          <w:sz w:val="22"/>
          <w:szCs w:val="22"/>
          <w:color w:val="010000"/>
        </w:rPr>
      </w:pPr>
    </w:p>
    <w:p>
      <w:pPr>
        <w:jc w:val="both"/>
        <w:ind w:firstLine="1288"/>
        <w:spacing w:after="0" w:line="276" w:lineRule="auto"/>
        <w:tabs>
          <w:tab w:leader="none" w:pos="2269"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No restriction asserted by the Company on any Governmental Authority’s use or disclosure of any technical data or computer software has been finally adjudicated as unjustified or invalid.</w:t>
      </w:r>
    </w:p>
    <w:p>
      <w:pPr>
        <w:spacing w:after="0" w:line="1" w:lineRule="exact"/>
        <w:rPr>
          <w:rFonts w:ascii="Arial" w:cs="Arial" w:eastAsia="Arial" w:hAnsi="Arial"/>
          <w:sz w:val="19"/>
          <w:szCs w:val="19"/>
          <w:color w:val="010000"/>
        </w:rPr>
      </w:pPr>
    </w:p>
    <w:p>
      <w:pPr>
        <w:jc w:val="both"/>
        <w:ind w:firstLine="122"/>
        <w:spacing w:after="0" w:line="233" w:lineRule="auto"/>
        <w:rPr>
          <w:rFonts w:ascii="Arial" w:cs="Arial" w:eastAsia="Arial" w:hAnsi="Arial"/>
          <w:sz w:val="19"/>
          <w:szCs w:val="19"/>
          <w:color w:val="010000"/>
        </w:rPr>
      </w:pPr>
      <w:r>
        <w:rPr>
          <w:rFonts w:ascii="Arial" w:cs="Arial" w:eastAsia="Arial" w:hAnsi="Arial"/>
          <w:sz w:val="22"/>
          <w:szCs w:val="22"/>
          <w:color w:val="auto"/>
        </w:rPr>
        <w:t>There are no pending or, to the Knowledge of the Company, threatened pre-challenge requests for information, challenges, appeals, or other proceedings by any Governmental Authority related to the validity or justification for any restrictions asserted by the Company on such Governmental Authority’s use or disclosure of any technical data or computer software.</w:t>
      </w:r>
    </w:p>
    <w:p>
      <w:pPr>
        <w:spacing w:after="0" w:line="187" w:lineRule="exact"/>
        <w:rPr>
          <w:rFonts w:ascii="Arial" w:cs="Arial" w:eastAsia="Arial" w:hAnsi="Arial"/>
          <w:sz w:val="19"/>
          <w:szCs w:val="19"/>
          <w:color w:val="010000"/>
        </w:rPr>
      </w:pPr>
    </w:p>
    <w:p>
      <w:pPr>
        <w:jc w:val="both"/>
        <w:ind w:firstLine="1288"/>
        <w:spacing w:after="0" w:line="238" w:lineRule="auto"/>
        <w:tabs>
          <w:tab w:leader="none" w:pos="2215"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No restrictive marking applied by the Company to any technical data or computer software has been finally adjudicated as non-conforming. No Governmental Authority has notified the Company that any restrictive marking applied by the Company to any technical data or computer software is non-conforming.</w:t>
      </w:r>
    </w:p>
    <w:p>
      <w:pPr>
        <w:spacing w:after="0" w:line="184" w:lineRule="exact"/>
        <w:rPr>
          <w:rFonts w:ascii="Arial" w:cs="Arial" w:eastAsia="Arial" w:hAnsi="Arial"/>
          <w:sz w:val="22"/>
          <w:szCs w:val="22"/>
          <w:color w:val="010000"/>
        </w:rPr>
      </w:pPr>
    </w:p>
    <w:p>
      <w:pPr>
        <w:jc w:val="both"/>
        <w:ind w:firstLine="1288"/>
        <w:spacing w:after="0"/>
        <w:tabs>
          <w:tab w:leader="none" w:pos="2196"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All technical data and computer software delivered with less than unlimited rights pursuant to a Government Contract has been identified and marked in accordance with such Government Contract.</w:t>
      </w:r>
    </w:p>
    <w:p>
      <w:pPr>
        <w:spacing w:after="0" w:line="186" w:lineRule="exact"/>
        <w:rPr>
          <w:rFonts w:ascii="Arial" w:cs="Arial" w:eastAsia="Arial" w:hAnsi="Arial"/>
          <w:sz w:val="22"/>
          <w:szCs w:val="22"/>
          <w:color w:val="010000"/>
        </w:rPr>
      </w:pPr>
    </w:p>
    <w:p>
      <w:pPr>
        <w:jc w:val="both"/>
        <w:ind w:firstLine="1288"/>
        <w:spacing w:after="0"/>
        <w:tabs>
          <w:tab w:leader="none" w:pos="2323"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No Intellectual Property owned by the Company or used or held for use in the Company’s Business as currently conducted and as presently contemplated to be conducted has been delivered to any Governmental Authority with unlimited rights.</w:t>
      </w:r>
    </w:p>
    <w:p>
      <w:pPr>
        <w:spacing w:after="0" w:line="186" w:lineRule="exact"/>
        <w:rPr>
          <w:rFonts w:ascii="Arial" w:cs="Arial" w:eastAsia="Arial" w:hAnsi="Arial"/>
          <w:sz w:val="22"/>
          <w:szCs w:val="22"/>
          <w:color w:val="010000"/>
        </w:rPr>
      </w:pPr>
    </w:p>
    <w:p>
      <w:pPr>
        <w:jc w:val="both"/>
        <w:ind w:firstLine="1288"/>
        <w:spacing w:after="0" w:line="279" w:lineRule="auto"/>
        <w:tabs>
          <w:tab w:leader="none" w:pos="2094"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The Company is in compliance in all material respects with all Privacy and Security Laws and has implemented commercially reasonable policies, programs, and procedures (including administrative, technical, and physical safeguards): (i) to protect against unauthorized access, use, modification, and disclosure of and to protect the confidentiality, integrity, and security of, Personal Information and proprietary information in the Company’s possession, custody, or control; and (ii) as required in all material respects to comply with applicable Law, including any Privacy and Security Law.</w:t>
      </w:r>
    </w:p>
    <w:p>
      <w:pPr>
        <w:spacing w:after="0" w:line="150" w:lineRule="exact"/>
        <w:rPr>
          <w:rFonts w:ascii="Arial" w:cs="Arial" w:eastAsia="Arial" w:hAnsi="Arial"/>
          <w:sz w:val="19"/>
          <w:szCs w:val="19"/>
          <w:color w:val="010000"/>
        </w:rPr>
      </w:pPr>
    </w:p>
    <w:p>
      <w:pPr>
        <w:jc w:val="both"/>
        <w:ind w:firstLine="1288"/>
        <w:spacing w:after="0" w:line="282" w:lineRule="auto"/>
        <w:tabs>
          <w:tab w:leader="none" w:pos="2236"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In the past five (5) years, there has been no material data security breach of any Computer System or network, or unauthorized use or disclosure of any Personal Information, owned, used, stored, received, or controlled by, or on behalf of, the Company, including any unauthorized use or disclosure of Personal Information, that would constitute a breach for which notification to individuals and/or regulatory authorities is required under any applicable Privacy and Security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7" w:name="page78"/>
    <w:bookmarkEnd w:id="77"/>
    <w:p>
      <w:pPr>
        <w:jc w:val="both"/>
        <w:ind w:left="340" w:firstLine="1288"/>
        <w:spacing w:after="0" w:line="274" w:lineRule="auto"/>
        <w:tabs>
          <w:tab w:leader="none" w:pos="2428"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No Governmental Authority or any other Person has made any material claim (in the case of any other Person, in writing) or brought any material Legal Proceeding (including any investigation by any Governmental Authority for a violation of any Privacy and Security Law) relating to the Company’s information privacy or data security practices, including with respect to the access, disclosure or use of Personal Information or proprietary information maintained by, or on behalf of, the Company, and, to the Company’s Knowledge, no Governmental Authority or any other Person has threatened any such claim or Legal Proceeding or conducted any investigation or inquiry with respect thereto. Complete and accurate copies of any written complaints delivered to the Company during the past twelve (12) months alleging a violation of any Privacy and Security Law have been made available to Purchaser.</w:t>
      </w:r>
    </w:p>
    <w:p>
      <w:pPr>
        <w:spacing w:after="0" w:line="158" w:lineRule="exact"/>
        <w:rPr>
          <w:rFonts w:ascii="Arial" w:cs="Arial" w:eastAsia="Arial" w:hAnsi="Arial"/>
          <w:sz w:val="19"/>
          <w:szCs w:val="19"/>
          <w:color w:val="010000"/>
        </w:rPr>
      </w:pPr>
    </w:p>
    <w:p>
      <w:pPr>
        <w:jc w:val="both"/>
        <w:ind w:left="340" w:firstLine="1288"/>
        <w:spacing w:after="0" w:line="287" w:lineRule="auto"/>
        <w:tabs>
          <w:tab w:leader="none" w:pos="2630"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The Company’s past and present collection, use, retention, and dissemination of Personal Information is, and has been in the past, in compliance in all material respects with the terms of: (i) all Contracts to which the Company is a party relating to data privacy, security or breach notification; (ii) any applicable Law, including any Privacy and Security Law, or (iii) any written Company privacy policy.</w:t>
      </w:r>
    </w:p>
    <w:p>
      <w:pPr>
        <w:spacing w:after="0" w:line="142" w:lineRule="exact"/>
        <w:rPr>
          <w:rFonts w:ascii="Arial" w:cs="Arial" w:eastAsia="Arial" w:hAnsi="Arial"/>
          <w:sz w:val="19"/>
          <w:szCs w:val="19"/>
          <w:color w:val="010000"/>
        </w:rPr>
      </w:pPr>
    </w:p>
    <w:p>
      <w:pPr>
        <w:jc w:val="both"/>
        <w:ind w:left="340" w:firstLine="1288"/>
        <w:spacing w:after="0" w:line="236" w:lineRule="auto"/>
        <w:tabs>
          <w:tab w:leader="none" w:pos="2617"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3.14(q)</w:t>
      </w:r>
      <w:r>
        <w:rPr>
          <w:rFonts w:ascii="Arial" w:cs="Arial" w:eastAsia="Arial" w:hAnsi="Arial"/>
          <w:sz w:val="22"/>
          <w:szCs w:val="22"/>
          <w:color w:val="auto"/>
        </w:rPr>
        <w:t xml:space="preserve"> of the Company Disclosure Schedule, the Company has required and requires all Persons to which it provided or provides access to Personal Information to maintain the privacy and security of such information, including by contractually obligating such Persons to protect such information from unauthorized access by, or disclosure to, any unauthorized Persons.</w:t>
      </w:r>
    </w:p>
    <w:p>
      <w:pPr>
        <w:spacing w:after="0" w:line="187" w:lineRule="exact"/>
        <w:rPr>
          <w:rFonts w:ascii="Arial" w:cs="Arial" w:eastAsia="Arial" w:hAnsi="Arial"/>
          <w:sz w:val="22"/>
          <w:szCs w:val="22"/>
          <w:color w:val="010000"/>
        </w:rPr>
      </w:pPr>
    </w:p>
    <w:p>
      <w:pPr>
        <w:jc w:val="both"/>
        <w:ind w:left="340" w:firstLine="1288"/>
        <w:spacing w:after="0" w:line="234" w:lineRule="auto"/>
        <w:tabs>
          <w:tab w:leader="none" w:pos="2581"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The execution, delivery and performance of the Transaction Agreements and the consummation of the Transaction, including any transfer of Personal Information resulting from the Transaction will not materially violate any Privacy and Security Law as that Law currently exists or as it existed at any time during which any Personal Information was collected or obtained by or on behalf of the Company, or any other privacy and data security requirements imposed on the Company under any Contracts. At the Closing, the Company will continue to have the right to use such Personal Information on terms and conditions identical to those on which the Company had the right to use such Personal Information immediately prior to the Closing.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3.15</w:t>
      </w:r>
      <w:r>
        <w:rPr>
          <w:sz w:val="20"/>
          <w:szCs w:val="20"/>
          <w:color w:val="auto"/>
        </w:rPr>
        <w:tab/>
      </w:r>
      <w:r>
        <w:rPr>
          <w:rFonts w:ascii="Arial" w:cs="Arial" w:eastAsia="Arial" w:hAnsi="Arial"/>
          <w:sz w:val="19"/>
          <w:szCs w:val="19"/>
          <w:u w:val="single" w:color="auto"/>
          <w:color w:val="auto"/>
        </w:rPr>
        <w:t>Trade Compliance Laws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3.15 </w:t>
      </w:r>
      <w:r>
        <w:rPr>
          <w:rFonts w:ascii="Arial" w:cs="Arial" w:eastAsia="Arial" w:hAnsi="Arial"/>
          <w:sz w:val="19"/>
          <w:szCs w:val="19"/>
          <w:color w:val="auto"/>
        </w:rPr>
        <w:t>of the Company Disclosure Schedule:</w:t>
      </w:r>
    </w:p>
    <w:p>
      <w:pPr>
        <w:spacing w:after="0" w:line="8" w:lineRule="exact"/>
        <w:rPr>
          <w:sz w:val="20"/>
          <w:szCs w:val="20"/>
          <w:color w:val="auto"/>
        </w:rPr>
      </w:pPr>
    </w:p>
    <w:p>
      <w:pPr>
        <w:jc w:val="both"/>
        <w:ind w:firstLine="8"/>
        <w:spacing w:after="0" w:line="275" w:lineRule="auto"/>
        <w:tabs>
          <w:tab w:leader="none" w:pos="317"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the past five (5) years, the Company has been in compliance in all material respects with all applicable statutory and regulatory requirements of the United States and other jurisdictions to the extent applicable to its operations related to export controls, economic sanctions, trade embargoes, imports of goods and payment of customs duties and fees, and anti-boycott compliance (collectively, the “</w:t>
      </w:r>
      <w:r>
        <w:rPr>
          <w:rFonts w:ascii="Arial" w:cs="Arial" w:eastAsia="Arial" w:hAnsi="Arial"/>
          <w:sz w:val="19"/>
          <w:szCs w:val="19"/>
          <w:u w:val="single" w:color="auto"/>
          <w:color w:val="auto"/>
        </w:rPr>
        <w:t>Trade Compliance Laws</w:t>
      </w:r>
      <w:r>
        <w:rPr>
          <w:rFonts w:ascii="Arial" w:cs="Arial" w:eastAsia="Arial" w:hAnsi="Arial"/>
          <w:sz w:val="19"/>
          <w:szCs w:val="19"/>
          <w:color w:val="auto"/>
        </w:rPr>
        <w:t>”); and (b) no investigation, audit or proceeding with respect to any alleged material non-compliance with Trade Compliance Laws is pending or, to the Knowledge of the Company, threatened against the Company.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3.16</w:t>
      </w:r>
      <w:r>
        <w:rPr>
          <w:sz w:val="20"/>
          <w:szCs w:val="20"/>
          <w:color w:val="auto"/>
        </w:rPr>
        <w:tab/>
      </w:r>
      <w:r>
        <w:rPr>
          <w:rFonts w:ascii="Arial" w:cs="Arial" w:eastAsia="Arial" w:hAnsi="Arial"/>
          <w:sz w:val="19"/>
          <w:szCs w:val="19"/>
          <w:u w:val="single" w:color="auto"/>
          <w:color w:val="auto"/>
        </w:rPr>
        <w:t>Employee Benefits Plans</w:t>
      </w:r>
      <w:r>
        <w:rPr>
          <w:rFonts w:ascii="Arial" w:cs="Arial" w:eastAsia="Arial" w:hAnsi="Arial"/>
          <w:sz w:val="19"/>
          <w:szCs w:val="19"/>
          <w:color w:val="auto"/>
        </w:rPr>
        <w:t>.</w:t>
      </w:r>
    </w:p>
    <w:p>
      <w:pPr>
        <w:spacing w:after="0" w:line="206" w:lineRule="exact"/>
        <w:rPr>
          <w:sz w:val="20"/>
          <w:szCs w:val="20"/>
          <w:color w:val="auto"/>
        </w:rPr>
      </w:pPr>
    </w:p>
    <w:p>
      <w:pPr>
        <w:ind w:left="340" w:right="20" w:firstLine="1288"/>
        <w:spacing w:after="0" w:line="250" w:lineRule="auto"/>
        <w:tabs>
          <w:tab w:leader="none" w:pos="251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Section 3.16(a)</w:t>
      </w:r>
      <w:r>
        <w:rPr>
          <w:rFonts w:ascii="Arial" w:cs="Arial" w:eastAsia="Arial" w:hAnsi="Arial"/>
          <w:sz w:val="22"/>
          <w:szCs w:val="22"/>
          <w:color w:val="auto"/>
        </w:rPr>
        <w:t xml:space="preserve"> of the Company Disclosure Schedule sets forth a true, correct, and complete list of all Benefit Plans, other than offer letters entered into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78" w:name="page79"/>
    <w:bookmarkEnd w:id="78"/>
    <w:p>
      <w:pPr>
        <w:spacing w:after="0" w:line="250" w:lineRule="auto"/>
        <w:rPr>
          <w:sz w:val="20"/>
          <w:szCs w:val="20"/>
          <w:color w:val="auto"/>
        </w:rPr>
      </w:pPr>
      <w:r>
        <w:rPr>
          <w:rFonts w:ascii="Arial" w:cs="Arial" w:eastAsia="Arial" w:hAnsi="Arial"/>
          <w:sz w:val="22"/>
          <w:szCs w:val="22"/>
          <w:color w:val="auto"/>
        </w:rPr>
        <w:t>ordinary course of business that provide for at-will employment and can be terminated without material Liability.</w:t>
      </w:r>
    </w:p>
    <w:p>
      <w:pPr>
        <w:spacing w:after="0" w:line="175" w:lineRule="exact"/>
        <w:rPr>
          <w:sz w:val="20"/>
          <w:szCs w:val="20"/>
          <w:color w:val="auto"/>
        </w:rPr>
      </w:pPr>
    </w:p>
    <w:p>
      <w:pPr>
        <w:jc w:val="both"/>
        <w:ind w:firstLine="1288"/>
        <w:spacing w:after="0" w:line="274" w:lineRule="auto"/>
        <w:tabs>
          <w:tab w:leader="none" w:pos="2074"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For each Benefit Plan, the Company has provided or made available to Purchaser the following, to the extent applicable: (i) the plan document (or, in the case of an unwritten Benefit Plan, a written description of the material terms thereof and, in all cases, if applicable, form(s) thereof and any material deviations therefrom) and all amendments thereto; (ii) the most recent summary plan description (and any summaries of material modifications with respect thereto); (iii) the most recent annual report on Form 5500 (with schedules and attachments); (iv) each current trust, insurance, annuity or other funding Contract related thereto; (v) the most recent audited financial statements and actuarial or other valuation reports prepared with respect thereto; (vi) the most recently received Internal Revenue Service determination letter or opinion letter; and (vii) non-discrimination testing for the last three (3) completed plan years.</w:t>
      </w:r>
    </w:p>
    <w:p>
      <w:pPr>
        <w:spacing w:after="0" w:line="158" w:lineRule="exact"/>
        <w:rPr>
          <w:rFonts w:ascii="Arial" w:cs="Arial" w:eastAsia="Arial" w:hAnsi="Arial"/>
          <w:sz w:val="19"/>
          <w:szCs w:val="19"/>
          <w:color w:val="010000"/>
        </w:rPr>
      </w:pPr>
    </w:p>
    <w:p>
      <w:pPr>
        <w:jc w:val="both"/>
        <w:ind w:firstLine="1288"/>
        <w:spacing w:after="0" w:line="275" w:lineRule="auto"/>
        <w:tabs>
          <w:tab w:leader="none" w:pos="2184"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 xml:space="preserve">No Benefit Plan is subject to Title IV of ERISA and, in the last six (6) years, the Company has not sponsored, maintained or contributed to a pension plan that is subject to Title IV of ERISA. The Company does not have any Liability pursuant to Title IV of ERISA (including by virtue of arrangements maintained by current or former Affiliates). Except as set forth in </w:t>
      </w:r>
      <w:r>
        <w:rPr>
          <w:rFonts w:ascii="Arial" w:cs="Arial" w:eastAsia="Arial" w:hAnsi="Arial"/>
          <w:sz w:val="19"/>
          <w:szCs w:val="19"/>
          <w:u w:val="single" w:color="auto"/>
          <w:color w:val="auto"/>
        </w:rPr>
        <w:t>Section 3.16(c)</w:t>
      </w:r>
      <w:r>
        <w:rPr>
          <w:rFonts w:ascii="Arial" w:cs="Arial" w:eastAsia="Arial" w:hAnsi="Arial"/>
          <w:sz w:val="19"/>
          <w:szCs w:val="19"/>
          <w:color w:val="auto"/>
        </w:rPr>
        <w:t xml:space="preserve"> of the Company Disclosure Schedule, to the Knowledge of the Company, no condition exists that would reasonably be expected to cause the Company (including, after the Closing, Purchaser and any of its Affiliates) to incur any such Liability. No Benefit Plan is (i) a “defined benefit plan” (as defined in Section 414 of the Code) or (ii) a “multiple employer” plan (as defined in Section 4063 or 4064 of ERISA), other than any PEO Plan.</w:t>
      </w:r>
    </w:p>
    <w:p>
      <w:pPr>
        <w:spacing w:after="0" w:line="157" w:lineRule="exact"/>
        <w:rPr>
          <w:rFonts w:ascii="Arial" w:cs="Arial" w:eastAsia="Arial" w:hAnsi="Arial"/>
          <w:sz w:val="19"/>
          <w:szCs w:val="19"/>
          <w:color w:val="010000"/>
        </w:rPr>
      </w:pPr>
    </w:p>
    <w:p>
      <w:pPr>
        <w:jc w:val="both"/>
        <w:ind w:firstLine="1288"/>
        <w:spacing w:after="0" w:line="279" w:lineRule="auto"/>
        <w:tabs>
          <w:tab w:leader="none" w:pos="2007"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With respect to each Benefit Plan that is a “welfare plan” (as defined in Section 3(1) of ERISA) (whether or not subject to ERISA), the Company does not have any Liability with respect to an obligation to provide welfare benefits, including death or medical benefits (whether or not insured), with respect to any Person beyond such Person’s retirement or other termination of employment or service, other than coverage mandated by Section 4980B of the Code, by state Law (or other Law) or disability benefits under any employee welfare plan that have been fully provided for by insurance or otherwise.</w:t>
      </w:r>
    </w:p>
    <w:p>
      <w:pPr>
        <w:spacing w:after="0" w:line="150" w:lineRule="exact"/>
        <w:rPr>
          <w:rFonts w:ascii="Arial" w:cs="Arial" w:eastAsia="Arial" w:hAnsi="Arial"/>
          <w:sz w:val="19"/>
          <w:szCs w:val="19"/>
          <w:color w:val="010000"/>
        </w:rPr>
      </w:pPr>
    </w:p>
    <w:p>
      <w:pPr>
        <w:jc w:val="both"/>
        <w:ind w:firstLine="1288"/>
        <w:spacing w:after="0" w:line="244" w:lineRule="auto"/>
        <w:tabs>
          <w:tab w:leader="none" w:pos="2116" w:val="left"/>
        </w:tabs>
        <w:numPr>
          <w:ilvl w:val="0"/>
          <w:numId w:val="63"/>
        </w:numPr>
        <w:rPr>
          <w:rFonts w:ascii="Arial" w:cs="Arial" w:eastAsia="Arial" w:hAnsi="Arial"/>
          <w:sz w:val="21"/>
          <w:szCs w:val="21"/>
          <w:color w:val="010000"/>
        </w:rPr>
      </w:pPr>
      <w:r>
        <w:rPr>
          <w:rFonts w:ascii="Arial" w:cs="Arial" w:eastAsia="Arial" w:hAnsi="Arial"/>
          <w:sz w:val="21"/>
          <w:szCs w:val="21"/>
          <w:color w:val="auto"/>
        </w:rPr>
        <w:t xml:space="preserve">Except as has not resulted in and would not reasonably be expected to result in any material Liability to the Company, and except as set forth in </w:t>
      </w:r>
      <w:r>
        <w:rPr>
          <w:rFonts w:ascii="Arial" w:cs="Arial" w:eastAsia="Arial" w:hAnsi="Arial"/>
          <w:sz w:val="21"/>
          <w:szCs w:val="21"/>
          <w:u w:val="single" w:color="auto"/>
          <w:color w:val="auto"/>
        </w:rPr>
        <w:t>Section 3.16(e)</w:t>
      </w:r>
      <w:r>
        <w:rPr>
          <w:rFonts w:ascii="Arial" w:cs="Arial" w:eastAsia="Arial" w:hAnsi="Arial"/>
          <w:sz w:val="21"/>
          <w:szCs w:val="21"/>
          <w:color w:val="auto"/>
        </w:rPr>
        <w:t xml:space="preserve"> of the Company Disclosure Schedule, with respect to each Benefit Plan (other than any PEO Plan), the Company has complied and is now in compliance with all the provisions of ERISA, the Code and all Laws and regulations applicable to such Benefit Plan, and each Benefit Plan (other than any PEO Plan) has been administered in accordance with its terms. With respect to each Benefit Plan, (i) all material payments due from the Company to date have been timely made (including permissible extensions) or accrued in accordance with GAAP and (ii) each such Benefit Plan that is intended to qualify under Section 401(a) of the Code has received a favorable determination letter from the Internal Revenue Service (or is subject to an opinion letter from the Internal Revenue Service) with respect to such qualification or has pending or has time remaining in which to file an application for such determination from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79" w:name="page80"/>
    <w:bookmarkEnd w:id="79"/>
    <w:p>
      <w:pPr>
        <w:ind w:right="20"/>
        <w:spacing w:after="0" w:line="250" w:lineRule="auto"/>
        <w:rPr>
          <w:sz w:val="20"/>
          <w:szCs w:val="20"/>
          <w:color w:val="auto"/>
        </w:rPr>
      </w:pPr>
      <w:r>
        <w:rPr>
          <w:rFonts w:ascii="Arial" w:cs="Arial" w:eastAsia="Arial" w:hAnsi="Arial"/>
          <w:sz w:val="22"/>
          <w:szCs w:val="22"/>
          <w:color w:val="auto"/>
        </w:rPr>
        <w:t>Revenue Service, and no event or circumstance has occurred that is reasonably expected to adversely affect the qualified status of such Benefit Plan.</w:t>
      </w:r>
    </w:p>
    <w:p>
      <w:pPr>
        <w:spacing w:after="0" w:line="175" w:lineRule="exact"/>
        <w:rPr>
          <w:sz w:val="20"/>
          <w:szCs w:val="20"/>
          <w:color w:val="auto"/>
        </w:rPr>
      </w:pPr>
    </w:p>
    <w:p>
      <w:pPr>
        <w:jc w:val="both"/>
        <w:ind w:firstLine="1288"/>
        <w:spacing w:after="0"/>
        <w:tabs>
          <w:tab w:leader="none" w:pos="1984"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There is no claim (other than routine claims for benefits), Legal Proceeding, arbitration or other action pending or, to the Knowledge of the Company, threatened against or with respect to any Benefit Plan (other than any PEO Plan).</w:t>
      </w:r>
    </w:p>
    <w:p>
      <w:pPr>
        <w:spacing w:after="0" w:line="186" w:lineRule="exact"/>
        <w:rPr>
          <w:rFonts w:ascii="Arial" w:cs="Arial" w:eastAsia="Arial" w:hAnsi="Arial"/>
          <w:sz w:val="22"/>
          <w:szCs w:val="22"/>
          <w:color w:val="010000"/>
        </w:rPr>
      </w:pPr>
    </w:p>
    <w:p>
      <w:pPr>
        <w:jc w:val="both"/>
        <w:ind w:firstLine="1288"/>
        <w:spacing w:after="0" w:line="245" w:lineRule="auto"/>
        <w:tabs>
          <w:tab w:leader="none" w:pos="2304" w:val="left"/>
        </w:tabs>
        <w:numPr>
          <w:ilvl w:val="0"/>
          <w:numId w:val="64"/>
        </w:numPr>
        <w:rPr>
          <w:rFonts w:ascii="Arial" w:cs="Arial" w:eastAsia="Arial" w:hAnsi="Arial"/>
          <w:sz w:val="21"/>
          <w:szCs w:val="21"/>
          <w:color w:val="010000"/>
        </w:rPr>
      </w:pPr>
      <w:r>
        <w:rPr>
          <w:rFonts w:ascii="Arial" w:cs="Arial" w:eastAsia="Arial" w:hAnsi="Arial"/>
          <w:sz w:val="21"/>
          <w:szCs w:val="21"/>
          <w:color w:val="auto"/>
        </w:rPr>
        <w:t>With respect to each current or former employee, officer, director or individual independent contractor of the Company, the consummation of the transactions contemplated by this Agreement will not, either alone or upon the occurrence of any additional or subsequent events, whether contingent or otherwise: (i) result in any payment or benefit becoming due or payable to, or required to be provided to, any such Person, (ii) result in the acceleration of the time of payment, vesting or funding of any compensation or benefits payable to any such Person, (iii) limit or restrict the right to amend, terminate or transfer the asset of any Benefit Plan on or following the Closing, or (iv) result in any amount failing to be deductible by reason of Section 280G of the Code. There is no Contract, agreement, arrangement or policy to which the Company is a party or by which it is bound to compensate any Person for excise Taxes paid pursuant to Section 4999 of the Code.</w:t>
      </w:r>
    </w:p>
    <w:p>
      <w:pPr>
        <w:spacing w:after="0" w:line="18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3.17</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48" w:lineRule="auto"/>
        <w:tabs>
          <w:tab w:leader="none" w:pos="2170"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Except as set forth on Section 3.17(a)(i) of the Company Disclosure Schedule, the Company has provided to Purchaser a listing of all of the current employees and interns of the Company and all individuals retained by the Company as independent contractors. Except as set forth on Section 3.17(a)(ii) of the Company Disclosure Schedule, the Company has provided to Purchaser a list of all employees of the Company, by location, who have experienced an “employment loss,” “layoff,” or “relocation” as defined by the WARN Act within the past ninety (90) days.</w:t>
      </w:r>
    </w:p>
    <w:p>
      <w:pPr>
        <w:spacing w:after="0" w:line="176" w:lineRule="exact"/>
        <w:rPr>
          <w:rFonts w:ascii="Arial" w:cs="Arial" w:eastAsia="Arial" w:hAnsi="Arial"/>
          <w:sz w:val="21"/>
          <w:szCs w:val="21"/>
          <w:color w:val="010000"/>
        </w:rPr>
      </w:pPr>
    </w:p>
    <w:p>
      <w:pPr>
        <w:jc w:val="both"/>
        <w:ind w:firstLine="1288"/>
        <w:spacing w:after="0" w:line="274" w:lineRule="auto"/>
        <w:tabs>
          <w:tab w:leader="none" w:pos="2088"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Since January 1, 2018, the Company has not been a party to, bound by or negotiated any labor or collective bargaining agreement in respect of any employee or group of employees of the Company and there is not, and has not been, any union representing, or purporting to represent, any Company employee. There are no, and since January 1, 2017 there have been no, (i) material strikes, work stoppages, work slowdowns, lockouts, handbilling, requests for representation, picketing or other similar labor activities pending or, to the Knowledge of the Company, threatened against the Company and/or (ii) material unfair labor practice charges, grievances, complaints or, to the Knowledge of the Company, investigations, regarding material labor or employment matters, pending or threatened by, or on behalf of, any employee or group of employees of the Company against the Company before a Governmental Authority.</w:t>
      </w:r>
    </w:p>
    <w:p>
      <w:pPr>
        <w:spacing w:after="0" w:line="158" w:lineRule="exact"/>
        <w:rPr>
          <w:rFonts w:ascii="Arial" w:cs="Arial" w:eastAsia="Arial" w:hAnsi="Arial"/>
          <w:sz w:val="19"/>
          <w:szCs w:val="19"/>
          <w:color w:val="010000"/>
        </w:rPr>
      </w:pPr>
    </w:p>
    <w:p>
      <w:pPr>
        <w:jc w:val="both"/>
        <w:ind w:firstLine="1288"/>
        <w:spacing w:after="0" w:line="235" w:lineRule="auto"/>
        <w:tabs>
          <w:tab w:leader="none" w:pos="1981"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The Company is, and for the past three (3) years has been, in compliance in all material respects with all applicable Laws pertaining to labor, employment, and employment practices including all applicable Laws respecting terms and conditions of employment, health and safety, wages and hours, immigration (including the completion of Forms I-9 for all U.S. employees), employment harassment, discrimination and retaliation, whistleblowing, disability rights or benefits, plant closures and layoffs (including the WARN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80" w:name="page81"/>
    <w:bookmarkEnd w:id="80"/>
    <w:p>
      <w:pPr>
        <w:ind w:left="340"/>
        <w:spacing w:after="0"/>
        <w:rPr>
          <w:sz w:val="20"/>
          <w:szCs w:val="20"/>
          <w:color w:val="auto"/>
        </w:rPr>
      </w:pPr>
      <w:r>
        <w:rPr>
          <w:rFonts w:ascii="Arial" w:cs="Arial" w:eastAsia="Arial" w:hAnsi="Arial"/>
          <w:sz w:val="19"/>
          <w:szCs w:val="19"/>
          <w:color w:val="auto"/>
        </w:rPr>
        <w:t>Act), workers’ compensation, labor relations, employee leaves of absence, paid time off, and COVID-19.</w:t>
      </w:r>
    </w:p>
    <w:p>
      <w:pPr>
        <w:spacing w:after="0" w:line="241" w:lineRule="exact"/>
        <w:rPr>
          <w:sz w:val="20"/>
          <w:szCs w:val="20"/>
          <w:color w:val="auto"/>
        </w:rPr>
      </w:pPr>
    </w:p>
    <w:p>
      <w:pPr>
        <w:jc w:val="both"/>
        <w:ind w:left="340" w:firstLine="1288"/>
        <w:spacing w:after="0" w:line="282" w:lineRule="auto"/>
        <w:tabs>
          <w:tab w:leader="none" w:pos="2414"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The Company is and for the last five (5) years has been in compliance in all material respects with all Government Contract provisions regarding labor, employment and employment practices, including all such Government Contract provisions regarding terms and conditions of employment, wages and hours, immigration (including the verification of I-9s), discrimination, harassment, affirmative action, disability rights or benefits, equal opportunity, and whistleblower protections.</w:t>
      </w:r>
    </w:p>
    <w:p>
      <w:pPr>
        <w:spacing w:after="0" w:line="147" w:lineRule="exact"/>
        <w:rPr>
          <w:rFonts w:ascii="Arial" w:cs="Arial" w:eastAsia="Arial" w:hAnsi="Arial"/>
          <w:sz w:val="19"/>
          <w:szCs w:val="19"/>
          <w:color w:val="010000"/>
        </w:rPr>
      </w:pPr>
    </w:p>
    <w:p>
      <w:pPr>
        <w:jc w:val="both"/>
        <w:ind w:left="340" w:firstLine="1288"/>
        <w:spacing w:after="0" w:line="277" w:lineRule="auto"/>
        <w:tabs>
          <w:tab w:leader="none" w:pos="2402"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Except as would not be material to the Company, at all times during the past four (4) years: (i) all Company employees classified as exempt employees under the Service Contract Act, Fair Labor Standards Act, and similar applicable foreign, state, and local wage and hour Laws have been and are properly classified as such in all material respects, and (ii) all individuals characterized by the Company as independent contractors or consultants have been and are properly classified as independent contractors under all applicable Laws. There is no amount owing to any current or former Company employee or individual retained by the Company as an independent contractor, other than amounts not yet due for payment.</w:t>
      </w:r>
    </w:p>
    <w:p>
      <w:pPr>
        <w:spacing w:after="0" w:line="151" w:lineRule="exact"/>
        <w:rPr>
          <w:rFonts w:ascii="Arial" w:cs="Arial" w:eastAsia="Arial" w:hAnsi="Arial"/>
          <w:sz w:val="19"/>
          <w:szCs w:val="19"/>
          <w:color w:val="010000"/>
        </w:rPr>
      </w:pPr>
    </w:p>
    <w:p>
      <w:pPr>
        <w:jc w:val="both"/>
        <w:ind w:left="340" w:firstLine="1288"/>
        <w:spacing w:after="0" w:line="282" w:lineRule="auto"/>
        <w:tabs>
          <w:tab w:leader="none" w:pos="2486"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To the Knowledge of the Company, no current or former employee or independent contractor of the Company is in any material respect in violation of any term of any employment agreement, nondisclosure agreement, common law or statutory nondisclosure obligation, non-competition agreement, non-solicitation agreement, or restrictive covenant: (i) owed to the Company or (ii) owed to any third party with respect to such Person’s right to be employed or engaged by the Company.</w:t>
      </w:r>
    </w:p>
    <w:p>
      <w:pPr>
        <w:spacing w:after="0" w:line="147" w:lineRule="exact"/>
        <w:rPr>
          <w:rFonts w:ascii="Arial" w:cs="Arial" w:eastAsia="Arial" w:hAnsi="Arial"/>
          <w:sz w:val="19"/>
          <w:szCs w:val="19"/>
          <w:color w:val="010000"/>
        </w:rPr>
      </w:pPr>
    </w:p>
    <w:p>
      <w:pPr>
        <w:jc w:val="both"/>
        <w:ind w:left="340" w:firstLine="1288"/>
        <w:spacing w:after="0" w:line="246" w:lineRule="auto"/>
        <w:tabs>
          <w:tab w:leader="none" w:pos="2698"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The Company has promptly, thoroughly and impartially investigated all sexual harassment, discrimination, and retaliation allegations of which the Company has Knowledge since January 1, 2017, and took appropriate and prompt action where warranted in accordance with applicable Laws. The Company does not reasonably expect any material Liabilities with respect to any such allegations and, to the Knowledge of the Company, there are no allegations relating to officers, directors, employees, contractors, or agents of the Company that, if known to the public, would have a material and adverse impact on the reputation of the Company.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3.18 </w:t>
      </w:r>
      <w:r>
        <w:rPr>
          <w:rFonts w:ascii="Arial" w:cs="Arial" w:eastAsia="Arial" w:hAnsi="Arial"/>
          <w:sz w:val="19"/>
          <w:szCs w:val="19"/>
          <w:u w:val="single" w:color="auto"/>
          <w:color w:val="000000"/>
        </w:rPr>
        <w:t>Transactions With Related Parties</w:t>
      </w:r>
      <w:r>
        <w:rPr>
          <w:rFonts w:ascii="Arial" w:cs="Arial" w:eastAsia="Arial" w:hAnsi="Arial"/>
          <w:sz w:val="19"/>
          <w:szCs w:val="19"/>
          <w:color w:val="000000"/>
        </w:rPr>
        <w:t>. Except as set forth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3.18</w:t>
      </w:r>
      <w:r>
        <w:rPr>
          <w:rFonts w:ascii="Arial" w:cs="Arial" w:eastAsia="Arial" w:hAnsi="Arial"/>
          <w:sz w:val="19"/>
          <w:szCs w:val="19"/>
          <w:color w:val="010000"/>
        </w:rPr>
        <w:t xml:space="preserve"> </w:t>
      </w:r>
      <w:r>
        <w:rPr>
          <w:rFonts w:ascii="Arial" w:cs="Arial" w:eastAsia="Arial" w:hAnsi="Arial"/>
          <w:sz w:val="19"/>
          <w:szCs w:val="19"/>
          <w:color w:val="000000"/>
        </w:rPr>
        <w:t>of the Company Disclosure</w:t>
      </w:r>
      <w:r>
        <w:rPr>
          <w:rFonts w:ascii="Arial" w:cs="Arial" w:eastAsia="Arial" w:hAnsi="Arial"/>
          <w:sz w:val="19"/>
          <w:szCs w:val="19"/>
          <w:color w:val="010000"/>
        </w:rPr>
        <w:t xml:space="preserve"> </w:t>
      </w:r>
      <w:r>
        <w:rPr>
          <w:rFonts w:ascii="Arial" w:cs="Arial" w:eastAsia="Arial" w:hAnsi="Arial"/>
          <w:sz w:val="19"/>
          <w:szCs w:val="19"/>
          <w:color w:val="000000"/>
        </w:rPr>
        <w:t>Schedule, no present officer, director, or stockholder of the Company, nor any Affiliate of the Company or any Person who is an immediate family member or Affiliate of the foregoing (each a “</w:t>
      </w:r>
      <w:r>
        <w:rPr>
          <w:rFonts w:ascii="Arial" w:cs="Arial" w:eastAsia="Arial" w:hAnsi="Arial"/>
          <w:sz w:val="19"/>
          <w:szCs w:val="19"/>
          <w:u w:val="single" w:color="auto"/>
          <w:color w:val="000000"/>
        </w:rPr>
        <w:t>Related Party</w:t>
      </w:r>
      <w:r>
        <w:rPr>
          <w:rFonts w:ascii="Arial" w:cs="Arial" w:eastAsia="Arial" w:hAnsi="Arial"/>
          <w:sz w:val="19"/>
          <w:szCs w:val="19"/>
          <w:color w:val="000000"/>
        </w:rPr>
        <w:t xml:space="preserve">”), (a) is currently a party to any transaction or Contract with the Company, other than employment or consulting agreements entered into with individuals in the ordinary course of business; (b) possesses, directly or indirectly, any financial interest in, or is a director, officer, or employee of, any Person (other than the Company) which is a supplier, lessor, lessee, or competitor of the Company; or (c) possesses, directly or indirectly, any financial interest in any assets, tangible or intangible (including Intellectual Property rights) used or held for use in, or necessary for the operation of, the Business as currently conducted. Ownership of securities of a company whose securities are traded on any recognized securities exchange of five percent (5%) or less of any class of such securities shall not be deemed to be a financial interest for purposes of this </w:t>
      </w:r>
      <w:r>
        <w:rPr>
          <w:rFonts w:ascii="Arial" w:cs="Arial" w:eastAsia="Arial" w:hAnsi="Arial"/>
          <w:sz w:val="19"/>
          <w:szCs w:val="19"/>
          <w:u w:val="single" w:color="auto"/>
          <w:color w:val="000000"/>
        </w:rPr>
        <w:t>Section 3.18</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81" w:name="page82"/>
    <w:bookmarkEnd w:id="81"/>
    <w:p>
      <w:pPr>
        <w:jc w:val="both"/>
        <w:ind w:firstLine="648"/>
        <w:spacing w:after="0" w:line="268" w:lineRule="auto"/>
        <w:rPr>
          <w:sz w:val="20"/>
          <w:szCs w:val="20"/>
          <w:color w:val="auto"/>
        </w:rPr>
      </w:pPr>
      <w:r>
        <w:rPr>
          <w:rFonts w:ascii="Arial" w:cs="Arial" w:eastAsia="Arial" w:hAnsi="Arial"/>
          <w:sz w:val="19"/>
          <w:szCs w:val="19"/>
          <w:color w:val="010000"/>
        </w:rPr>
        <w:t xml:space="preserve">3.19 </w:t>
      </w:r>
      <w:r>
        <w:rPr>
          <w:rFonts w:ascii="Arial" w:cs="Arial" w:eastAsia="Arial" w:hAnsi="Arial"/>
          <w:sz w:val="19"/>
          <w:szCs w:val="19"/>
          <w:u w:val="single" w:color="auto"/>
          <w:color w:val="000000"/>
        </w:rPr>
        <w:t>Insurance</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3.19(a)</w:t>
      </w:r>
      <w:r>
        <w:rPr>
          <w:rFonts w:ascii="Arial" w:cs="Arial" w:eastAsia="Arial" w:hAnsi="Arial"/>
          <w:sz w:val="19"/>
          <w:szCs w:val="19"/>
          <w:color w:val="010000"/>
        </w:rPr>
        <w:t xml:space="preserve"> </w:t>
      </w:r>
      <w:r>
        <w:rPr>
          <w:rFonts w:ascii="Arial" w:cs="Arial" w:eastAsia="Arial" w:hAnsi="Arial"/>
          <w:sz w:val="19"/>
          <w:szCs w:val="19"/>
          <w:color w:val="000000"/>
        </w:rPr>
        <w:t>of the Company Disclosure Schedule contains a list of each insurance</w:t>
      </w:r>
      <w:r>
        <w:rPr>
          <w:rFonts w:ascii="Arial" w:cs="Arial" w:eastAsia="Arial" w:hAnsi="Arial"/>
          <w:sz w:val="19"/>
          <w:szCs w:val="19"/>
          <w:color w:val="010000"/>
        </w:rPr>
        <w:t xml:space="preserve"> </w:t>
      </w:r>
      <w:r>
        <w:rPr>
          <w:rFonts w:ascii="Arial" w:cs="Arial" w:eastAsia="Arial" w:hAnsi="Arial"/>
          <w:sz w:val="19"/>
          <w:szCs w:val="19"/>
          <w:color w:val="000000"/>
        </w:rPr>
        <w:t>policy, binder, or Contract carried or maintained by, or on behalf of, the Company relating to insurance coverage and/or bonding and surety arrangements (each, an “</w:t>
      </w:r>
      <w:r>
        <w:rPr>
          <w:rFonts w:ascii="Arial" w:cs="Arial" w:eastAsia="Arial" w:hAnsi="Arial"/>
          <w:sz w:val="19"/>
          <w:szCs w:val="19"/>
          <w:u w:val="single" w:color="auto"/>
          <w:color w:val="000000"/>
        </w:rPr>
        <w:t>Insurance Contract</w:t>
      </w:r>
      <w:r>
        <w:rPr>
          <w:rFonts w:ascii="Arial" w:cs="Arial" w:eastAsia="Arial" w:hAnsi="Arial"/>
          <w:sz w:val="19"/>
          <w:szCs w:val="19"/>
          <w:color w:val="000000"/>
        </w:rPr>
        <w:t>” and, collectively, the “</w:t>
      </w:r>
      <w:r>
        <w:rPr>
          <w:rFonts w:ascii="Arial" w:cs="Arial" w:eastAsia="Arial" w:hAnsi="Arial"/>
          <w:sz w:val="19"/>
          <w:szCs w:val="19"/>
          <w:u w:val="single" w:color="auto"/>
          <w:color w:val="000000"/>
        </w:rPr>
        <w:t>Insurance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Contracts</w:t>
      </w:r>
      <w:r>
        <w:rPr>
          <w:rFonts w:ascii="Arial" w:cs="Arial" w:eastAsia="Arial" w:hAnsi="Arial"/>
          <w:sz w:val="19"/>
          <w:szCs w:val="19"/>
          <w:color w:val="000000"/>
        </w:rPr>
        <w:t xml:space="preserve">”), including the name of the insurer, the policy number, and the period, amount, and scope of coverage. The Company has delivered to Purchaser true, complete, and correct copies of each Insurance Contract. Except as set forth on </w:t>
      </w:r>
      <w:r>
        <w:rPr>
          <w:rFonts w:ascii="Arial" w:cs="Arial" w:eastAsia="Arial" w:hAnsi="Arial"/>
          <w:sz w:val="19"/>
          <w:szCs w:val="19"/>
          <w:u w:val="single" w:color="auto"/>
          <w:color w:val="000000"/>
        </w:rPr>
        <w:t>Section 3.19(b)</w:t>
      </w:r>
      <w:r>
        <w:rPr>
          <w:rFonts w:ascii="Arial" w:cs="Arial" w:eastAsia="Arial" w:hAnsi="Arial"/>
          <w:sz w:val="19"/>
          <w:szCs w:val="19"/>
          <w:color w:val="000000"/>
        </w:rPr>
        <w:t xml:space="preserve"> of the Company Disclosure Schedule, each Insurance Contract (i) is legal, valid, binding, and enforceable and in full force and effect, with all premiums and any other payments due and payable thereon having been paid in full and (ii) will continue to be legal, valid, binding, enforceable and in full force and effect on identical terms immediately following the consummation of the Transaction. The Company is not in breach or default with respect to its material obligations under any Insurance Contract (including the payment of premiums). Except as set forth on </w:t>
      </w:r>
      <w:r>
        <w:rPr>
          <w:rFonts w:ascii="Arial" w:cs="Arial" w:eastAsia="Arial" w:hAnsi="Arial"/>
          <w:sz w:val="19"/>
          <w:szCs w:val="19"/>
          <w:u w:val="single" w:color="auto"/>
          <w:color w:val="000000"/>
        </w:rPr>
        <w:t>Section 3.19(c)</w:t>
      </w:r>
      <w:r>
        <w:rPr>
          <w:rFonts w:ascii="Arial" w:cs="Arial" w:eastAsia="Arial" w:hAnsi="Arial"/>
          <w:sz w:val="19"/>
          <w:szCs w:val="19"/>
          <w:color w:val="000000"/>
        </w:rPr>
        <w:t xml:space="preserve"> of the Company Disclosure Schedule, the Company has not received any written notice of cancellation or non-renewal of any Insurance Contract. To the Knowledge of the Company, no event has occurred that, with notice or the lapse of time, would constitute a breach or default, or permit any termination, modification, or acceleration under any Insurance Contract. All of the assets of the Company are currently insured against loss and damage under the Insurance Contracts. To the Knowledge of the Company, each of the Insurance Contracts is of the type and in the amount customarily carried by Persons conducting businesses similar to the Business as currently conducted and complies with all applicable legal requirements. There is no, and has for the past five (5) years been no, gap in insurance coverage for any material risks covered by the Insurance Contracts. Except as set forth on </w:t>
      </w:r>
      <w:r>
        <w:rPr>
          <w:rFonts w:ascii="Arial" w:cs="Arial" w:eastAsia="Arial" w:hAnsi="Arial"/>
          <w:sz w:val="19"/>
          <w:szCs w:val="19"/>
          <w:u w:val="single" w:color="auto"/>
          <w:color w:val="000000"/>
        </w:rPr>
        <w:t>Section 3.19(d)</w:t>
      </w:r>
      <w:r>
        <w:rPr>
          <w:rFonts w:ascii="Arial" w:cs="Arial" w:eastAsia="Arial" w:hAnsi="Arial"/>
          <w:sz w:val="19"/>
          <w:szCs w:val="19"/>
          <w:color w:val="000000"/>
        </w:rPr>
        <w:t xml:space="preserve"> of the Company Disclosure Schedule, none of the Insurance Contracts are subject to any retrospective premium adjustment, audit premium adjustment, experience-based liability adjustment, or loss-sharing cost adjustment. The Insurance Contracts satisfy in all material respects any insurance requirements under the terms of any Material Contracts, Government Contracts, and Real Property Leases. No insurer has excluded from the scope of any Insurance Contract coverage for any of the Company’s particular contractual indemnity obligations to any third parties. Except as set forth on </w:t>
      </w:r>
      <w:r>
        <w:rPr>
          <w:rFonts w:ascii="Arial" w:cs="Arial" w:eastAsia="Arial" w:hAnsi="Arial"/>
          <w:sz w:val="19"/>
          <w:szCs w:val="19"/>
          <w:u w:val="single" w:color="auto"/>
          <w:color w:val="000000"/>
        </w:rPr>
        <w:t>Section 3.19(e)</w:t>
      </w:r>
      <w:r>
        <w:rPr>
          <w:rFonts w:ascii="Arial" w:cs="Arial" w:eastAsia="Arial" w:hAnsi="Arial"/>
          <w:sz w:val="19"/>
          <w:szCs w:val="19"/>
          <w:color w:val="000000"/>
        </w:rPr>
        <w:t xml:space="preserve"> of the Company Disclosure Schedule, the Company has no self-insurance or co-insurance programs. Except as set forth on </w:t>
      </w:r>
      <w:r>
        <w:rPr>
          <w:rFonts w:ascii="Arial" w:cs="Arial" w:eastAsia="Arial" w:hAnsi="Arial"/>
          <w:sz w:val="19"/>
          <w:szCs w:val="19"/>
          <w:u w:val="single" w:color="auto"/>
          <w:color w:val="000000"/>
        </w:rPr>
        <w:t>Section 3.19(f)</w:t>
      </w:r>
      <w:r>
        <w:rPr>
          <w:rFonts w:ascii="Arial" w:cs="Arial" w:eastAsia="Arial" w:hAnsi="Arial"/>
          <w:sz w:val="19"/>
          <w:szCs w:val="19"/>
          <w:color w:val="000000"/>
        </w:rPr>
        <w:t xml:space="preserve"> of the Company Disclosure Schedule, the Company has delivered to Purchaser true, correct, and complete copies of loss run reports accurately depicting any and all claims made by the Company or any other insureds under the Insurance Contracts (or their predecessor Contracts) that have been pending or “open” at any point during the past five (5) years. There are no claims pending under any of the Insurance Contracts (or their predecessor Contracts for the preceding five (5)-year period) as to which coverage has been questioned, denied, or disputed by the insurer, or as to which the insurer has otherwise reserved its rights. Except as set forth on </w:t>
      </w:r>
      <w:r>
        <w:rPr>
          <w:rFonts w:ascii="Arial" w:cs="Arial" w:eastAsia="Arial" w:hAnsi="Arial"/>
          <w:sz w:val="19"/>
          <w:szCs w:val="19"/>
          <w:u w:val="single" w:color="auto"/>
          <w:color w:val="000000"/>
        </w:rPr>
        <w:t>Section 3.19(g)</w:t>
      </w:r>
      <w:r>
        <w:rPr>
          <w:rFonts w:ascii="Arial" w:cs="Arial" w:eastAsia="Arial" w:hAnsi="Arial"/>
          <w:sz w:val="19"/>
          <w:szCs w:val="19"/>
          <w:color w:val="000000"/>
        </w:rPr>
        <w:t xml:space="preserve"> of the Company Disclosure Schedule, all potentially insurable material third-party claims against, and material first-party claims of, the Company have been submitted to the appropriate insurance carrier(s) in material compliance with any applicable notice requirements.</w:t>
      </w:r>
    </w:p>
    <w:p>
      <w:pPr>
        <w:spacing w:after="0" w:line="3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010000"/>
        </w:rPr>
        <w:t xml:space="preserve">3.20 </w:t>
      </w:r>
      <w:r>
        <w:rPr>
          <w:rFonts w:ascii="Arial" w:cs="Arial" w:eastAsia="Arial" w:hAnsi="Arial"/>
          <w:sz w:val="21"/>
          <w:szCs w:val="21"/>
          <w:u w:val="single" w:color="auto"/>
          <w:color w:val="000000"/>
        </w:rPr>
        <w:t>Financial Advisors</w:t>
      </w:r>
      <w:r>
        <w:rPr>
          <w:rFonts w:ascii="Arial" w:cs="Arial" w:eastAsia="Arial" w:hAnsi="Arial"/>
          <w:sz w:val="21"/>
          <w:szCs w:val="21"/>
          <w:color w:val="000000"/>
        </w:rPr>
        <w:t>. Except for Evercore Group L.L.C., no Person has acted, directly or indirectly,</w:t>
      </w:r>
      <w:r>
        <w:rPr>
          <w:rFonts w:ascii="Arial" w:cs="Arial" w:eastAsia="Arial" w:hAnsi="Arial"/>
          <w:sz w:val="21"/>
          <w:szCs w:val="21"/>
          <w:color w:val="010000"/>
        </w:rPr>
        <w:t xml:space="preserve"> </w:t>
      </w:r>
      <w:r>
        <w:rPr>
          <w:rFonts w:ascii="Arial" w:cs="Arial" w:eastAsia="Arial" w:hAnsi="Arial"/>
          <w:sz w:val="21"/>
          <w:szCs w:val="21"/>
          <w:color w:val="000000"/>
        </w:rPr>
        <w:t>as a broker, finder, agent, investment banker or financial advisor for Sellers or the Company in connection with the Transaction and no Person other than Evercore Group L.L.C. is entitled to any fee or commission or like payment from Sellers or the Company contingent upon Closing of the Transaction.</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3.21 </w:t>
      </w:r>
      <w:r>
        <w:rPr>
          <w:rFonts w:ascii="Arial" w:cs="Arial" w:eastAsia="Arial" w:hAnsi="Arial"/>
          <w:sz w:val="22"/>
          <w:szCs w:val="22"/>
          <w:u w:val="single" w:color="auto"/>
          <w:color w:val="000000"/>
        </w:rPr>
        <w:t>Customer and Vendors</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3.21</w:t>
      </w:r>
      <w:r>
        <w:rPr>
          <w:rFonts w:ascii="Arial" w:cs="Arial" w:eastAsia="Arial" w:hAnsi="Arial"/>
          <w:sz w:val="22"/>
          <w:szCs w:val="22"/>
          <w:color w:val="010000"/>
        </w:rPr>
        <w:t xml:space="preserve"> </w:t>
      </w:r>
      <w:r>
        <w:rPr>
          <w:rFonts w:ascii="Arial" w:cs="Arial" w:eastAsia="Arial" w:hAnsi="Arial"/>
          <w:sz w:val="22"/>
          <w:szCs w:val="22"/>
          <w:color w:val="000000"/>
        </w:rPr>
        <w:t>of the Company Disclosure Schedule sets forth (a) a list of</w:t>
      </w:r>
      <w:r>
        <w:rPr>
          <w:rFonts w:ascii="Arial" w:cs="Arial" w:eastAsia="Arial" w:hAnsi="Arial"/>
          <w:sz w:val="22"/>
          <w:szCs w:val="22"/>
          <w:color w:val="010000"/>
        </w:rPr>
        <w:t xml:space="preserve"> </w:t>
      </w:r>
      <w:r>
        <w:rPr>
          <w:rFonts w:ascii="Arial" w:cs="Arial" w:eastAsia="Arial" w:hAnsi="Arial"/>
          <w:sz w:val="22"/>
          <w:szCs w:val="22"/>
          <w:color w:val="000000"/>
        </w:rPr>
        <w:t>the top customers of the Company, on an aggregate basis, by dollar volume of sales 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82" w:name="page83"/>
    <w:bookmarkEnd w:id="82"/>
    <w:p>
      <w:pPr>
        <w:jc w:val="both"/>
        <w:spacing w:after="0" w:line="270" w:lineRule="auto"/>
        <w:rPr>
          <w:sz w:val="20"/>
          <w:szCs w:val="20"/>
          <w:color w:val="auto"/>
        </w:rPr>
      </w:pPr>
      <w:r>
        <w:rPr>
          <w:rFonts w:ascii="Arial" w:cs="Arial" w:eastAsia="Arial" w:hAnsi="Arial"/>
          <w:sz w:val="19"/>
          <w:szCs w:val="19"/>
          <w:color w:val="auto"/>
        </w:rPr>
        <w:t xml:space="preserve">excess of Five Hundred Thousand Dollars ($500,000) to such customers (which amount is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3.21</w:t>
      </w:r>
      <w:r>
        <w:rPr>
          <w:rFonts w:ascii="Arial" w:cs="Arial" w:eastAsia="Arial" w:hAnsi="Arial"/>
          <w:sz w:val="19"/>
          <w:szCs w:val="19"/>
          <w:color w:val="auto"/>
        </w:rPr>
        <w:t xml:space="preserve"> of the Company Disclosure Schedule) (collectively, the “</w:t>
      </w:r>
      <w:r>
        <w:rPr>
          <w:rFonts w:ascii="Arial" w:cs="Arial" w:eastAsia="Arial" w:hAnsi="Arial"/>
          <w:sz w:val="19"/>
          <w:szCs w:val="19"/>
          <w:u w:val="single" w:color="auto"/>
          <w:color w:val="auto"/>
        </w:rPr>
        <w:t>Material Customers</w:t>
      </w:r>
      <w:r>
        <w:rPr>
          <w:rFonts w:ascii="Arial" w:cs="Arial" w:eastAsia="Arial" w:hAnsi="Arial"/>
          <w:sz w:val="19"/>
          <w:szCs w:val="19"/>
          <w:color w:val="auto"/>
        </w:rPr>
        <w:t xml:space="preserve">”), and (b) a list of the top vendors of the Company, on an aggregate basis, by dollar value of net purchases in excess of Five Hundred Thousand Dollars ($500,000) from such vendors (which amount is set forth in </w:t>
      </w:r>
      <w:r>
        <w:rPr>
          <w:rFonts w:ascii="Arial" w:cs="Arial" w:eastAsia="Arial" w:hAnsi="Arial"/>
          <w:sz w:val="19"/>
          <w:szCs w:val="19"/>
          <w:u w:val="single" w:color="auto"/>
          <w:color w:val="auto"/>
        </w:rPr>
        <w:t>Section 3.21</w:t>
      </w:r>
      <w:r>
        <w:rPr>
          <w:rFonts w:ascii="Arial" w:cs="Arial" w:eastAsia="Arial" w:hAnsi="Arial"/>
          <w:sz w:val="19"/>
          <w:szCs w:val="19"/>
          <w:color w:val="auto"/>
        </w:rPr>
        <w:t xml:space="preserve"> of the Company Disclosure Schedule) (collectively, the “</w:t>
      </w:r>
      <w:r>
        <w:rPr>
          <w:rFonts w:ascii="Arial" w:cs="Arial" w:eastAsia="Arial" w:hAnsi="Arial"/>
          <w:sz w:val="19"/>
          <w:szCs w:val="19"/>
          <w:u w:val="single" w:color="auto"/>
          <w:color w:val="auto"/>
        </w:rPr>
        <w:t>Material Vendors</w:t>
      </w:r>
      <w:r>
        <w:rPr>
          <w:rFonts w:ascii="Arial" w:cs="Arial" w:eastAsia="Arial" w:hAnsi="Arial"/>
          <w:sz w:val="19"/>
          <w:szCs w:val="19"/>
          <w:color w:val="auto"/>
        </w:rPr>
        <w:t>”), in each case, for the fiscal year ended December 31, 2019, and for the eleven (11)-month period ended November 30, 2020. The Company has received no written or, to the Company’s Knowledge, oral notification from any of the Material Customers indicating that such Material Customer shall stop, materially decrease the rate of, or materially and adversely change the payment or price terms, with respect to, buying products or utilizing services from the Company. The Company has not received any written or, to the Company’s Knowledge, oral notification from any of the Material Vendors indicating that any such Material Vendor shall stop, materially decrease the rate of, or materially and adversely change the payment or price terms, with respect to, providing products or services to the Company. No Material Customer or Material Vendor has terminated, cancelled, or failed to renew, or given the Company written notice of its intention to terminate, cancel, or fail to renew, its business relationship with the Company within the past two (2) years. The Company is not party to, and in the last three (3) years has not been party to, any Legal Proceeding with any of the Material Customers or Material Vendors and, to the Knowledge of the Company, there exist no facts or circumstances that would result in any such Legal Proceeding being initiated.</w:t>
      </w:r>
    </w:p>
    <w:p>
      <w:pPr>
        <w:spacing w:after="0" w:line="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010000"/>
        </w:rPr>
        <w:t xml:space="preserve">3.22 </w:t>
      </w:r>
      <w:r>
        <w:rPr>
          <w:rFonts w:ascii="Arial" w:cs="Arial" w:eastAsia="Arial" w:hAnsi="Arial"/>
          <w:sz w:val="21"/>
          <w:szCs w:val="21"/>
          <w:u w:val="single" w:color="auto"/>
          <w:color w:val="000000"/>
        </w:rPr>
        <w:t>Officers and Directors; Bank Accounts</w:t>
      </w:r>
      <w:r>
        <w:rPr>
          <w:rFonts w:ascii="Arial" w:cs="Arial" w:eastAsia="Arial" w:hAnsi="Arial"/>
          <w:sz w:val="21"/>
          <w:szCs w:val="21"/>
          <w:color w:val="000000"/>
        </w:rPr>
        <w:t>.</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3.22(a)</w:t>
      </w:r>
      <w:r>
        <w:rPr>
          <w:rFonts w:ascii="Arial" w:cs="Arial" w:eastAsia="Arial" w:hAnsi="Arial"/>
          <w:sz w:val="21"/>
          <w:szCs w:val="21"/>
          <w:color w:val="010000"/>
        </w:rPr>
        <w:t xml:space="preserve"> </w:t>
      </w:r>
      <w:r>
        <w:rPr>
          <w:rFonts w:ascii="Arial" w:cs="Arial" w:eastAsia="Arial" w:hAnsi="Arial"/>
          <w:sz w:val="21"/>
          <w:szCs w:val="21"/>
          <w:color w:val="000000"/>
        </w:rPr>
        <w:t>of the Company Disclosure Schedule lists</w:t>
      </w:r>
      <w:r>
        <w:rPr>
          <w:rFonts w:ascii="Arial" w:cs="Arial" w:eastAsia="Arial" w:hAnsi="Arial"/>
          <w:sz w:val="21"/>
          <w:szCs w:val="21"/>
          <w:color w:val="010000"/>
        </w:rPr>
        <w:t xml:space="preserve"> </w:t>
      </w:r>
      <w:r>
        <w:rPr>
          <w:rFonts w:ascii="Arial" w:cs="Arial" w:eastAsia="Arial" w:hAnsi="Arial"/>
          <w:sz w:val="21"/>
          <w:szCs w:val="21"/>
          <w:color w:val="000000"/>
        </w:rPr>
        <w:t xml:space="preserve">the officers and directors for the Company. </w:t>
      </w:r>
      <w:r>
        <w:rPr>
          <w:rFonts w:ascii="Arial" w:cs="Arial" w:eastAsia="Arial" w:hAnsi="Arial"/>
          <w:sz w:val="21"/>
          <w:szCs w:val="21"/>
          <w:u w:val="single" w:color="auto"/>
          <w:color w:val="000000"/>
        </w:rPr>
        <w:t>Section 3.22(b)</w:t>
      </w:r>
      <w:r>
        <w:rPr>
          <w:rFonts w:ascii="Arial" w:cs="Arial" w:eastAsia="Arial" w:hAnsi="Arial"/>
          <w:sz w:val="21"/>
          <w:szCs w:val="21"/>
          <w:color w:val="000000"/>
        </w:rPr>
        <w:t xml:space="preserve"> of the Company Disclosure Schedule sets forth a true, correct, and complete list of all bank accounts and safe deposit boxes of the Company, including the number of each such account or box, the name of the holder of each such account or box, and the names of the Persons authorized to draw on each such account or to access each such box.</w:t>
      </w:r>
    </w:p>
    <w:p>
      <w:pPr>
        <w:spacing w:after="0" w:line="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3.23 </w:t>
      </w:r>
      <w:r>
        <w:rPr>
          <w:rFonts w:ascii="Arial" w:cs="Arial" w:eastAsia="Arial" w:hAnsi="Arial"/>
          <w:sz w:val="21"/>
          <w:szCs w:val="21"/>
          <w:u w:val="single" w:color="auto"/>
          <w:color w:val="000000"/>
        </w:rPr>
        <w:t>Product Warranty; Product Liability</w:t>
      </w:r>
      <w:r>
        <w:rPr>
          <w:rFonts w:ascii="Arial" w:cs="Arial" w:eastAsia="Arial" w:hAnsi="Arial"/>
          <w:sz w:val="21"/>
          <w:szCs w:val="21"/>
          <w:color w:val="000000"/>
        </w:rPr>
        <w:t>. No customers are entitled to, or benefit from, any service</w:t>
      </w:r>
      <w:r>
        <w:rPr>
          <w:rFonts w:ascii="Arial" w:cs="Arial" w:eastAsia="Arial" w:hAnsi="Arial"/>
          <w:sz w:val="21"/>
          <w:szCs w:val="21"/>
          <w:color w:val="010000"/>
        </w:rPr>
        <w:t xml:space="preserve"> </w:t>
      </w:r>
      <w:r>
        <w:rPr>
          <w:rFonts w:ascii="Arial" w:cs="Arial" w:eastAsia="Arial" w:hAnsi="Arial"/>
          <w:sz w:val="21"/>
          <w:szCs w:val="21"/>
          <w:color w:val="000000"/>
        </w:rPr>
        <w:t>level or performance guarantees with respect to the products sold by the Company. No customers are currently entitled to any material refunds, credits, or rights of set-off with respect to any products and services sold by the Company. No material warranty claim is currently pending against the Company with respect to any products or services sold by the Company. The Company does not have any material Liabilities with respect to the failure of any product or service designed, manufactured, or sold by the Company to be in conformity in all material respects with all product specifications, contractual commitments, and express and implied warranties. The Company has not, and none of its products are or have ever been, subject to any product recall, withdrawal, seizure, sequestration, or quarantine, whether voluntarily or at the discretion or Order of any Governmental Authority and, to the Knowledge of the Company, there is no reasonable basis for any recall, withdrawal, seizure, sequestration, or quarantine.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3.24</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98" w:lineRule="exact"/>
        <w:rPr>
          <w:sz w:val="20"/>
          <w:szCs w:val="20"/>
          <w:color w:val="auto"/>
        </w:rPr>
      </w:pPr>
    </w:p>
    <w:p>
      <w:pPr>
        <w:ind w:left="2300" w:hanging="672"/>
        <w:spacing w:after="0"/>
        <w:tabs>
          <w:tab w:leader="none" w:pos="2300" w:val="left"/>
        </w:tabs>
        <w:numPr>
          <w:ilvl w:val="0"/>
          <w:numId w:val="67"/>
        </w:numPr>
        <w:rPr>
          <w:rFonts w:ascii="Arial" w:cs="Arial" w:eastAsia="Arial" w:hAnsi="Arial"/>
          <w:sz w:val="22"/>
          <w:szCs w:val="22"/>
          <w:color w:val="010000"/>
        </w:rPr>
      </w:pPr>
      <w:r>
        <w:rPr>
          <w:rFonts w:ascii="Arial" w:cs="Arial" w:eastAsia="Arial" w:hAnsi="Arial"/>
          <w:sz w:val="22"/>
          <w:szCs w:val="22"/>
          <w:color w:val="auto"/>
        </w:rPr>
        <w:t>The Company does not own any real property.</w:t>
      </w:r>
    </w:p>
    <w:p>
      <w:pPr>
        <w:spacing w:after="0" w:line="206" w:lineRule="exact"/>
        <w:rPr>
          <w:rFonts w:ascii="Arial" w:cs="Arial" w:eastAsia="Arial" w:hAnsi="Arial"/>
          <w:sz w:val="22"/>
          <w:szCs w:val="22"/>
          <w:color w:val="010000"/>
        </w:rPr>
      </w:pPr>
    </w:p>
    <w:p>
      <w:pPr>
        <w:jc w:val="both"/>
        <w:ind w:left="340" w:firstLine="1288"/>
        <w:spacing w:after="0"/>
        <w:tabs>
          <w:tab w:leader="none" w:pos="2509"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Section 3.24(b)</w:t>
      </w:r>
      <w:r>
        <w:rPr>
          <w:rFonts w:ascii="Arial" w:cs="Arial" w:eastAsia="Arial" w:hAnsi="Arial"/>
          <w:sz w:val="22"/>
          <w:szCs w:val="22"/>
          <w:color w:val="auto"/>
        </w:rPr>
        <w:t xml:space="preserve"> of the Company Disclosure Schedule sets forth a true, correct, and complete list of all leases, subleases and occupancy agreements of real property (the “</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pursuant to which the Company is the lessee or sublessee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3" w:name="page84"/>
    <w:bookmarkEnd w:id="83"/>
    <w:p>
      <w:pPr>
        <w:jc w:val="both"/>
        <w:spacing w:after="0" w:line="270" w:lineRule="auto"/>
        <w:rPr>
          <w:sz w:val="20"/>
          <w:szCs w:val="20"/>
          <w:color w:val="auto"/>
        </w:rPr>
      </w:pPr>
      <w:r>
        <w:rPr>
          <w:rFonts w:ascii="Arial" w:cs="Arial" w:eastAsia="Arial" w:hAnsi="Arial"/>
          <w:sz w:val="19"/>
          <w:szCs w:val="19"/>
          <w:color w:val="auto"/>
        </w:rPr>
        <w:t>(individually, a “</w:t>
      </w:r>
      <w:r>
        <w:rPr>
          <w:rFonts w:ascii="Arial" w:cs="Arial" w:eastAsia="Arial" w:hAnsi="Arial"/>
          <w:sz w:val="19"/>
          <w:szCs w:val="19"/>
          <w:u w:val="single" w:color="auto"/>
          <w:color w:val="auto"/>
        </w:rPr>
        <w:t>Real Property Lease</w:t>
      </w:r>
      <w:r>
        <w:rPr>
          <w:rFonts w:ascii="Arial" w:cs="Arial" w:eastAsia="Arial" w:hAnsi="Arial"/>
          <w:sz w:val="19"/>
          <w:szCs w:val="19"/>
          <w:color w:val="auto"/>
        </w:rPr>
        <w:t>”). Each such Real Property Lease is in full force and effect and is a legal, valid, binding and enforceable obligation of the Company, and, to the Knowledge of the Company, of the other party or parties thereto, except as enforceability may be limited by applicable Equitable Principles. The Company has delivered to Purchaser true, correct, and complete copies of the Real Property Leases, including any restatements, amendments, supplements, and modifications thereto. The Company is not presently in material default under any material Real Property Lease, nor, to the Knowledge of the Company, has any event or state of facts occurred that, with the giving of notice or the passage of time, would mature into a default under any Real Property Lease. Except for tenant improvements at the Leased Real Property with an aggregate cost that does not exceed Five Thousand Dollars ($5,000), the Company has completed any works of improvement required by the Real Property Leases and has paid in full any design professionals, contractors, subcontractors, material suppliers, or other Persons who pursuant to Law may file or record a Lien on the fee or leasehold estate of the Leased Real Property. The Company has made no alterations or additions to the Leased Real Property except in accordance with the Real Property Leases and Law, except as would not reasonably be expected to be material to the Company. To the extent any of the Real Property Leases granted the Company a tenant improvement allowance or other reimbursement mechanism in connection with space planning, design, engineering, construction work, materials, moving costs or other uses as permitted by such Real Property Lease, the Company has received all such funds in full.</w:t>
      </w:r>
    </w:p>
    <w:p>
      <w:pPr>
        <w:spacing w:after="0" w:line="168" w:lineRule="exact"/>
        <w:rPr>
          <w:sz w:val="20"/>
          <w:szCs w:val="20"/>
          <w:color w:val="auto"/>
        </w:rPr>
      </w:pPr>
    </w:p>
    <w:p>
      <w:pPr>
        <w:jc w:val="both"/>
        <w:ind w:firstLine="1288"/>
        <w:spacing w:after="0" w:line="270" w:lineRule="auto"/>
        <w:tabs>
          <w:tab w:leader="none" w:pos="2116"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 xml:space="preserve">The Leased Real Property constitutes all interests in real property currently used in, held for use in, or intended to be used in, occupied, or related to the Business and that are necessary for the continued operation of the Business as presently operated. The Company holds a valid leasehold estate in each Leased Real Property pursuant to each Real Property Lease and all Real Property Leases are exclusively in writing and are in full force and effect. The Company has accepted full and complete possession of the Leased Real Property and, except as set forth on </w:t>
      </w:r>
      <w:r>
        <w:rPr>
          <w:rFonts w:ascii="Arial" w:cs="Arial" w:eastAsia="Arial" w:hAnsi="Arial"/>
          <w:sz w:val="19"/>
          <w:szCs w:val="19"/>
          <w:u w:val="single" w:color="auto"/>
          <w:color w:val="auto"/>
        </w:rPr>
        <w:t>Section 3.24(c)(i)</w:t>
      </w:r>
      <w:r>
        <w:rPr>
          <w:rFonts w:ascii="Arial" w:cs="Arial" w:eastAsia="Arial" w:hAnsi="Arial"/>
          <w:sz w:val="19"/>
          <w:szCs w:val="19"/>
          <w:color w:val="auto"/>
        </w:rPr>
        <w:t xml:space="preserve"> of the Company Disclosure Schedule, is the sole and actual occupant in possession thereof. No claim, controversy, dispute, or disagreement involving the Company exists with respect to any of the Real Property Leases or the Leased Real Property. Except as set forth on </w:t>
      </w:r>
      <w:r>
        <w:rPr>
          <w:rFonts w:ascii="Arial" w:cs="Arial" w:eastAsia="Arial" w:hAnsi="Arial"/>
          <w:sz w:val="19"/>
          <w:szCs w:val="19"/>
          <w:u w:val="single" w:color="auto"/>
          <w:color w:val="auto"/>
        </w:rPr>
        <w:t>Section 3.24(c)(ii)</w:t>
      </w:r>
      <w:r>
        <w:rPr>
          <w:rFonts w:ascii="Arial" w:cs="Arial" w:eastAsia="Arial" w:hAnsi="Arial"/>
          <w:sz w:val="19"/>
          <w:szCs w:val="19"/>
          <w:color w:val="auto"/>
        </w:rPr>
        <w:t xml:space="preserve"> of the Company Disclosure Schedule, all of the buildings, structures, fixtures and improvements on the Leased Real Property (A) are in good operating condition, and all mechanical and other systems located thereon are in good operating condition (ordinary wear and tear excepted) and (B) are without material structural defects. All of the Leased Real Property and the buildings, structures, fixtures and improvements thereon are adequate for their current uses and comply with, and are being operated and otherwise used in compliance, in all material respects, with all applicable Law. The Company has not received notice that any Leased Real Property is not in compliance, in all material respects, with applicable Law or that any buildings, structures, fixtures and improvements situated thereon are not located wholly within the boundary lines of the applicable legal parcel of real property upon which they are situated. There does not exist any actual or, to the Knowledge of the Company, threatened condemnation or eminent domain proceedings that affect any Leased Real Property. The Company has not received any notice of the intention of any Governmental Authority or other Person to take or use all or any part of any Leased Real Property.</w:t>
      </w:r>
    </w:p>
    <w:p>
      <w:pPr>
        <w:spacing w:after="0" w:line="160" w:lineRule="exact"/>
        <w:rPr>
          <w:rFonts w:ascii="Arial" w:cs="Arial" w:eastAsia="Arial" w:hAnsi="Arial"/>
          <w:sz w:val="19"/>
          <w:szCs w:val="19"/>
          <w:color w:val="010000"/>
        </w:rPr>
      </w:pPr>
    </w:p>
    <w:p>
      <w:pPr>
        <w:ind w:left="1980" w:hanging="692"/>
        <w:spacing w:after="0"/>
        <w:tabs>
          <w:tab w:leader="none" w:pos="1980"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The Company has not assigned, mortgaged, transferred,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9"/>
          <w:szCs w:val="19"/>
          <w:color w:val="auto"/>
        </w:rPr>
        <w:t xml:space="preserve">hypothecated any Real Property Lease or any interest therein or leased or subleased all or any portion of the Leased Real Property, and, except as set forth on </w:t>
      </w:r>
      <w:r>
        <w:rPr>
          <w:rFonts w:ascii="Arial" w:cs="Arial" w:eastAsia="Arial" w:hAnsi="Arial"/>
          <w:sz w:val="19"/>
          <w:szCs w:val="19"/>
          <w:u w:val="single" w:color="auto"/>
          <w:color w:val="auto"/>
        </w:rPr>
        <w:t>Section 3.24(d)(i)</w:t>
      </w:r>
      <w:r>
        <w:rPr>
          <w:rFonts w:ascii="Arial" w:cs="Arial" w:eastAsia="Arial" w:hAnsi="Arial"/>
          <w:sz w:val="19"/>
          <w:szCs w:val="19"/>
          <w:color w:val="auto"/>
        </w:rPr>
        <w:t xml:space="preserve"> of the Company Disclosure Schedule, the Company is not a sublessor under any Real Property Lease, sublease, or other instrument granting to any other Person any right to the possession, lease, occupancy or enjoyment of any Leased Real Property. A true, correct, and complete list of any subordination, nondisturbance and attornment agreements to which the Company is a party are set forth on </w:t>
      </w:r>
      <w:r>
        <w:rPr>
          <w:rFonts w:ascii="Arial" w:cs="Arial" w:eastAsia="Arial" w:hAnsi="Arial"/>
          <w:sz w:val="19"/>
          <w:szCs w:val="19"/>
          <w:u w:val="single" w:color="auto"/>
          <w:color w:val="auto"/>
        </w:rPr>
        <w:t>Section 3.24(d)(ii)</w:t>
      </w:r>
      <w:r>
        <w:rPr>
          <w:rFonts w:ascii="Arial" w:cs="Arial" w:eastAsia="Arial" w:hAnsi="Arial"/>
          <w:sz w:val="19"/>
          <w:szCs w:val="19"/>
          <w:color w:val="auto"/>
        </w:rPr>
        <w:t xml:space="preserve"> of the Company Disclosure Schedule.</w:t>
      </w:r>
    </w:p>
    <w:p>
      <w:pPr>
        <w:spacing w:after="0" w:line="150" w:lineRule="exact"/>
        <w:rPr>
          <w:sz w:val="20"/>
          <w:szCs w:val="20"/>
          <w:color w:val="auto"/>
        </w:rPr>
      </w:pPr>
    </w:p>
    <w:p>
      <w:pPr>
        <w:jc w:val="both"/>
        <w:ind w:firstLine="1288"/>
        <w:spacing w:after="0" w:line="282" w:lineRule="auto"/>
        <w:tabs>
          <w:tab w:leader="none" w:pos="2062"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No security deposits or letters of credit held by any landlord under any Real Property Lease have been applied to any amounts owing under such Real Property Lease and the full amount of such security deposits or the full stated amounts of the letters of credit as stated in such Real Property Lease are being held by the landlord thereunder. </w:t>
      </w:r>
      <w:r>
        <w:rPr>
          <w:rFonts w:ascii="Arial" w:cs="Arial" w:eastAsia="Arial" w:hAnsi="Arial"/>
          <w:sz w:val="19"/>
          <w:szCs w:val="19"/>
          <w:u w:val="single" w:color="auto"/>
          <w:color w:val="auto"/>
        </w:rPr>
        <w:t>Section 3.24(e)</w:t>
      </w:r>
      <w:r>
        <w:rPr>
          <w:rFonts w:ascii="Arial" w:cs="Arial" w:eastAsia="Arial" w:hAnsi="Arial"/>
          <w:sz w:val="19"/>
          <w:szCs w:val="19"/>
          <w:color w:val="auto"/>
        </w:rPr>
        <w:t xml:space="preserve"> of the Company Disclosure Schedule sets forth the current amounts of security deposits or letters of credit held by the landlords of the Leased Real Property.</w:t>
      </w:r>
    </w:p>
    <w:p>
      <w:pPr>
        <w:spacing w:after="0" w:line="147" w:lineRule="exact"/>
        <w:rPr>
          <w:rFonts w:ascii="Arial" w:cs="Arial" w:eastAsia="Arial" w:hAnsi="Arial"/>
          <w:sz w:val="19"/>
          <w:szCs w:val="19"/>
          <w:color w:val="010000"/>
        </w:rPr>
      </w:pPr>
    </w:p>
    <w:p>
      <w:pPr>
        <w:jc w:val="both"/>
        <w:ind w:firstLine="1288"/>
        <w:spacing w:after="0" w:line="270" w:lineRule="auto"/>
        <w:tabs>
          <w:tab w:leader="none" w:pos="2011"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3.24(f)(i)</w:t>
      </w:r>
      <w:r>
        <w:rPr>
          <w:rFonts w:ascii="Arial" w:cs="Arial" w:eastAsia="Arial" w:hAnsi="Arial"/>
          <w:sz w:val="19"/>
          <w:szCs w:val="19"/>
          <w:color w:val="auto"/>
        </w:rPr>
        <w:t xml:space="preserve"> of the Company Disclosure Schedule, all rent, additional rent, real property Taxes, and possessory and use Taxes, insurance premiums, and all other charges or amounts required to be paid under any Real Property Lease are paid current. The Company has not received any notice from any insurance company that has issued a policy with respect to any Leased Real Property requiring performance of any structural or other repairs or alterations to such Leased Real Property. Except as set forth on </w:t>
      </w:r>
      <w:r>
        <w:rPr>
          <w:rFonts w:ascii="Arial" w:cs="Arial" w:eastAsia="Arial" w:hAnsi="Arial"/>
          <w:sz w:val="19"/>
          <w:szCs w:val="19"/>
          <w:u w:val="single" w:color="auto"/>
          <w:color w:val="auto"/>
        </w:rPr>
        <w:t>Section 3.24(f)(ii)</w:t>
      </w:r>
      <w:r>
        <w:rPr>
          <w:rFonts w:ascii="Arial" w:cs="Arial" w:eastAsia="Arial" w:hAnsi="Arial"/>
          <w:sz w:val="19"/>
          <w:szCs w:val="19"/>
          <w:color w:val="auto"/>
        </w:rPr>
        <w:t xml:space="preserve"> of the Company Disclosure Schedule, the Company does not own or hold, nor is the Company obligated under or a party to, any option, right of first refusal or other contractual right or obligation to purchase, acquire, sell, assign, lease or dispose of any real estate or any portion thereof or interest therein, including the Leased Real Property or any portion thereof. The Company has all certificates of occupancy and Permits of any Governmental Authority necessary for the current use and operation of each Leased Real Property, and Company has fully complied with all material requirements and conditions of the Permits applicable to it. There are no adverse claims by any Person (including adjoining property owners) or encroachments, protrusions or boundary disputes with respect to the Leased Real Property. Each Leased Real Property has access to (x) public roads or valid easements over private streets or private property for such ingress to, and egress from, such Leased Real Property and (y) water supply, storm and sanitary sewer facilities, telephone, gas and electrical connections, fire protection, drainage, telephony and data transmission and other public utilities, in the case of each of clauses (x) and (y), as is necessary to conduct the Business as it is currently conducted. The Leased Real Property and its continued use, occupancy and operation as currently used, occupied and operated, does not constitute a nonconforming use under any applicable Law relating to building, zoning, subdivision or other land use.</w:t>
      </w:r>
    </w:p>
    <w:p>
      <w:pPr>
        <w:spacing w:after="0" w:line="160" w:lineRule="exact"/>
        <w:rPr>
          <w:rFonts w:ascii="Arial" w:cs="Arial" w:eastAsia="Arial" w:hAnsi="Arial"/>
          <w:sz w:val="19"/>
          <w:szCs w:val="19"/>
          <w:color w:val="010000"/>
        </w:rPr>
      </w:pPr>
    </w:p>
    <w:p>
      <w:pPr>
        <w:jc w:val="both"/>
        <w:ind w:firstLine="1288"/>
        <w:spacing w:after="0" w:line="277" w:lineRule="auto"/>
        <w:tabs>
          <w:tab w:leader="none" w:pos="2088"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Section 3.24(g)(i)</w:t>
      </w:r>
      <w:r>
        <w:rPr>
          <w:rFonts w:ascii="Arial" w:cs="Arial" w:eastAsia="Arial" w:hAnsi="Arial"/>
          <w:sz w:val="19"/>
          <w:szCs w:val="19"/>
          <w:color w:val="auto"/>
        </w:rPr>
        <w:t xml:space="preserve"> of the Company Disclosure Schedule sets forth a true, correct, and complete list of all of the Company’s subleases, licenses, or other Contracts giving any other Person, other than the Company, a right of possession or use of the Leased Real Property, including any amendment, restatement, modification or waiver of any terms or conditions thereof (collectively, the “</w:t>
      </w:r>
      <w:r>
        <w:rPr>
          <w:rFonts w:ascii="Arial" w:cs="Arial" w:eastAsia="Arial" w:hAnsi="Arial"/>
          <w:sz w:val="19"/>
          <w:szCs w:val="19"/>
          <w:u w:val="single" w:color="auto"/>
          <w:color w:val="auto"/>
        </w:rPr>
        <w:t>Subleases</w:t>
      </w:r>
      <w:r>
        <w:rPr>
          <w:rFonts w:ascii="Arial" w:cs="Arial" w:eastAsia="Arial" w:hAnsi="Arial"/>
          <w:sz w:val="19"/>
          <w:szCs w:val="19"/>
          <w:color w:val="auto"/>
        </w:rPr>
        <w:t xml:space="preserve">”). Any Leased Real Property that the Company has granted a right of possession or use to an employee as a personal residence or for temporary lodging is listed on </w:t>
      </w:r>
      <w:r>
        <w:rPr>
          <w:rFonts w:ascii="Arial" w:cs="Arial" w:eastAsia="Arial" w:hAnsi="Arial"/>
          <w:sz w:val="19"/>
          <w:szCs w:val="19"/>
          <w:u w:val="single" w:color="auto"/>
          <w:color w:val="auto"/>
        </w:rPr>
        <w:t>Section 3.24(g)(ii)</w:t>
      </w:r>
      <w:r>
        <w:rPr>
          <w:rFonts w:ascii="Arial" w:cs="Arial" w:eastAsia="Arial" w:hAnsi="Arial"/>
          <w:sz w:val="19"/>
          <w:szCs w:val="19"/>
          <w:color w:val="auto"/>
        </w:rPr>
        <w:t xml:space="preserve"> of the Company Disclosure Schedule and except as set forth on </w:t>
      </w:r>
      <w:r>
        <w:rPr>
          <w:rFonts w:ascii="Arial" w:cs="Arial" w:eastAsia="Arial" w:hAnsi="Arial"/>
          <w:sz w:val="19"/>
          <w:szCs w:val="19"/>
          <w:u w:val="single" w:color="auto"/>
          <w:color w:val="auto"/>
        </w:rPr>
        <w:t>Section 3.24(g)(ii)</w:t>
      </w:r>
      <w:r>
        <w:rPr>
          <w:rFonts w:ascii="Arial" w:cs="Arial" w:eastAsia="Arial" w:hAnsi="Arial"/>
          <w:sz w:val="19"/>
          <w:szCs w:val="19"/>
          <w:color w:val="auto"/>
        </w:rPr>
        <w:t xml:space="preserve"> of the Company Disclosure Schedule, such grant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85" w:name="page86"/>
    <w:bookmarkEnd w:id="85"/>
    <w:p>
      <w:pPr>
        <w:jc w:val="both"/>
        <w:spacing w:after="0" w:line="246" w:lineRule="auto"/>
        <w:rPr>
          <w:sz w:val="20"/>
          <w:szCs w:val="20"/>
          <w:color w:val="auto"/>
        </w:rPr>
      </w:pPr>
      <w:r>
        <w:rPr>
          <w:rFonts w:ascii="Arial" w:cs="Arial" w:eastAsia="Arial" w:hAnsi="Arial"/>
          <w:sz w:val="21"/>
          <w:szCs w:val="21"/>
          <w:color w:val="auto"/>
        </w:rPr>
        <w:t xml:space="preserve">right of possession or use is evidenced in a written Sublease or employment agreement listed on such schedule. No rents or operating expense pass-throughs have been prepaid by any sublessee, licensee or other Person having a right of possession or use under any Sublease. </w:t>
      </w:r>
      <w:r>
        <w:rPr>
          <w:rFonts w:ascii="Arial" w:cs="Arial" w:eastAsia="Arial" w:hAnsi="Arial"/>
          <w:sz w:val="21"/>
          <w:szCs w:val="21"/>
          <w:u w:val="single" w:color="auto"/>
          <w:color w:val="auto"/>
        </w:rPr>
        <w:t>Section 3.24(g)(iii)</w:t>
      </w:r>
      <w:r>
        <w:rPr>
          <w:rFonts w:ascii="Arial" w:cs="Arial" w:eastAsia="Arial" w:hAnsi="Arial"/>
          <w:sz w:val="21"/>
          <w:szCs w:val="21"/>
          <w:color w:val="auto"/>
        </w:rPr>
        <w:t xml:space="preserve"> of the Company Disclosure Schedule sets forth the amounts of any security deposits held by the Company as sublessor, licensor or otherwise under any Sublease. To the Knowledge of the Company, no sublessee, licensee or other Person with a right of possession or occupancy under a Sublease is presently in material default under a Sublease and no event or state of facts has occurred that, with the giving of notice or the passage of time, would mature into a material default under any Sublease.</w:t>
      </w:r>
    </w:p>
    <w:p>
      <w:pPr>
        <w:spacing w:after="0" w:line="180" w:lineRule="exact"/>
        <w:rPr>
          <w:sz w:val="20"/>
          <w:szCs w:val="20"/>
          <w:color w:val="auto"/>
        </w:rPr>
      </w:pPr>
    </w:p>
    <w:p>
      <w:pPr>
        <w:ind w:firstLine="1288"/>
        <w:spacing w:after="0" w:line="245" w:lineRule="auto"/>
        <w:tabs>
          <w:tab w:leader="none" w:pos="1993" w:val="left"/>
        </w:tabs>
        <w:numPr>
          <w:ilvl w:val="0"/>
          <w:numId w:val="70"/>
        </w:numPr>
        <w:rPr>
          <w:rFonts w:ascii="Arial" w:cs="Arial" w:eastAsia="Arial" w:hAnsi="Arial"/>
          <w:sz w:val="21"/>
          <w:szCs w:val="21"/>
          <w:color w:val="010000"/>
        </w:rPr>
      </w:pPr>
      <w:r>
        <w:rPr>
          <w:rFonts w:ascii="Arial" w:cs="Arial" w:eastAsia="Arial" w:hAnsi="Arial"/>
          <w:sz w:val="21"/>
          <w:szCs w:val="21"/>
          <w:u w:val="single" w:color="auto"/>
          <w:color w:val="auto"/>
        </w:rPr>
        <w:t>Section 3.24(h)</w:t>
      </w:r>
      <w:r>
        <w:rPr>
          <w:rFonts w:ascii="Arial" w:cs="Arial" w:eastAsia="Arial" w:hAnsi="Arial"/>
          <w:sz w:val="21"/>
          <w:szCs w:val="21"/>
          <w:color w:val="auto"/>
        </w:rPr>
        <w:t xml:space="preserve"> of the Company Disclosure Schedule sets forth a list of each site where the Company flight tests its unmanned aircraft (the “</w:t>
      </w:r>
      <w:r>
        <w:rPr>
          <w:rFonts w:ascii="Arial" w:cs="Arial" w:eastAsia="Arial" w:hAnsi="Arial"/>
          <w:sz w:val="21"/>
          <w:szCs w:val="21"/>
          <w:u w:val="single" w:color="auto"/>
          <w:color w:val="auto"/>
        </w:rPr>
        <w:t>Government Testing Grounds</w:t>
      </w:r>
      <w:r>
        <w:rPr>
          <w:rFonts w:ascii="Arial" w:cs="Arial" w:eastAsia="Arial" w:hAnsi="Arial"/>
          <w:sz w:val="21"/>
          <w:szCs w:val="21"/>
          <w:color w:val="auto"/>
        </w:rPr>
        <w:t>”). Except for the Government Testing Grounds, the Company does not flight test its unmanned aircraft at any other location. The Company has not breached or violated the terms of any license, agreement, permission, or other understanding with the owner of the Government Testing Grounds. The Company has not violated in any material respect any Law in connection with its use of the Government Testing Grounds. The Company has not received from the owner or manager of the Government Testing Grounds any written notice that terminates, suspends, or impairs the Company’s ability to use the Government Testing Grounds in the ordinary course of the Business as currently conducted.</w:t>
      </w:r>
    </w:p>
    <w:p>
      <w:pPr>
        <w:spacing w:after="0" w:line="184"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3.25</w:t>
      </w:r>
      <w:r>
        <w:rPr>
          <w:sz w:val="20"/>
          <w:szCs w:val="20"/>
          <w:color w:val="auto"/>
        </w:rPr>
        <w:tab/>
      </w:r>
      <w:r>
        <w:rPr>
          <w:rFonts w:ascii="Arial" w:cs="Arial" w:eastAsia="Arial" w:hAnsi="Arial"/>
          <w:sz w:val="19"/>
          <w:szCs w:val="19"/>
          <w:u w:val="single" w:color="auto"/>
          <w:color w:val="auto"/>
        </w:rPr>
        <w:t>Government Stimulus Payments</w:t>
      </w:r>
      <w:r>
        <w:rPr>
          <w:rFonts w:ascii="Arial" w:cs="Arial" w:eastAsia="Arial" w:hAnsi="Arial"/>
          <w:sz w:val="19"/>
          <w:szCs w:val="19"/>
          <w:color w:val="auto"/>
        </w:rPr>
        <w:t>.</w:t>
      </w:r>
    </w:p>
    <w:p>
      <w:pPr>
        <w:spacing w:after="0" w:line="98" w:lineRule="exact"/>
        <w:rPr>
          <w:sz w:val="20"/>
          <w:szCs w:val="20"/>
          <w:color w:val="auto"/>
        </w:rPr>
      </w:pPr>
    </w:p>
    <w:p>
      <w:pPr>
        <w:jc w:val="both"/>
        <w:ind w:firstLine="1288"/>
        <w:spacing w:after="0" w:line="297" w:lineRule="auto"/>
        <w:tabs>
          <w:tab w:leader="none" w:pos="1968"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Other than the PPP Loan, neither the Company nor any Affiliate thereof has applied for, or received, any loans or grants pursuant to, or under, any PPP Laws. The Company has delivered to Purchaser a true, correct, and complete copy of each material PPP Loan Document relating to the PPP Loan.</w:t>
      </w:r>
    </w:p>
    <w:p>
      <w:pPr>
        <w:spacing w:after="0" w:line="133" w:lineRule="exact"/>
        <w:rPr>
          <w:rFonts w:ascii="Arial" w:cs="Arial" w:eastAsia="Arial" w:hAnsi="Arial"/>
          <w:sz w:val="19"/>
          <w:szCs w:val="19"/>
          <w:color w:val="010000"/>
        </w:rPr>
      </w:pPr>
    </w:p>
    <w:p>
      <w:pPr>
        <w:jc w:val="both"/>
        <w:ind w:firstLine="1288"/>
        <w:spacing w:after="0" w:line="249" w:lineRule="auto"/>
        <w:tabs>
          <w:tab w:leader="none" w:pos="2074" w:val="left"/>
        </w:tabs>
        <w:numPr>
          <w:ilvl w:val="1"/>
          <w:numId w:val="71"/>
        </w:numPr>
        <w:rPr>
          <w:rFonts w:ascii="Arial" w:cs="Arial" w:eastAsia="Arial" w:hAnsi="Arial"/>
          <w:sz w:val="21"/>
          <w:szCs w:val="21"/>
          <w:color w:val="010000"/>
        </w:rPr>
      </w:pPr>
      <w:r>
        <w:rPr>
          <w:rFonts w:ascii="Arial" w:cs="Arial" w:eastAsia="Arial" w:hAnsi="Arial"/>
          <w:sz w:val="21"/>
          <w:szCs w:val="21"/>
          <w:color w:val="auto"/>
        </w:rPr>
        <w:t>(i) The certifications of eligibility by the Company in the PPP Loan Documents were accurate certifications when the PPP Loan application was submitted to the PPP Lender and (ii) since applying for a PPP Loan until the repayment thereof, the Company was in material compliance with all PPP Laws and the PPP Loan Documents. All proceeds of the PPP Loan have been used by the Company solely for purposes permitted under the PPP Loan Documents.</w:t>
      </w:r>
    </w:p>
    <w:p>
      <w:pPr>
        <w:spacing w:after="0" w:line="178" w:lineRule="exact"/>
        <w:rPr>
          <w:rFonts w:ascii="Arial" w:cs="Arial" w:eastAsia="Arial" w:hAnsi="Arial"/>
          <w:sz w:val="21"/>
          <w:szCs w:val="21"/>
          <w:color w:val="010000"/>
        </w:rPr>
      </w:pPr>
    </w:p>
    <w:p>
      <w:pPr>
        <w:jc w:val="both"/>
        <w:ind w:firstLine="1288"/>
        <w:spacing w:after="0" w:line="287" w:lineRule="auto"/>
        <w:tabs>
          <w:tab w:leader="none" w:pos="2022"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The Company has not been in material breach of, nor in material default under, any of the PPP Loan Documents and prior to the repayment of the PPP Loan was not operating in violation of any PPP Laws with respect to the PPP Loan. The PPP Loan, including all interest, fees, and other amounts owing to the PPP Lender in connection with the PPP Loan was fully repaid effective on or before May 18, 2020.</w:t>
      </w:r>
    </w:p>
    <w:p>
      <w:pPr>
        <w:spacing w:after="0" w:line="142" w:lineRule="exact"/>
        <w:rPr>
          <w:rFonts w:ascii="Arial" w:cs="Arial" w:eastAsia="Arial" w:hAnsi="Arial"/>
          <w:sz w:val="19"/>
          <w:szCs w:val="19"/>
          <w:color w:val="010000"/>
        </w:rPr>
      </w:pPr>
    </w:p>
    <w:p>
      <w:pPr>
        <w:jc w:val="both"/>
        <w:ind w:firstLine="1288"/>
        <w:spacing w:after="0" w:line="236" w:lineRule="auto"/>
        <w:tabs>
          <w:tab w:leader="none" w:pos="2101"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The Company has not received any written notice from the PPP Lender, the SBA or any other Governmental Authority or Person regarding any actual, alleged or potential violation of the PPP Laws or any PPP Loan Document. The Company has maintained accurate and complete copies of all PPP Loan Documents and accurate and complete records of the documents supporting the application for, the use of, and the full repayment of, the PPP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86" w:name="page87"/>
    <w:bookmarkEnd w:id="86"/>
    <w:p>
      <w:pPr>
        <w:jc w:val="both"/>
        <w:ind w:firstLine="648"/>
        <w:spacing w:after="0" w:line="242" w:lineRule="auto"/>
        <w:rPr>
          <w:sz w:val="20"/>
          <w:szCs w:val="20"/>
          <w:color w:val="auto"/>
        </w:rPr>
      </w:pPr>
      <w:r>
        <w:rPr>
          <w:rFonts w:ascii="Arial" w:cs="Arial" w:eastAsia="Arial" w:hAnsi="Arial"/>
          <w:sz w:val="21"/>
          <w:szCs w:val="21"/>
          <w:color w:val="010000"/>
        </w:rPr>
        <w:t xml:space="preserve">3.26 </w:t>
      </w:r>
      <w:r>
        <w:rPr>
          <w:rFonts w:ascii="Arial" w:cs="Arial" w:eastAsia="Arial" w:hAnsi="Arial"/>
          <w:sz w:val="21"/>
          <w:szCs w:val="21"/>
          <w:u w:val="single" w:color="auto"/>
          <w:color w:val="000000"/>
        </w:rPr>
        <w:t>NO OTHER REPRESENTATIONS OR WARRANTIES</w:t>
      </w:r>
      <w:r>
        <w:rPr>
          <w:rFonts w:ascii="Arial" w:cs="Arial" w:eastAsia="Arial" w:hAnsi="Arial"/>
          <w:sz w:val="21"/>
          <w:szCs w:val="21"/>
          <w:color w:val="000000"/>
        </w:rPr>
        <w:t>. EXCEPT FOR THE</w:t>
      </w:r>
      <w:r>
        <w:rPr>
          <w:rFonts w:ascii="Arial" w:cs="Arial" w:eastAsia="Arial" w:hAnsi="Arial"/>
          <w:sz w:val="21"/>
          <w:szCs w:val="21"/>
          <w:color w:val="010000"/>
        </w:rPr>
        <w:t xml:space="preserve"> </w:t>
      </w:r>
      <w:r>
        <w:rPr>
          <w:rFonts w:ascii="Arial" w:cs="Arial" w:eastAsia="Arial" w:hAnsi="Arial"/>
          <w:sz w:val="21"/>
          <w:szCs w:val="21"/>
          <w:color w:val="000000"/>
        </w:rPr>
        <w:t xml:space="preserve">REPRESENTATIONS AND WARRANTIES CONTAINED IN THIS </w:t>
      </w:r>
      <w:r>
        <w:rPr>
          <w:rFonts w:ascii="Arial" w:cs="Arial" w:eastAsia="Arial" w:hAnsi="Arial"/>
          <w:sz w:val="21"/>
          <w:szCs w:val="21"/>
          <w:u w:val="single" w:color="auto"/>
          <w:color w:val="000000"/>
        </w:rPr>
        <w:t>ARTICLE III</w:t>
      </w:r>
      <w:r>
        <w:rPr>
          <w:rFonts w:ascii="Arial" w:cs="Arial" w:eastAsia="Arial" w:hAnsi="Arial"/>
          <w:sz w:val="21"/>
          <w:szCs w:val="21"/>
          <w:color w:val="000000"/>
        </w:rPr>
        <w:t xml:space="preserve"> AND/OR IN </w:t>
      </w:r>
      <w:r>
        <w:rPr>
          <w:rFonts w:ascii="Arial" w:cs="Arial" w:eastAsia="Arial" w:hAnsi="Arial"/>
          <w:sz w:val="21"/>
          <w:szCs w:val="21"/>
          <w:u w:val="single" w:color="auto"/>
          <w:color w:val="000000"/>
        </w:rPr>
        <w:t>ARTICLE IV</w:t>
      </w:r>
      <w:r>
        <w:rPr>
          <w:rFonts w:ascii="Arial" w:cs="Arial" w:eastAsia="Arial" w:hAnsi="Arial"/>
          <w:sz w:val="21"/>
          <w:szCs w:val="21"/>
          <w:color w:val="000000"/>
        </w:rPr>
        <w:t xml:space="preserve"> (EACH AS MODIFIED BY THE COMPANY DISCLOSURE SCHEDULE AND SELLER DISCLOSURE SCHEDULE, RESPECTIVELY) AND/OR ANY CERTIFICATE DELIVERED BY ANY SELLER, THE SELLERS’ REPRESENTATIVE OR THE COMPANY PURSUANT TO </w:t>
      </w:r>
      <w:r>
        <w:rPr>
          <w:rFonts w:ascii="Arial" w:cs="Arial" w:eastAsia="Arial" w:hAnsi="Arial"/>
          <w:sz w:val="21"/>
          <w:szCs w:val="21"/>
          <w:u w:val="single" w:color="auto"/>
          <w:color w:val="000000"/>
        </w:rPr>
        <w:t>SECTION 8.2</w:t>
      </w:r>
      <w:r>
        <w:rPr>
          <w:rFonts w:ascii="Arial" w:cs="Arial" w:eastAsia="Arial" w:hAnsi="Arial"/>
          <w:sz w:val="21"/>
          <w:szCs w:val="21"/>
          <w:color w:val="000000"/>
        </w:rPr>
        <w:t xml:space="preserve">, NONE OF THE COMPANY, SELLERS OR ANY OTHER PERSON MAKES, OR HAS BEEN AUTHORIZED BY THE COMPANY OR ITS AFFILIATES TO MAKE, ANY OTHER EXPRESS OR IMPLIED REPRESENTATION OR WARRANTY WITH RESPECT TO THE COMPANY, SELLERS, THE SHARES OR THE TRANSACTION, AND THE COMPANY DISCLAIMS ANY OTHER REPRESENTATIONS OR WARRANTIES, WHETHER MADE BY ANY SELLER, ANY AFFILIATE OF ANY SELLER, THE COMPANY, ANY AFFILIATE OF THE COMPANY OR ANY OF THEIR RESPECTIVE OFFICERS, DIRECTORS, MANAGERS, EMPLOYEES, AGENTS OR REPRESENTATIVES AND IF MADE, SUCH REPRESENTATION OR WARRANTY MAY NOT BE RELIED UPON BY PURCHASER OR ANY OF ITS AFFILIATES AND REPRESENTATIVES AS HAVING BEEN AUTHORIZED BY THE COMPANY OR ANY OF ITS AFFILIATES. EXCEPT FOR THE REPRESENTATIONS AND WARRANTIES CONTAINED IN THIS </w:t>
      </w:r>
      <w:r>
        <w:rPr>
          <w:rFonts w:ascii="Arial" w:cs="Arial" w:eastAsia="Arial" w:hAnsi="Arial"/>
          <w:sz w:val="21"/>
          <w:szCs w:val="21"/>
          <w:u w:val="single" w:color="auto"/>
          <w:color w:val="000000"/>
        </w:rPr>
        <w:t>ARTICLE III</w:t>
      </w:r>
      <w:r>
        <w:rPr>
          <w:rFonts w:ascii="Arial" w:cs="Arial" w:eastAsia="Arial" w:hAnsi="Arial"/>
          <w:sz w:val="21"/>
          <w:szCs w:val="21"/>
          <w:color w:val="000000"/>
        </w:rPr>
        <w:t xml:space="preserve"> (AS MODIFIED BY THE COMPANY DISCLOSURE SCHEDULE) AND/OR ANY CERTIFICATE DELIVERED BY THE COMPANY PURSUANT TO </w:t>
      </w:r>
      <w:r>
        <w:rPr>
          <w:rFonts w:ascii="Arial" w:cs="Arial" w:eastAsia="Arial" w:hAnsi="Arial"/>
          <w:sz w:val="21"/>
          <w:szCs w:val="21"/>
          <w:u w:val="single" w:color="auto"/>
          <w:color w:val="000000"/>
        </w:rPr>
        <w:t>SECTION 8.2</w:t>
      </w:r>
      <w:r>
        <w:rPr>
          <w:rFonts w:ascii="Arial" w:cs="Arial" w:eastAsia="Arial" w:hAnsi="Arial"/>
          <w:sz w:val="21"/>
          <w:szCs w:val="21"/>
          <w:color w:val="000000"/>
        </w:rPr>
        <w:t xml:space="preserve">, THE COMPANY HEREBY DISCLAIMS ALL LIABILITY AND RESPONSIBILITY FOR ANY REPRESENTATION, WARRANTY, OPINION, PROJECTION, FORECAST, STATEMENT, MEMORANDUM, PRESENTATION, ADVICE OR INFORMATION MADE, COMMUNICATED, OR FURNISHED (ORALLY OR IN WRITING) TO PURCHASER, ITS AFFILIATES OR ANY OF THEIR REPRESENTATIVES (INCLUDING ANY OPINION, PROJECTION, FORECAST, STATEMENT, MEMORANDUM, PRESENTATION, ADVICE OR INFORMATION THAT MAY HAVE BEEN OR MAY BE PROVIDED TO PURCHASER, ITS AFFILIATES OR ANY OF THEIR REPRESENTATIVES, BY ANY DIRECTOR, OFFICER, EMPLOYEE, AGENT, CONSULTANT OR REPRESENTATIVE OF THE COMPANY OR ANY OF ITS AFFILIATES, INCLUDING, ANY INFORMATION MADE AVAILABLE IN THE DATA ROOM). NONE OF THE COMPANY, SELLERS OR ANY OTHER PERSON MAKES ANY REPRESENTATIONS OR WARRANTIES TO PURCHASER REGARDING THE PROBABLE SUCCESS OR PROFITABILITY OF THE BUSINESS CONDUCTED BY THE COMPANY. NOTWITHSTANDING ANY OF THE FOREGOING TO THE CONTRARY, NOTHING IN THIS </w:t>
      </w:r>
      <w:r>
        <w:rPr>
          <w:rFonts w:ascii="Arial" w:cs="Arial" w:eastAsia="Arial" w:hAnsi="Arial"/>
          <w:sz w:val="21"/>
          <w:szCs w:val="21"/>
          <w:u w:val="single" w:color="auto"/>
          <w:color w:val="000000"/>
        </w:rPr>
        <w:t>SECTION 3.26</w:t>
      </w:r>
      <w:r>
        <w:rPr>
          <w:rFonts w:ascii="Arial" w:cs="Arial" w:eastAsia="Arial" w:hAnsi="Arial"/>
          <w:sz w:val="21"/>
          <w:szCs w:val="21"/>
          <w:color w:val="000000"/>
        </w:rPr>
        <w:t xml:space="preserve"> SHALL BE DEEMED OR CONSTRUED TO PRECLUDE OR IN ANY WAY LIMIT ANY CLAIM FOR FRAUD (AS DEFINED HEREIN).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WITH RESPECT TO SELLERS</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Except as set forth on the disclosure schedule delivered by Sellers to Purchaser concurrently with their entry into this Agreement (the “</w:t>
      </w:r>
      <w:r>
        <w:rPr>
          <w:rFonts w:ascii="Arial" w:cs="Arial" w:eastAsia="Arial" w:hAnsi="Arial"/>
          <w:sz w:val="22"/>
          <w:szCs w:val="22"/>
          <w:u w:val="single" w:color="auto"/>
          <w:color w:val="auto"/>
        </w:rPr>
        <w:t>Seller Disclosure Schedule</w:t>
      </w:r>
      <w:r>
        <w:rPr>
          <w:rFonts w:ascii="Arial" w:cs="Arial" w:eastAsia="Arial" w:hAnsi="Arial"/>
          <w:sz w:val="22"/>
          <w:szCs w:val="22"/>
          <w:color w:val="auto"/>
        </w:rPr>
        <w:t>”), each Seller hereby represents and warrants to Purchaser, in each case solely with respect to such Seller, as follows: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4.1 </w:t>
      </w:r>
      <w:r>
        <w:rPr>
          <w:rFonts w:ascii="Arial" w:cs="Arial" w:eastAsia="Arial" w:hAnsi="Arial"/>
          <w:sz w:val="22"/>
          <w:szCs w:val="22"/>
          <w:u w:val="single" w:color="auto"/>
          <w:color w:val="000000"/>
        </w:rPr>
        <w:t>Authorization of Agreement</w:t>
      </w:r>
      <w:r>
        <w:rPr>
          <w:rFonts w:ascii="Arial" w:cs="Arial" w:eastAsia="Arial" w:hAnsi="Arial"/>
          <w:sz w:val="22"/>
          <w:szCs w:val="22"/>
          <w:color w:val="000000"/>
        </w:rPr>
        <w:t>. Such Seller has the requisite power and authority to execute and</w:t>
      </w:r>
      <w:r>
        <w:rPr>
          <w:rFonts w:ascii="Arial" w:cs="Arial" w:eastAsia="Arial" w:hAnsi="Arial"/>
          <w:sz w:val="22"/>
          <w:szCs w:val="22"/>
          <w:color w:val="010000"/>
        </w:rPr>
        <w:t xml:space="preserve"> </w:t>
      </w:r>
      <w:r>
        <w:rPr>
          <w:rFonts w:ascii="Arial" w:cs="Arial" w:eastAsia="Arial" w:hAnsi="Arial"/>
          <w:sz w:val="22"/>
          <w:szCs w:val="22"/>
          <w:color w:val="000000"/>
        </w:rPr>
        <w:t>deliver this Agreement and each other Transaction Agreement to which it is a party, to perform its obligations hereunder and thereunder and to consummate the Transaction.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87" w:name="page88"/>
    <w:bookmarkEnd w:id="87"/>
    <w:p>
      <w:pPr>
        <w:jc w:val="both"/>
        <w:spacing w:after="0" w:line="279" w:lineRule="auto"/>
        <w:rPr>
          <w:sz w:val="20"/>
          <w:szCs w:val="20"/>
          <w:color w:val="auto"/>
        </w:rPr>
      </w:pPr>
      <w:r>
        <w:rPr>
          <w:rFonts w:ascii="Arial" w:cs="Arial" w:eastAsia="Arial" w:hAnsi="Arial"/>
          <w:sz w:val="19"/>
          <w:szCs w:val="19"/>
          <w:color w:val="auto"/>
        </w:rPr>
        <w:t>and delivery of the Transaction Agreements and the consummation of the Transaction contemplated thereby have been duly authorized by the requisite action on the part of such Seller. Each of the Transaction Agreements to which such Seller is a party has been or will be at or prior to the Closing, duly and validly executed and delivered by such Seller and (assuming the due authorization, execution and delivery by the other parties thereto) each such Transaction Agreement, when so executed and delivered, will constitute, the legal, valid and binding obligations of such Seller, enforceable against it in accordance with its terms, subject to applicable Equitable Principles.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Equity Interests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tabs>
          <w:tab w:leader="none" w:pos="20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Seller owns the number of Equity Interests set forth opposite such Seller’s name in the Capitalization Schedule free and clear of Liens, other than restrictions on transfer under applicable securities Laws.</w:t>
      </w:r>
    </w:p>
    <w:p>
      <w:pPr>
        <w:spacing w:after="0" w:line="186" w:lineRule="exact"/>
        <w:rPr>
          <w:rFonts w:ascii="Arial" w:cs="Arial" w:eastAsia="Arial" w:hAnsi="Arial"/>
          <w:sz w:val="22"/>
          <w:szCs w:val="22"/>
          <w:color w:val="auto"/>
        </w:rPr>
      </w:pPr>
    </w:p>
    <w:p>
      <w:pPr>
        <w:ind w:left="1980" w:hanging="676"/>
        <w:spacing w:after="0"/>
        <w:tabs>
          <w:tab w:leader="none" w:pos="19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If such Seller is a Shareholder:</w:t>
      </w:r>
    </w:p>
    <w:p>
      <w:pPr>
        <w:spacing w:after="0" w:line="206" w:lineRule="exact"/>
        <w:rPr>
          <w:rFonts w:ascii="Arial" w:cs="Arial" w:eastAsia="Arial" w:hAnsi="Arial"/>
          <w:sz w:val="22"/>
          <w:szCs w:val="22"/>
          <w:color w:val="auto"/>
        </w:rPr>
      </w:pPr>
    </w:p>
    <w:p>
      <w:pPr>
        <w:jc w:val="both"/>
        <w:ind w:firstLine="1952"/>
        <w:spacing w:after="0" w:line="252" w:lineRule="auto"/>
        <w:tabs>
          <w:tab w:leader="none" w:pos="2890" w:val="left"/>
        </w:tabs>
        <w:numPr>
          <w:ilvl w:val="1"/>
          <w:numId w:val="72"/>
        </w:numPr>
        <w:rPr>
          <w:rFonts w:ascii="Arial" w:cs="Arial" w:eastAsia="Arial" w:hAnsi="Arial"/>
          <w:sz w:val="21"/>
          <w:szCs w:val="21"/>
          <w:color w:val="010000"/>
        </w:rPr>
      </w:pPr>
      <w:r>
        <w:rPr>
          <w:rFonts w:ascii="Arial" w:cs="Arial" w:eastAsia="Arial" w:hAnsi="Arial"/>
          <w:sz w:val="21"/>
          <w:szCs w:val="21"/>
          <w:color w:val="auto"/>
        </w:rPr>
        <w:t>Such Shareholder has the power, authority, and legal capacity to sell, transfer, assign, and deliver such Shareholder’s Shares as provided in this Agreement and such delivery will convey to Purchaser good, valid, and marketable title to such Shareholder’s Shares, free and clear of any and all Liens (other than restrictions on transfer arising under applicable securities Laws).</w:t>
      </w:r>
    </w:p>
    <w:p>
      <w:pPr>
        <w:spacing w:after="0" w:line="173" w:lineRule="exact"/>
        <w:rPr>
          <w:rFonts w:ascii="Arial" w:cs="Arial" w:eastAsia="Arial" w:hAnsi="Arial"/>
          <w:sz w:val="21"/>
          <w:szCs w:val="21"/>
          <w:color w:val="010000"/>
        </w:rPr>
      </w:pPr>
    </w:p>
    <w:p>
      <w:pPr>
        <w:jc w:val="both"/>
        <w:ind w:firstLine="1952"/>
        <w:spacing w:after="0"/>
        <w:tabs>
          <w:tab w:leader="none" w:pos="2721"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Such Shareholder is not a party to any voting trust, proxy, or other agreement or understanding between or among any Persons that affects or relates to the voting or giving of written consent with respect to the Shares owned by such Shareholder.</w:t>
      </w:r>
    </w:p>
    <w:p>
      <w:pPr>
        <w:spacing w:after="0" w:line="186" w:lineRule="exact"/>
        <w:rPr>
          <w:rFonts w:ascii="Arial" w:cs="Arial" w:eastAsia="Arial" w:hAnsi="Arial"/>
          <w:sz w:val="22"/>
          <w:szCs w:val="22"/>
          <w:color w:val="010000"/>
        </w:rPr>
      </w:pPr>
    </w:p>
    <w:p>
      <w:pPr>
        <w:jc w:val="both"/>
        <w:ind w:firstLine="1952"/>
        <w:spacing w:after="0" w:line="238" w:lineRule="auto"/>
        <w:tabs>
          <w:tab w:leader="none" w:pos="2848"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There are no preemptive rights, co-sale rights, rights of first refusal, transfer restrictions, or similar rights with respect to such Shareholder’s Shares to which such Shareholder may be entitled, or that such Shareholder has granted to any other Person, in relation to the sale and purchase of such Shareholder’s Shares hereunder.</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4.3 </w:t>
      </w:r>
      <w:r>
        <w:rPr>
          <w:rFonts w:ascii="Arial" w:cs="Arial" w:eastAsia="Arial" w:hAnsi="Arial"/>
          <w:sz w:val="21"/>
          <w:szCs w:val="21"/>
          <w:u w:val="single" w:color="auto"/>
          <w:color w:val="000000"/>
        </w:rPr>
        <w:t>Conflicts; Consents of Third Parties</w:t>
      </w:r>
      <w:r>
        <w:rPr>
          <w:rFonts w:ascii="Arial" w:cs="Arial" w:eastAsia="Arial" w:hAnsi="Arial"/>
          <w:sz w:val="21"/>
          <w:szCs w:val="21"/>
          <w:color w:val="000000"/>
        </w:rPr>
        <w:t>. Assuming the Governmental Approvals are given, made, or</w:t>
      </w:r>
      <w:r>
        <w:rPr>
          <w:rFonts w:ascii="Arial" w:cs="Arial" w:eastAsia="Arial" w:hAnsi="Arial"/>
          <w:sz w:val="21"/>
          <w:szCs w:val="21"/>
          <w:color w:val="010000"/>
        </w:rPr>
        <w:t xml:space="preserve"> </w:t>
      </w:r>
      <w:r>
        <w:rPr>
          <w:rFonts w:ascii="Arial" w:cs="Arial" w:eastAsia="Arial" w:hAnsi="Arial"/>
          <w:sz w:val="21"/>
          <w:szCs w:val="21"/>
          <w:color w:val="000000"/>
        </w:rPr>
        <w:t>obtained, as the case may be, none of the execution and delivery by such Seller of this Agreement or the other Transaction Agreements to which it is a party, or the consummation of the Transaction by such Seller, conflicts with, violates or constitutes a default (with or without notice or lapse of time, or both) under, permits the acceleration of any obligation under, gives rise to a right of termination, modification or cancellation by any third party under, or requires the consent or approval of, notice to, or other action by, any Person under, any provision of (a) the trust agreement of such Seller, as applicable; (b) any material Contract to which such Seller is a party or by which any of its properties or assets are bound; or (c) any Law applicable to such Seller, except in the case of clauses (b) and (c), where such conflict, violation or default would not result, or reasonably be expected to result, individually or in the aggregate, in a material adverse effect on the ability of such Seller to perform its obligations under this Agreement.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u w:val="single" w:color="auto"/>
          <w:color w:val="000000"/>
        </w:rPr>
        <w:t>Legal Proceedings</w:t>
      </w:r>
      <w:r>
        <w:rPr>
          <w:rFonts w:ascii="Arial" w:cs="Arial" w:eastAsia="Arial" w:hAnsi="Arial"/>
          <w:sz w:val="22"/>
          <w:szCs w:val="22"/>
          <w:color w:val="000000"/>
        </w:rPr>
        <w:t>. There are no pending or, to the Knowledge of such Seller, threatened, Legal</w:t>
      </w:r>
      <w:r>
        <w:rPr>
          <w:rFonts w:ascii="Arial" w:cs="Arial" w:eastAsia="Arial" w:hAnsi="Arial"/>
          <w:sz w:val="22"/>
          <w:szCs w:val="22"/>
          <w:color w:val="010000"/>
        </w:rPr>
        <w:t xml:space="preserve"> </w:t>
      </w:r>
      <w:r>
        <w:rPr>
          <w:rFonts w:ascii="Arial" w:cs="Arial" w:eastAsia="Arial" w:hAnsi="Arial"/>
          <w:sz w:val="22"/>
          <w:szCs w:val="22"/>
          <w:color w:val="000000"/>
        </w:rPr>
        <w:t>Proceedings against such Seller (a) which, if determined adversely to such Seller, would reasonably be expected to adversely affect the ability of such Seller to consummate the Transaction or (b) challenging, or that would reasonably be expected to have the effect of preventing,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8" w:name="page89"/>
    <w:bookmarkEnd w:id="88"/>
    <w:p>
      <w:pPr>
        <w:jc w:val="both"/>
        <w:spacing w:after="0" w:line="287" w:lineRule="auto"/>
        <w:rPr>
          <w:sz w:val="20"/>
          <w:szCs w:val="20"/>
          <w:color w:val="auto"/>
        </w:rPr>
      </w:pPr>
      <w:r>
        <w:rPr>
          <w:rFonts w:ascii="Arial" w:cs="Arial" w:eastAsia="Arial" w:hAnsi="Arial"/>
          <w:sz w:val="19"/>
          <w:szCs w:val="19"/>
          <w:color w:val="auto"/>
        </w:rPr>
        <w:t>making illegal, or otherwise materially interfering with, the Transaction. There are no settlement agreements or similar written agreements with any Governmental Authority or other Person and no outstanding Orders issued by any Governmental Authority against such Seller that relate to such Seller’s, direct or indirect (as the case may be), ownership of such Seller’s Equity Interests, or that would otherwise prevent or materially delay the Closing.</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4.5</w:t>
      </w:r>
      <w:r>
        <w:rPr>
          <w:sz w:val="20"/>
          <w:szCs w:val="20"/>
          <w:color w:val="auto"/>
        </w:rPr>
        <w:tab/>
      </w:r>
      <w:r>
        <w:rPr>
          <w:rFonts w:ascii="Arial" w:cs="Arial" w:eastAsia="Arial" w:hAnsi="Arial"/>
          <w:sz w:val="19"/>
          <w:szCs w:val="19"/>
          <w:u w:val="single" w:color="auto"/>
          <w:color w:val="auto"/>
        </w:rPr>
        <w:t>Stock Consideration</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5" w:lineRule="auto"/>
        <w:tabs>
          <w:tab w:leader="none" w:pos="2163"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Such Seller is acquiring the Purchaser Shares as principal solely for such Seller’s own account for investment purposes and not with a view to resale or distribution thereof, in whole or in part, in violation of applicable federal or state securities Laws. Such Seller does not have any agreement or arrangement, formal or informal, with any Person to sell or transfer all or any part of any of the Purchaser Shares, and such Seller does not have any plans to enter into any such agreement or arrangement. Such Seller is an “accredited investor” as defined in Regulation D under the Securities Act, and is able to bear the economic risk of holding the Purchaser Shares for an indefinite period, and, individually or with such Seller’s advisors, has knowledge and experience in financial and business matters such that such Seller is capable of evaluating the risks of the investment in the Purchaser Shares.</w:t>
      </w:r>
    </w:p>
    <w:p>
      <w:pPr>
        <w:spacing w:after="0" w:line="184" w:lineRule="exact"/>
        <w:rPr>
          <w:rFonts w:ascii="Arial" w:cs="Arial" w:eastAsia="Arial" w:hAnsi="Arial"/>
          <w:sz w:val="21"/>
          <w:szCs w:val="21"/>
          <w:color w:val="auto"/>
        </w:rPr>
      </w:pPr>
    </w:p>
    <w:p>
      <w:pPr>
        <w:jc w:val="both"/>
        <w:ind w:firstLine="1304"/>
        <w:spacing w:after="0" w:line="245" w:lineRule="auto"/>
        <w:tabs>
          <w:tab w:leader="none" w:pos="2073"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 evaluating the suitability of an investment in the Purchaser Shares, such Seller has not relied upon any representation or other information (oral or written) other than those contained in this Agreement, and in Purchaser’s Annual Report on Form 10-K for the fiscal year ended April 30, 2020 and other filings with the United States Securities and Exchange Commission (“</w:t>
      </w:r>
      <w:r>
        <w:rPr>
          <w:rFonts w:ascii="Arial" w:cs="Arial" w:eastAsia="Arial" w:hAnsi="Arial"/>
          <w:sz w:val="21"/>
          <w:szCs w:val="21"/>
          <w:u w:val="single" w:color="auto"/>
          <w:color w:val="auto"/>
        </w:rPr>
        <w:t>SEC</w:t>
      </w:r>
      <w:r>
        <w:rPr>
          <w:rFonts w:ascii="Arial" w:cs="Arial" w:eastAsia="Arial" w:hAnsi="Arial"/>
          <w:sz w:val="21"/>
          <w:szCs w:val="21"/>
          <w:color w:val="auto"/>
        </w:rPr>
        <w:t>”) (to the extent not superseded or amended by subsequent filings) (the “</w:t>
      </w:r>
      <w:r>
        <w:rPr>
          <w:rFonts w:ascii="Arial" w:cs="Arial" w:eastAsia="Arial" w:hAnsi="Arial"/>
          <w:sz w:val="21"/>
          <w:szCs w:val="21"/>
          <w:u w:val="single" w:color="auto"/>
          <w:color w:val="auto"/>
        </w:rPr>
        <w:t>Public Reports</w:t>
      </w:r>
      <w:r>
        <w:rPr>
          <w:rFonts w:ascii="Arial" w:cs="Arial" w:eastAsia="Arial" w:hAnsi="Arial"/>
          <w:sz w:val="21"/>
          <w:szCs w:val="21"/>
          <w:color w:val="auto"/>
        </w:rPr>
        <w:t>”), or as set forth in the immediately following sentence. Such Seller has had the opportunity to ask questions of and receive answers from Purchaser and its officers and directors, and to obtain such information as such Seller deems necessary to verify the accuracy (i) of the information referred to in the Public Reports and (ii) of any other information relevant to making an investment decision with respect to the Purchaser Shares.</w:t>
      </w:r>
    </w:p>
    <w:p>
      <w:pPr>
        <w:spacing w:after="0" w:line="184" w:lineRule="exact"/>
        <w:rPr>
          <w:rFonts w:ascii="Arial" w:cs="Arial" w:eastAsia="Arial" w:hAnsi="Arial"/>
          <w:sz w:val="21"/>
          <w:szCs w:val="21"/>
          <w:color w:val="auto"/>
        </w:rPr>
      </w:pPr>
    </w:p>
    <w:p>
      <w:pPr>
        <w:jc w:val="both"/>
        <w:ind w:firstLine="1304"/>
        <w:spacing w:after="0" w:line="246" w:lineRule="auto"/>
        <w:tabs>
          <w:tab w:leader="none" w:pos="2071"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Such Seller has not and, to the Knowledge of such Seller, such Seller’s Family Members and/or Affiliates have not, in each case, directly or indirectly, traded in Purchaser’s securities or engaged in any transactions in the securities of Purchaser (including, without limitation, any Short Sales involving any of Purchaser’s securities) on or after August 1, 2020. “</w:t>
      </w:r>
      <w:r>
        <w:rPr>
          <w:rFonts w:ascii="Arial" w:cs="Arial" w:eastAsia="Arial" w:hAnsi="Arial"/>
          <w:sz w:val="21"/>
          <w:szCs w:val="21"/>
          <w:u w:val="single" w:color="auto"/>
          <w:color w:val="auto"/>
        </w:rPr>
        <w:t>Short Sales</w:t>
      </w:r>
      <w:r>
        <w:rPr>
          <w:rFonts w:ascii="Arial" w:cs="Arial" w:eastAsia="Arial" w:hAnsi="Arial"/>
          <w:sz w:val="21"/>
          <w:szCs w:val="21"/>
          <w:color w:val="auto"/>
        </w:rPr>
        <w:t>” include all “short sales” as defined in Rule 200 promulgated under Regulation SHO under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all types of direct and indirect stock pledges, forward sale contracts, options, puts, calls, short sales, swaps, derivatives and similar arrangements (including on a total return basis), and sales and other transactions through non-U.S. broker-dealers or foreign regulated brokers.</w:t>
      </w:r>
    </w:p>
    <w:p>
      <w:pPr>
        <w:spacing w:after="0" w:line="179" w:lineRule="exact"/>
        <w:rPr>
          <w:rFonts w:ascii="Arial" w:cs="Arial" w:eastAsia="Arial" w:hAnsi="Arial"/>
          <w:sz w:val="21"/>
          <w:szCs w:val="21"/>
          <w:color w:val="auto"/>
        </w:rPr>
      </w:pPr>
    </w:p>
    <w:p>
      <w:pPr>
        <w:jc w:val="both"/>
        <w:ind w:firstLine="1304"/>
        <w:spacing w:after="0" w:line="282" w:lineRule="auto"/>
        <w:tabs>
          <w:tab w:leader="none" w:pos="2281"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Such Seller understands and acknowledges that the Purchaser Shares have not been registered under the Securities Act or any applicable state securities Laws. Such Seller understands that the issuance and sale of the Purchaser Shares is intended to be exempt from the registration requirements of the Securities Act, by virtue of Section 4(a)(2) thereof and/or Regulation D promulgated thereunder, based, in part, upon the representations, warranties and agreements of such Seller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9" w:name="page90"/>
    <w:bookmarkEnd w:id="89"/>
    <w:p>
      <w:pPr>
        <w:jc w:val="both"/>
        <w:ind w:firstLine="1304"/>
        <w:spacing w:after="0"/>
        <w:tabs>
          <w:tab w:leader="none" w:pos="2046"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Seller understands and acknowledges that the certificates representing the Purchaser Shares, if any, or ownership statements issued under a direct registration system or other electronic book entry system will bear the legends set forth below when issued:</w:t>
      </w:r>
    </w:p>
    <w:p>
      <w:pPr>
        <w:spacing w:after="0" w:line="186" w:lineRule="exact"/>
        <w:rPr>
          <w:sz w:val="20"/>
          <w:szCs w:val="20"/>
          <w:color w:val="auto"/>
        </w:rPr>
      </w:pPr>
    </w:p>
    <w:p>
      <w:pPr>
        <w:jc w:val="both"/>
        <w:ind w:left="580"/>
        <w:spacing w:after="0" w:line="233" w:lineRule="auto"/>
        <w:rPr>
          <w:sz w:val="20"/>
          <w:szCs w:val="20"/>
          <w:color w:val="auto"/>
        </w:rPr>
      </w:pPr>
      <w:r>
        <w:rPr>
          <w:rFonts w:ascii="Arial" w:cs="Arial" w:eastAsia="Arial" w:hAnsi="Arial"/>
          <w:sz w:val="22"/>
          <w:szCs w:val="22"/>
          <w:color w:val="auto"/>
        </w:rPr>
        <w:t>THE SECURITIES REPRESENTED HEREBY HAVE NOT BEEN REGISTERED UNDER THE UNITED STATES SECURITIES ACT OF 1933, AS AMENDED (THE “U.S. SECURITIES ACT”), OR ANY STATE SECURITIES LAWS, AND MAY BE OFFERED, SOLD OR OTHERWISE TRANSFERRED ONLY (A) TO THE COMPANY, (B) IN COMPLIANCE WITH THE EXEMPTION FROM REGISTRATION UNDER THE U.S. SECURITIES ACT PROVIDED BY RULE 144 THEREUNDER, IF AVAILABLE, AND IN COMPLIANCE WITH ANY APPLICABLE STATE SECURITIES LAWS, OR (C) IN A TRANSACTION THAT DOES NOT REQUIRE REGISTRATION UNDER THE U.S. SECURITIES ACT OR ANY APPLICABLE STATE LAWS AND REGULATIONS GOVERNING THE OFFER AND SALE OF SECURITIES, AND, IN THE CASE OF (B) OR (C), THE HOLDER HAS PRIOR TO SUCH TRANSFER FURNISHED TO THE COMPANY AN OPINION OF COUNSEL OF RECOGNIZED STANDING IN FORM AND SUBSTANCE REASONABLY SATISFACTORY TO THE CORPORATION.</w:t>
      </w:r>
    </w:p>
    <w:p>
      <w:pPr>
        <w:spacing w:after="0" w:line="185"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THE SECURITIES REPRESENTED HEREBY ARE SUBJECT TO RESTRICTIONS ON TRANSFER PURSUANT TO A STOCK PURCHASE AGREEMENT DATED JANUARY 11, 2021 BY AND AMONG THE CORPORATION, THE HOLDER AND OTHER NAMED PARTIES.</w:t>
      </w:r>
    </w:p>
    <w:p>
      <w:pPr>
        <w:spacing w:after="0" w:line="186" w:lineRule="exact"/>
        <w:rPr>
          <w:sz w:val="20"/>
          <w:szCs w:val="20"/>
          <w:color w:val="auto"/>
        </w:rPr>
      </w:pPr>
    </w:p>
    <w:p>
      <w:pPr>
        <w:jc w:val="both"/>
        <w:ind w:firstLine="1304"/>
        <w:spacing w:after="0" w:line="287" w:lineRule="auto"/>
        <w:tabs>
          <w:tab w:leader="none" w:pos="2299" w:val="left"/>
        </w:tabs>
        <w:numPr>
          <w:ilvl w:val="0"/>
          <w:numId w:val="75"/>
        </w:numPr>
        <w:rPr>
          <w:rFonts w:ascii="Arial" w:cs="Arial" w:eastAsia="Arial" w:hAnsi="Arial"/>
          <w:sz w:val="19"/>
          <w:szCs w:val="19"/>
          <w:color w:val="auto"/>
        </w:rPr>
      </w:pPr>
      <w:r>
        <w:rPr>
          <w:rFonts w:ascii="Arial" w:cs="Arial" w:eastAsia="Arial" w:hAnsi="Arial"/>
          <w:sz w:val="19"/>
          <w:szCs w:val="19"/>
          <w:color w:val="auto"/>
        </w:rPr>
        <w:t>Such Seller understands that no United States federal or state agency or any other government or governmental agency has passed on or made any recommendation or endorsement of the Purchaser Shares or the fairness or suitability of the investment in the Purchaser Shares nor have such authorities passed upon or endorsed the merits of the transaction resulting in the issuance of the Purchaser Shares.</w:t>
      </w:r>
    </w:p>
    <w:p>
      <w:pPr>
        <w:spacing w:after="0" w:line="142" w:lineRule="exact"/>
        <w:rPr>
          <w:rFonts w:ascii="Arial" w:cs="Arial" w:eastAsia="Arial" w:hAnsi="Arial"/>
          <w:sz w:val="19"/>
          <w:szCs w:val="19"/>
          <w:color w:val="auto"/>
        </w:rPr>
      </w:pPr>
    </w:p>
    <w:p>
      <w:pPr>
        <w:jc w:val="both"/>
        <w:ind w:firstLine="1304"/>
        <w:spacing w:after="0" w:line="236" w:lineRule="auto"/>
        <w:tabs>
          <w:tab w:leader="none" w:pos="20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Such Seller understands that nothing in this Agreement or any other materials presented by or on behalf of Purchaser to such Seller in connection with the issuance of the Purchaser Shares constitutes legal, tax or investment advice. Such Seller has consulted such legal, tax and investment advisors as it, in its sole discretion, has deemed necessary or appropriate in connection with its receipt of Purchaser Shares as Stock Consideration.</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NO OTHER REPRESENTATIONS OR WARRANTIES</w:t>
      </w:r>
      <w:r>
        <w:rPr>
          <w:rFonts w:ascii="Arial" w:cs="Arial" w:eastAsia="Arial" w:hAnsi="Arial"/>
          <w:sz w:val="19"/>
          <w:szCs w:val="19"/>
          <w:color w:val="000000"/>
        </w:rPr>
        <w:t>. EXCEPT FOR THE</w:t>
      </w:r>
      <w:r>
        <w:rPr>
          <w:rFonts w:ascii="Arial" w:cs="Arial" w:eastAsia="Arial" w:hAnsi="Arial"/>
          <w:sz w:val="19"/>
          <w:szCs w:val="19"/>
          <w:color w:val="010000"/>
        </w:rPr>
        <w:t xml:space="preserve"> </w:t>
      </w:r>
      <w:r>
        <w:rPr>
          <w:rFonts w:ascii="Arial" w:cs="Arial" w:eastAsia="Arial" w:hAnsi="Arial"/>
          <w:sz w:val="19"/>
          <w:szCs w:val="19"/>
          <w:color w:val="000000"/>
        </w:rPr>
        <w:t xml:space="preserve">REPRESENTATIONS AND WARRANTIES CONTAINED IN </w:t>
      </w:r>
      <w:r>
        <w:rPr>
          <w:rFonts w:ascii="Arial" w:cs="Arial" w:eastAsia="Arial" w:hAnsi="Arial"/>
          <w:sz w:val="19"/>
          <w:szCs w:val="19"/>
          <w:u w:val="single" w:color="auto"/>
          <w:color w:val="000000"/>
        </w:rPr>
        <w:t>ARTICLE III</w:t>
      </w:r>
      <w:r>
        <w:rPr>
          <w:rFonts w:ascii="Arial" w:cs="Arial" w:eastAsia="Arial" w:hAnsi="Arial"/>
          <w:sz w:val="19"/>
          <w:szCs w:val="19"/>
          <w:color w:val="000000"/>
        </w:rPr>
        <w:t xml:space="preserve"> AND/OR IN THIS </w:t>
      </w:r>
      <w:r>
        <w:rPr>
          <w:rFonts w:ascii="Arial" w:cs="Arial" w:eastAsia="Arial" w:hAnsi="Arial"/>
          <w:sz w:val="19"/>
          <w:szCs w:val="19"/>
          <w:u w:val="single" w:color="auto"/>
          <w:color w:val="000000"/>
        </w:rPr>
        <w:t>ARTICLE IV</w:t>
      </w:r>
      <w:r>
        <w:rPr>
          <w:rFonts w:ascii="Arial" w:cs="Arial" w:eastAsia="Arial" w:hAnsi="Arial"/>
          <w:sz w:val="19"/>
          <w:szCs w:val="19"/>
          <w:color w:val="000000"/>
        </w:rPr>
        <w:t xml:space="preserve"> (EACH AS MODIFIED BY THE COMPANY DISCLOSURE SCHEDULE AND SELLER DISCLOSURE SCHEDULE, RESPECTIVELY) AND/OR ANY CERTIFICATE DELIVERED BY ANY SELLER, THE SELLERS’ REPRESENTATIVE OR THE COMPANY PURSUANT TO </w:t>
      </w:r>
      <w:r>
        <w:rPr>
          <w:rFonts w:ascii="Arial" w:cs="Arial" w:eastAsia="Arial" w:hAnsi="Arial"/>
          <w:sz w:val="19"/>
          <w:szCs w:val="19"/>
          <w:u w:val="single" w:color="auto"/>
          <w:color w:val="000000"/>
        </w:rPr>
        <w:t>SECTION 8.2</w:t>
      </w:r>
      <w:r>
        <w:rPr>
          <w:rFonts w:ascii="Arial" w:cs="Arial" w:eastAsia="Arial" w:hAnsi="Arial"/>
          <w:sz w:val="19"/>
          <w:szCs w:val="19"/>
          <w:color w:val="000000"/>
        </w:rPr>
        <w:t>, NONE OF SELLERS, THE COMPANY OR ANY OTHER PERSON MAKES, OR HAS BEEN AUTHORIZED BY SELLERS OR THEIR AFFILIATES TO MAKE, ANY OTHER EXPRESS OR IMPLIED REPRESENTATION OR WARRANTY WITH RESPECT TO THE COMPANY, SELLERS, THE SHARES OR THE TRANSACTION, AND SELLERS DISCLAIM ANY OTHER REPRESENTATIONS OR WARRANTIES, WHETHER MADE BY ANY SELLER, ANY AFFILIATE OF ANY SELLER, THE COMPANY, ANY AFFILIATE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0" w:name="page91"/>
    <w:bookmarkEnd w:id="90"/>
    <w:p>
      <w:pPr>
        <w:jc w:val="both"/>
        <w:spacing w:after="0" w:line="243" w:lineRule="auto"/>
        <w:rPr>
          <w:sz w:val="20"/>
          <w:szCs w:val="20"/>
          <w:color w:val="auto"/>
        </w:rPr>
      </w:pPr>
      <w:r>
        <w:rPr>
          <w:rFonts w:ascii="Arial" w:cs="Arial" w:eastAsia="Arial" w:hAnsi="Arial"/>
          <w:sz w:val="21"/>
          <w:szCs w:val="21"/>
          <w:color w:val="auto"/>
        </w:rPr>
        <w:t xml:space="preserve">COMPANY OR ANY OF THEIR RESPECTIVE OFFICERS, DIRECTORS, MANAGERS, EMPLOYEES, AGENTS OR REPRESENTATIVES AND IF MADE, SUCH REPRESENTATION OR WARRANTY MAY NOT BE RELIED UPON BY PURCHASER OR ANY OF ITS AFFILIATES AND REPRESENTATIVES AS HAVING BEEN AUTHORIZED BY SELLERS OR ANY OF THEIR AFFILIATES. EXCEPT FOR THE REPRESENTATIONS AND WARRANTIES CONTAINED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(AS MODIFIED BY THE SELLER DISCLOSURE SCHEDULE) AND/OR ANY CERTIFICATE DELIVERED BY ANY SELLER, THE SELLERS’ REPRESENTATIVE OR THE COMPANY PURSUANT TO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SELLERS HEREBY DISCLAIM ALL LIABILITY AND RESPONSIBILITY FOR ANY REPRESENTATION, WARRANTY, OPINION, PROJECTION, FORECAST, STATEMENT, MEMORANDUM, PRESENTATION, ADVICE OR INFORMATION MADE, COMMUNICATED, OR FURNISHED (ORALLY OR IN WRITING) TO PURCHASER, ITS AFFILIATES OR ANY OF THEIR REPRESENTATIVES (INCLUDING ANY OPINION, PROJECTION, FORECAST, STATEMENT, MEMORANDUM, PRESENTATION, ADVICE OR INFORMATION THAT MAY HAVE BEEN OR MAY BE PROVIDED TO PURCHASER, ITS AFFILIATES OR ANY OF THEIR REPRESENTATIVES, BY ANY DIRECTOR, OFFICER, EMPLOYEE, AGENT, CONSULTANT OR REPRESENTATIVE OF THE COMPANY OR ANY OF ITS AFFILIATES, INCLUDING, ANY INFORMATION MADE AVAILABLE IN THE DATA ROOM). NONE OF SELLERS, THE COMPANY OR ANY OTHER PERSON MAKES ANY REPRESENTATIONS OR WARRANTIES TO PURCHASER REGARDING THE PROBABLE SUCCESS OR PROFITABILITY OF THE BUSINESS CONDUCTED BY THE COMPANY. NOTWITHSTANDING ANY OF THE FOREGOING TO THE CONTRARY, NOTHING IN THIS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SHALL BE DEEMED OR CONSTRUED TO PRECLUDE OR IN ANY WAY LIMIT ANY CLAIM FOR FRAUD (AS DEFINED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206" w:lineRule="exact"/>
        <w:rPr>
          <w:sz w:val="20"/>
          <w:szCs w:val="20"/>
          <w:color w:val="auto"/>
        </w:rPr>
      </w:pPr>
    </w:p>
    <w:p>
      <w:pPr>
        <w:ind w:left="660" w:right="1160" w:firstLine="503"/>
        <w:spacing w:after="0" w:line="438" w:lineRule="auto"/>
        <w:rPr>
          <w:sz w:val="20"/>
          <w:szCs w:val="20"/>
          <w:color w:val="auto"/>
        </w:rPr>
      </w:pPr>
      <w:r>
        <w:rPr>
          <w:rFonts w:ascii="Arial" w:cs="Arial" w:eastAsia="Arial" w:hAnsi="Arial"/>
          <w:sz w:val="22"/>
          <w:szCs w:val="22"/>
          <w:b w:val="1"/>
          <w:bCs w:val="1"/>
          <w:color w:val="auto"/>
        </w:rPr>
        <w:t xml:space="preserve">REPRESENTATIONS AND WARRANTIES WITH RESPECT TO PURCHASER </w:t>
      </w:r>
      <w:r>
        <w:rPr>
          <w:rFonts w:ascii="Arial" w:cs="Arial" w:eastAsia="Arial" w:hAnsi="Arial"/>
          <w:sz w:val="22"/>
          <w:szCs w:val="22"/>
          <w:color w:val="auto"/>
        </w:rPr>
        <w:t>Purchaser hereby represents and warrants as follows:</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010000"/>
        </w:rPr>
        <w:t xml:space="preserve">5.1 </w:t>
      </w:r>
      <w:r>
        <w:rPr>
          <w:rFonts w:ascii="Arial" w:cs="Arial" w:eastAsia="Arial" w:hAnsi="Arial"/>
          <w:sz w:val="19"/>
          <w:szCs w:val="19"/>
          <w:u w:val="single" w:color="auto"/>
          <w:color w:val="000000"/>
        </w:rPr>
        <w:t>Organization</w:t>
      </w:r>
      <w:r>
        <w:rPr>
          <w:rFonts w:ascii="Arial" w:cs="Arial" w:eastAsia="Arial" w:hAnsi="Arial"/>
          <w:sz w:val="19"/>
          <w:szCs w:val="19"/>
          <w:color w:val="000000"/>
        </w:rPr>
        <w:t>. Purchaser is duly organized, validly existing and in good standing under the laws of</w:t>
      </w:r>
      <w:r>
        <w:rPr>
          <w:rFonts w:ascii="Arial" w:cs="Arial" w:eastAsia="Arial" w:hAnsi="Arial"/>
          <w:sz w:val="19"/>
          <w:szCs w:val="19"/>
          <w:color w:val="010000"/>
        </w:rPr>
        <w:t xml:space="preserve"> </w:t>
      </w:r>
      <w:r>
        <w:rPr>
          <w:rFonts w:ascii="Arial" w:cs="Arial" w:eastAsia="Arial" w:hAnsi="Arial"/>
          <w:sz w:val="19"/>
          <w:szCs w:val="19"/>
          <w:color w:val="000000"/>
        </w:rPr>
        <w:t>its jurisdiction of organization or formation. Purchaser has the corporate, limited liability company, limited partnership or other similar power and authority to own or lease all of its properties and assets and to carry on its business as it is now being conducted. Purchaser is duly licensed or qualified to do business in each jurisdiction in which the nature of its business or the character or location of any properties or assets owned or leased by it makes such licensing or qualification necessary, except for those jurisdictions where the failure to be so licensed or qualified would not have, individually or in the aggregate, a Purchaser Material Adverse Effect.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u w:val="single" w:color="auto"/>
          <w:color w:val="000000"/>
        </w:rPr>
        <w:t>Authorization of Agreement</w:t>
      </w:r>
      <w:r>
        <w:rPr>
          <w:rFonts w:ascii="Arial" w:cs="Arial" w:eastAsia="Arial" w:hAnsi="Arial"/>
          <w:sz w:val="21"/>
          <w:szCs w:val="21"/>
          <w:color w:val="000000"/>
        </w:rPr>
        <w:t>. Purchaser has the requisite corporate, limited liability company,</w:t>
      </w:r>
      <w:r>
        <w:rPr>
          <w:rFonts w:ascii="Arial" w:cs="Arial" w:eastAsia="Arial" w:hAnsi="Arial"/>
          <w:sz w:val="21"/>
          <w:szCs w:val="21"/>
          <w:color w:val="010000"/>
        </w:rPr>
        <w:t xml:space="preserve"> </w:t>
      </w:r>
      <w:r>
        <w:rPr>
          <w:rFonts w:ascii="Arial" w:cs="Arial" w:eastAsia="Arial" w:hAnsi="Arial"/>
          <w:sz w:val="21"/>
          <w:szCs w:val="21"/>
          <w:color w:val="000000"/>
        </w:rPr>
        <w:t>limited partnership or other similar power and authority to execute and deliver this Agreement and each other Transaction Agreement to which it is a party, to perform its obligations hereunder and thereunder and to consummate the Transaction. The execution and delivery of the Transaction Agreements to which it is a party and the consummation of the Transaction has been duly authorized by the requisite corporate, limited liability company, limited partnership or other similar action on the part of Purchaser. Each of the Transaction Agreements to which it is a party, has been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1" w:name="page92"/>
    <w:bookmarkEnd w:id="91"/>
    <w:p>
      <w:pPr>
        <w:jc w:val="both"/>
        <w:spacing w:after="0" w:line="252" w:lineRule="auto"/>
        <w:rPr>
          <w:sz w:val="20"/>
          <w:szCs w:val="20"/>
          <w:color w:val="auto"/>
        </w:rPr>
      </w:pPr>
      <w:r>
        <w:rPr>
          <w:rFonts w:ascii="Arial" w:cs="Arial" w:eastAsia="Arial" w:hAnsi="Arial"/>
          <w:sz w:val="21"/>
          <w:szCs w:val="21"/>
          <w:color w:val="auto"/>
        </w:rPr>
        <w:t>will be at or prior to the Closing, duly and validly executed and delivered by Purchaser and (assuming the due authorization, execution and delivery by the other parties thereto) each of the Transaction Agreements, when so executed and delivered, will constitute, the legal, valid and binding obligations of Purchaser, enforceable against it in accordance with its terms, subject to applicable Equitable Principles.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5.3</w:t>
      </w:r>
      <w:r>
        <w:rPr>
          <w:sz w:val="20"/>
          <w:szCs w:val="20"/>
          <w:color w:val="auto"/>
        </w:rPr>
        <w:tab/>
      </w:r>
      <w:r>
        <w:rPr>
          <w:rFonts w:ascii="Arial" w:cs="Arial" w:eastAsia="Arial" w:hAnsi="Arial"/>
          <w:sz w:val="19"/>
          <w:szCs w:val="19"/>
          <w:u w:val="single" w:color="auto"/>
          <w:color w:val="auto"/>
        </w:rPr>
        <w:t>Conflicts; Consents of Third Parties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73" w:lineRule="auto"/>
        <w:tabs>
          <w:tab w:leader="none" w:pos="2389"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Assuming the Governmental Approvals are given, made, or obtained, as the case may be, none of the execution and delivery by Purchaser of this Agreement or the other Transaction Agreements to which it is a party, or the consummation of the Transaction, conflicts with, violates or constitutes a default (with or without notice or lapse of time, or both) under, or permits the acceleration of any obligation under, or gives rise to a right of termination, modification or cancellation under, any provision of (i) the articles of incorporation, bylaws, limited liability company agreement, partnership agreement or other comparable organizational documents, of Purchaser; (ii) any material Contract or Permit to which Purchaser is a party or by which any of the properties or assets of Purchaser are bound; or (iii) any Law applicable to Purchaser, except in the case of clauses (ii) and (iii), where such conflict, violation or default would not result, or reasonably be expected to result, individually or in the aggregate, in a Purchaser Material Adverse Effect.</w:t>
      </w:r>
    </w:p>
    <w:p>
      <w:pPr>
        <w:spacing w:after="0" w:line="160" w:lineRule="exact"/>
        <w:rPr>
          <w:rFonts w:ascii="Arial" w:cs="Arial" w:eastAsia="Arial" w:hAnsi="Arial"/>
          <w:sz w:val="19"/>
          <w:szCs w:val="19"/>
          <w:color w:val="010000"/>
        </w:rPr>
      </w:pPr>
    </w:p>
    <w:p>
      <w:pPr>
        <w:jc w:val="both"/>
        <w:ind w:left="340" w:firstLine="1288"/>
        <w:spacing w:after="0" w:line="273" w:lineRule="auto"/>
        <w:tabs>
          <w:tab w:leader="none" w:pos="2387"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Assuming the Governmental Approvals are given, made, or obtained, as the case may be, no consent, waiver, approval, Order, Permit or authorization of, or declaration or filing with, or notification to, any Governmental Authority is required on the part of Purchaser in connection with the execution and delivery by Purchaser of this Agreement or the other Transaction Agreements to which it is a party, or the consummation of the Transaction by Purchaser, except for (i) compliance with any applicable requirements and filings with DCSA of the U.S. Department of Defense under the NISPOM; (ii) filings with the U.S. State Department’s Directorate of Defense Trade Controls in accordance with the International Traffic in Arms Regulations, 22 C.F.R. §§ 120-30, as amended (the “</w:t>
      </w:r>
      <w:r>
        <w:rPr>
          <w:rFonts w:ascii="Arial" w:cs="Arial" w:eastAsia="Arial" w:hAnsi="Arial"/>
          <w:sz w:val="19"/>
          <w:szCs w:val="19"/>
          <w:u w:val="single" w:color="auto"/>
          <w:color w:val="auto"/>
        </w:rPr>
        <w:t>ITAR</w:t>
      </w:r>
      <w:r>
        <w:rPr>
          <w:rFonts w:ascii="Arial" w:cs="Arial" w:eastAsia="Arial" w:hAnsi="Arial"/>
          <w:sz w:val="19"/>
          <w:szCs w:val="19"/>
          <w:color w:val="auto"/>
        </w:rPr>
        <w:t>”); (iii) federal and state securities notice filings and Exchange Act reporting with respect to the Stock Consideration; and (iv) notice filing with the Nasdaq Stock Market with respect to the Stock Consideration.</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Legal Proceedings</w:t>
      </w:r>
      <w:r>
        <w:rPr>
          <w:rFonts w:ascii="Arial" w:cs="Arial" w:eastAsia="Arial" w:hAnsi="Arial"/>
          <w:sz w:val="22"/>
          <w:szCs w:val="22"/>
          <w:color w:val="000000"/>
        </w:rPr>
        <w:t>. There are no pending or, to the knowledge of Purchaser, threatened, Legal</w:t>
      </w:r>
      <w:r>
        <w:rPr>
          <w:rFonts w:ascii="Arial" w:cs="Arial" w:eastAsia="Arial" w:hAnsi="Arial"/>
          <w:sz w:val="22"/>
          <w:szCs w:val="22"/>
          <w:color w:val="010000"/>
        </w:rPr>
        <w:t xml:space="preserve"> </w:t>
      </w:r>
      <w:r>
        <w:rPr>
          <w:rFonts w:ascii="Arial" w:cs="Arial" w:eastAsia="Arial" w:hAnsi="Arial"/>
          <w:sz w:val="22"/>
          <w:szCs w:val="22"/>
          <w:color w:val="000000"/>
        </w:rPr>
        <w:t>Proceedings against Purchaser that would have, individually or in the aggregate, a Purchaser Material Adverse Effect. There is no outstanding Order imposed upon Purchaser or any of its assets, except for Legal Proceedings which, if adversely determined, would not have, individually or in the aggregate, a Purchaser Material Adverse Effect.</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5.5 </w:t>
      </w:r>
      <w:r>
        <w:rPr>
          <w:rFonts w:ascii="Arial" w:cs="Arial" w:eastAsia="Arial" w:hAnsi="Arial"/>
          <w:sz w:val="21"/>
          <w:szCs w:val="21"/>
          <w:u w:val="single" w:color="auto"/>
          <w:color w:val="000000"/>
        </w:rPr>
        <w:t>Financial Capability</w:t>
      </w:r>
      <w:r>
        <w:rPr>
          <w:rFonts w:ascii="Arial" w:cs="Arial" w:eastAsia="Arial" w:hAnsi="Arial"/>
          <w:sz w:val="21"/>
          <w:szCs w:val="21"/>
          <w:color w:val="000000"/>
        </w:rPr>
        <w:t>. As of the date of this Agreement, Purchaser has received an executed debt</w:t>
      </w:r>
      <w:r>
        <w:rPr>
          <w:rFonts w:ascii="Arial" w:cs="Arial" w:eastAsia="Arial" w:hAnsi="Arial"/>
          <w:sz w:val="21"/>
          <w:szCs w:val="21"/>
          <w:color w:val="010000"/>
        </w:rPr>
        <w:t xml:space="preserve"> </w:t>
      </w:r>
      <w:r>
        <w:rPr>
          <w:rFonts w:ascii="Arial" w:cs="Arial" w:eastAsia="Arial" w:hAnsi="Arial"/>
          <w:sz w:val="21"/>
          <w:szCs w:val="21"/>
          <w:color w:val="000000"/>
        </w:rPr>
        <w:t>commitment letter dated January 11, 2021, together with the related fee letter executed in connection therewith (the “</w:t>
      </w:r>
      <w:r>
        <w:rPr>
          <w:rFonts w:ascii="Arial" w:cs="Arial" w:eastAsia="Arial" w:hAnsi="Arial"/>
          <w:sz w:val="21"/>
          <w:szCs w:val="21"/>
          <w:u w:val="single" w:color="auto"/>
          <w:color w:val="000000"/>
        </w:rPr>
        <w:t>Commitment Letter</w:t>
      </w:r>
      <w:r>
        <w:rPr>
          <w:rFonts w:ascii="Arial" w:cs="Arial" w:eastAsia="Arial" w:hAnsi="Arial"/>
          <w:sz w:val="21"/>
          <w:szCs w:val="21"/>
          <w:color w:val="000000"/>
        </w:rPr>
        <w:t>”) from BofA Securities, Inc., Bank of America, N.A., JPMorgan Chase Bank, N.A. and U.S. Bank National Association (the “</w:t>
      </w:r>
      <w:r>
        <w:rPr>
          <w:rFonts w:ascii="Arial" w:cs="Arial" w:eastAsia="Arial" w:hAnsi="Arial"/>
          <w:sz w:val="21"/>
          <w:szCs w:val="21"/>
          <w:u w:val="single" w:color="auto"/>
          <w:color w:val="000000"/>
        </w:rPr>
        <w:t>Debt Financing Parties</w:t>
      </w:r>
      <w:r>
        <w:rPr>
          <w:rFonts w:ascii="Arial" w:cs="Arial" w:eastAsia="Arial" w:hAnsi="Arial"/>
          <w:sz w:val="21"/>
          <w:szCs w:val="21"/>
          <w:color w:val="000000"/>
        </w:rPr>
        <w:t>,” which defined term for purposes of this Agreement shall include such financial institutions and their respective former, current and future Affiliates, equityholders, members, partners, controlling persons, officers, directors, employees, agents and advisors involved in such Financing (as defined below)),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19"/>
          <w:szCs w:val="19"/>
          <w:color w:val="auto"/>
        </w:rPr>
        <w:t xml:space="preserve">which the Debt Financing Parties have committed, subject to the terms and conditions set forth therein, to provide to Purchaser the amount of financing set forth in the Commitment Letter, to complete the Transaction. A true, correct and complete copy of the Commitment Letter, including all exhibits, schedules or amendments thereto, has been previously provided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fees and other commercially sensitive information in any fee letter (including provisions in such fee letter related solely to fees, “flex terms” and economic terms), in each case that do not adversely affect the conditionality, enforceability, termination or aggregate principal amount of the financing available may have been redacted. Purchaser has fully paid any and all commitment fees or other fees required by such Commitment Letter to be paid on or before the date hereof and will pay all additional fees as they become due. As of the date hereof, the Commitment Letter is valid and in full force and effect, constitutes the legally valid and binding obligation of Purchaser and, to the knowledge of Purchaser, the other parties thereto, subject to applicable Equitable Principles, and does not contain any material misrepresentation by Purchaser. There are no conditions precedent or other contingencies related to the funding of the full amounts contemplated by the debt financing arrangements contemplated by the Commitment Letter (the “</w:t>
      </w:r>
      <w:r>
        <w:rPr>
          <w:rFonts w:ascii="Arial" w:cs="Arial" w:eastAsia="Arial" w:hAnsi="Arial"/>
          <w:sz w:val="19"/>
          <w:szCs w:val="19"/>
          <w:u w:val="single" w:color="auto"/>
          <w:color w:val="auto"/>
        </w:rPr>
        <w:t>Financing</w:t>
      </w:r>
      <w:r>
        <w:rPr>
          <w:rFonts w:ascii="Arial" w:cs="Arial" w:eastAsia="Arial" w:hAnsi="Arial"/>
          <w:sz w:val="19"/>
          <w:szCs w:val="19"/>
          <w:color w:val="auto"/>
        </w:rPr>
        <w:t xml:space="preserve">”) other than as set forth in the Commitment Letter. The Commitment Letter has not been amended or modified prior to the date hereof, and, as of the date hereof, the respective commitments contained in the Commitment Letter have not been withdrawn, terminated, rescinded, amended, restated, or modified in any respect (and, no such withdrawal, termination, rescission, amendment, restatement, or modification is contemplated as of the date hereof). Assuming (a) the Financing is funded in accordance with the Commitment Letter, and (b) the accuracy of the representations and warranties of Sellers and the Company set forth in this Agreement such that the conditions set forth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would be satisfied and the satisfaction or waiver of each of the conditions set forth in </w:t>
      </w:r>
      <w:r>
        <w:rPr>
          <w:rFonts w:ascii="Arial" w:cs="Arial" w:eastAsia="Arial" w:hAnsi="Arial"/>
          <w:sz w:val="19"/>
          <w:szCs w:val="19"/>
          <w:u w:val="single" w:color="auto"/>
          <w:color w:val="auto"/>
        </w:rPr>
        <w:t>Sections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w:t>
      </w:r>
      <w:r>
        <w:rPr>
          <w:rFonts w:ascii="Arial" w:cs="Arial" w:eastAsia="Arial" w:hAnsi="Arial"/>
          <w:sz w:val="19"/>
          <w:szCs w:val="19"/>
          <w:color w:val="auto"/>
        </w:rPr>
        <w:t>, the net proceeds contemplated by the Commitment Letter (both before and after giving effect to any “flex” provisions contained in the Commitment Letter) will be sufficient for Purchaser and the Company to pay all amounts required to be paid in connection with the transactions contemplated in this Agreement and the Commitment Letter, including paying the Closing Payments at the Closing and paying all related fees and expenses. Purchaser has not incurred any obligation, commitment, restriction or liability of any kind, and Purchaser is not contemplating or aware of any obligation, commitment, restriction or liability of any kind, in either case that would reasonably be expected to impair or adversely affect such resources. Neither the fee letter between Purchaser and the Debt Financing Parties referred to in the Commitment Letter nor any other Contract between the Debt Financing Parties, on the one hand, and Purchaser or any of its Affiliates, on the other hand, contains any conditions precedent or other contingencies related to the funding of the full amount of the Financing or any provisions that could reduce the aggregate amount of the Financing set forth in the Commitment Letter or the aggregate proceeds contemplated by the Commitment Letter. Except for the Commitment Letter, there are no other agreements, side letters or arrangements to which Purchaser is a party in respect of, that modify the terms of, or that could affect the availability or amount of the Financing. As of the date hereof, Purchaser has no reason to believe that any of the conditions to the Financing would not reasonably be expected to be satisfied or that the Financing would not reasonably be expected to be available to Purchaser on the Closing Date.</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010000"/>
        </w:rPr>
        <w:t xml:space="preserve">5.6 </w:t>
      </w:r>
      <w:r>
        <w:rPr>
          <w:rFonts w:ascii="Arial" w:cs="Arial" w:eastAsia="Arial" w:hAnsi="Arial"/>
          <w:sz w:val="21"/>
          <w:szCs w:val="21"/>
          <w:u w:val="single" w:color="auto"/>
          <w:color w:val="000000"/>
        </w:rPr>
        <w:t>Investment</w:t>
      </w:r>
      <w:r>
        <w:rPr>
          <w:rFonts w:ascii="Arial" w:cs="Arial" w:eastAsia="Arial" w:hAnsi="Arial"/>
          <w:sz w:val="21"/>
          <w:szCs w:val="21"/>
          <w:color w:val="000000"/>
        </w:rPr>
        <w:t>. Purchaser is acquiring the Shares for its own account and for investment purposes and</w:t>
      </w:r>
      <w:r>
        <w:rPr>
          <w:rFonts w:ascii="Arial" w:cs="Arial" w:eastAsia="Arial" w:hAnsi="Arial"/>
          <w:sz w:val="21"/>
          <w:szCs w:val="21"/>
          <w:color w:val="010000"/>
        </w:rPr>
        <w:t xml:space="preserve"> </w:t>
      </w:r>
      <w:r>
        <w:rPr>
          <w:rFonts w:ascii="Arial" w:cs="Arial" w:eastAsia="Arial" w:hAnsi="Arial"/>
          <w:sz w:val="21"/>
          <w:szCs w:val="21"/>
          <w:color w:val="000000"/>
        </w:rPr>
        <w:t>not with a view to the distribution thereof. Purchaser acknowledges that the Shares have not been registered under the Securities Act or any state securities Law and Purchaser must bear the economic risk of its investment in the Shares until and unless the offer and sale of such Shares is subsequently registered under the Securities Act and all applicable state securities Laws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3" w:name="page94"/>
    <w:bookmarkEnd w:id="93"/>
    <w:p>
      <w:pPr>
        <w:jc w:val="both"/>
        <w:spacing w:after="0" w:line="287" w:lineRule="auto"/>
        <w:rPr>
          <w:sz w:val="20"/>
          <w:szCs w:val="20"/>
          <w:color w:val="auto"/>
        </w:rPr>
      </w:pPr>
      <w:r>
        <w:rPr>
          <w:rFonts w:ascii="Arial" w:cs="Arial" w:eastAsia="Arial" w:hAnsi="Arial"/>
          <w:sz w:val="19"/>
          <w:szCs w:val="19"/>
          <w:color w:val="auto"/>
        </w:rPr>
        <w:t>exemption from such registration is applicable. Purchaser has conducted an examination of available information relating to the Company and its business, Purchaser has such knowledge, sophistication and experience in business and financial matters that it is capable of evaluating an investment in the Shares, and Purchaser can bear the economic risk of an investment in the Shares and can afford a complete loss of such investment.</w:t>
      </w:r>
    </w:p>
    <w:p>
      <w:pPr>
        <w:spacing w:after="0" w:line="1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5.7 </w:t>
      </w:r>
      <w:r>
        <w:rPr>
          <w:rFonts w:ascii="Arial" w:cs="Arial" w:eastAsia="Arial" w:hAnsi="Arial"/>
          <w:sz w:val="21"/>
          <w:szCs w:val="21"/>
          <w:u w:val="single" w:color="auto"/>
          <w:color w:val="000000"/>
        </w:rPr>
        <w:t>Solvency</w:t>
      </w:r>
      <w:r>
        <w:rPr>
          <w:rFonts w:ascii="Arial" w:cs="Arial" w:eastAsia="Arial" w:hAnsi="Arial"/>
          <w:sz w:val="21"/>
          <w:szCs w:val="21"/>
          <w:color w:val="000000"/>
        </w:rPr>
        <w:t>. As of the Closing and immediately after giving effect to the Transaction (including any</w:t>
      </w:r>
      <w:r>
        <w:rPr>
          <w:rFonts w:ascii="Arial" w:cs="Arial" w:eastAsia="Arial" w:hAnsi="Arial"/>
          <w:sz w:val="21"/>
          <w:szCs w:val="21"/>
          <w:color w:val="010000"/>
        </w:rPr>
        <w:t xml:space="preserve"> </w:t>
      </w:r>
      <w:r>
        <w:rPr>
          <w:rFonts w:ascii="Arial" w:cs="Arial" w:eastAsia="Arial" w:hAnsi="Arial"/>
          <w:sz w:val="21"/>
          <w:szCs w:val="21"/>
          <w:color w:val="000000"/>
        </w:rPr>
        <w:t>financing arrangements entered into in connection therewith), (a) the amount of the “fair saleable value” of the assets of the Company will exceed (i) the value of all liabilities of the Company, including contingent and other liabilities, and (ii) the amount that will be required to pay the probable liabilities of the Company on its existing debts (including contingent liabilities) as such debts become absolute and matured, (b) the Company will not have an unreasonably small amount of capital for the operation of the businesses in which it is engaged, and (c) the Company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The Transaction is not being made by Purchaser with the intent to hinder, delay or defraud any present or future creditors of Sellers or the Company.</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5.8 </w:t>
      </w:r>
      <w:r>
        <w:rPr>
          <w:rFonts w:ascii="Arial" w:cs="Arial" w:eastAsia="Arial" w:hAnsi="Arial"/>
          <w:sz w:val="22"/>
          <w:szCs w:val="22"/>
          <w:u w:val="single" w:color="auto"/>
          <w:color w:val="000000"/>
        </w:rPr>
        <w:t>Financial Advisors</w:t>
      </w:r>
      <w:r>
        <w:rPr>
          <w:rFonts w:ascii="Arial" w:cs="Arial" w:eastAsia="Arial" w:hAnsi="Arial"/>
          <w:sz w:val="22"/>
          <w:szCs w:val="22"/>
          <w:color w:val="000000"/>
        </w:rPr>
        <w:t>. Except for Jefferies LLC, no Person has acted, directly or indirectly, as a</w:t>
      </w:r>
      <w:r>
        <w:rPr>
          <w:rFonts w:ascii="Arial" w:cs="Arial" w:eastAsia="Arial" w:hAnsi="Arial"/>
          <w:sz w:val="22"/>
          <w:szCs w:val="22"/>
          <w:color w:val="010000"/>
        </w:rPr>
        <w:t xml:space="preserve"> </w:t>
      </w:r>
      <w:r>
        <w:rPr>
          <w:rFonts w:ascii="Arial" w:cs="Arial" w:eastAsia="Arial" w:hAnsi="Arial"/>
          <w:sz w:val="22"/>
          <w:szCs w:val="22"/>
          <w:color w:val="000000"/>
        </w:rPr>
        <w:t>broker, finder, agent, investment banker or financial advisor for Purchaser or its Affiliates and no Person is entitled to any fee or commission or like payment from Purchaser or its Affiliates in connection with the Transaction.</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5.9 </w:t>
      </w:r>
      <w:r>
        <w:rPr>
          <w:rFonts w:ascii="Arial" w:cs="Arial" w:eastAsia="Arial" w:hAnsi="Arial"/>
          <w:sz w:val="19"/>
          <w:szCs w:val="19"/>
          <w:u w:val="single" w:color="auto"/>
          <w:color w:val="000000"/>
        </w:rPr>
        <w:t>Non-U.S. Ownership</w:t>
      </w:r>
      <w:r>
        <w:rPr>
          <w:rFonts w:ascii="Arial" w:cs="Arial" w:eastAsia="Arial" w:hAnsi="Arial"/>
          <w:sz w:val="19"/>
          <w:szCs w:val="19"/>
          <w:color w:val="010000"/>
        </w:rPr>
        <w:t xml:space="preserve"> </w:t>
      </w:r>
      <w:r>
        <w:rPr>
          <w:rFonts w:ascii="Arial" w:cs="Arial" w:eastAsia="Arial" w:hAnsi="Arial"/>
          <w:sz w:val="19"/>
          <w:szCs w:val="19"/>
          <w:color w:val="000000"/>
        </w:rPr>
        <w:t>. Purchaser is not organized, chartered or incorporated under the Laws of any</w:t>
      </w:r>
      <w:r>
        <w:rPr>
          <w:rFonts w:ascii="Arial" w:cs="Arial" w:eastAsia="Arial" w:hAnsi="Arial"/>
          <w:sz w:val="19"/>
          <w:szCs w:val="19"/>
          <w:color w:val="010000"/>
        </w:rPr>
        <w:t xml:space="preserve"> </w:t>
      </w:r>
      <w:r>
        <w:rPr>
          <w:rFonts w:ascii="Arial" w:cs="Arial" w:eastAsia="Arial" w:hAnsi="Arial"/>
          <w:sz w:val="19"/>
          <w:szCs w:val="19"/>
          <w:color w:val="000000"/>
        </w:rPr>
        <w:t>country other than the United States or its territories. To the actual knowledge of Purchaser, Purchaser is not, and Purchaser and the Company will not be, at or immediately following the Closing, (a) a “foreign person” as defined in Section 120.16 of the ITAR or subject to or under “foreign ownership” or “foreign control”, as defined in Section 120.37 of the ITAR, (b) a “foreign person” as defined in the Defense Production Act of 1950, 50 U.S.C. § 4565, and as implemented by regulations at 31 C.F.R. Parts 800 et seq., or (c) owned or controlled by a “foreign” interest or interests (including a “foreign” Person or Persons) as defined in the NISPOM (DOD 5220.22-M), such that any “foreign” interest(s), directly or indirectly, will own or have beneficial ownership (defined as the power to vote or direct the voting of a security or to impose or direct the disposition of a security) of five percent (5%) or more of the outstanding shares of any class of the equity securities of Purchaser or the Company, as applicable.</w:t>
      </w:r>
    </w:p>
    <w:p>
      <w:pPr>
        <w:spacing w:after="0" w:line="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010000"/>
        </w:rPr>
        <w:t xml:space="preserve">5.10 </w:t>
      </w:r>
      <w:r>
        <w:rPr>
          <w:rFonts w:ascii="Arial" w:cs="Arial" w:eastAsia="Arial" w:hAnsi="Arial"/>
          <w:sz w:val="21"/>
          <w:szCs w:val="21"/>
          <w:u w:val="single" w:color="auto"/>
          <w:color w:val="000000"/>
        </w:rPr>
        <w:t>Purchaser Shares</w:t>
      </w:r>
      <w:r>
        <w:rPr>
          <w:rFonts w:ascii="Arial" w:cs="Arial" w:eastAsia="Arial" w:hAnsi="Arial"/>
          <w:sz w:val="21"/>
          <w:szCs w:val="21"/>
          <w:color w:val="000000"/>
        </w:rPr>
        <w:t>. The Purchaser Shares are duly authorized and, when issued and paid for in</w:t>
      </w:r>
      <w:r>
        <w:rPr>
          <w:rFonts w:ascii="Arial" w:cs="Arial" w:eastAsia="Arial" w:hAnsi="Arial"/>
          <w:sz w:val="21"/>
          <w:szCs w:val="21"/>
          <w:color w:val="010000"/>
        </w:rPr>
        <w:t xml:space="preserve"> </w:t>
      </w:r>
      <w:r>
        <w:rPr>
          <w:rFonts w:ascii="Arial" w:cs="Arial" w:eastAsia="Arial" w:hAnsi="Arial"/>
          <w:sz w:val="21"/>
          <w:szCs w:val="21"/>
          <w:color w:val="000000"/>
        </w:rPr>
        <w:t>accordance with this Agreement will be duly and validly issued, fully paid and nonassessable, free and clear of all Liens, other than transfer restrictions contained herein and under applicable securities Laws.</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u w:val="single" w:color="auto"/>
          <w:color w:val="000000"/>
        </w:rPr>
        <w:t>SEC Reports; Financial Statements</w:t>
      </w:r>
      <w:r>
        <w:rPr>
          <w:rFonts w:ascii="Arial" w:cs="Arial" w:eastAsia="Arial" w:hAnsi="Arial"/>
          <w:sz w:val="22"/>
          <w:szCs w:val="22"/>
          <w:color w:val="000000"/>
        </w:rPr>
        <w:t>. Purchaser has filed all reports, schedules, forms, statements</w:t>
      </w:r>
      <w:r>
        <w:rPr>
          <w:rFonts w:ascii="Arial" w:cs="Arial" w:eastAsia="Arial" w:hAnsi="Arial"/>
          <w:sz w:val="22"/>
          <w:szCs w:val="22"/>
          <w:color w:val="010000"/>
        </w:rPr>
        <w:t xml:space="preserve"> </w:t>
      </w:r>
      <w:r>
        <w:rPr>
          <w:rFonts w:ascii="Arial" w:cs="Arial" w:eastAsia="Arial" w:hAnsi="Arial"/>
          <w:sz w:val="22"/>
          <w:szCs w:val="22"/>
          <w:color w:val="000000"/>
        </w:rPr>
        <w:t>and other documents required to be filed by Purchaser under the Securities Act and the Exchange Act, including pursuant to Section 13(a) or 15(d) thereof, since January 1,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4" w:name="page95"/>
    <w:bookmarkEnd w:id="94"/>
    <w:p>
      <w:pPr>
        <w:jc w:val="both"/>
        <w:spacing w:after="0" w:line="270" w:lineRule="auto"/>
        <w:rPr>
          <w:sz w:val="20"/>
          <w:szCs w:val="20"/>
          <w:color w:val="auto"/>
        </w:rPr>
      </w:pPr>
      <w:r>
        <w:rPr>
          <w:rFonts w:ascii="Arial" w:cs="Arial" w:eastAsia="Arial" w:hAnsi="Arial"/>
          <w:sz w:val="19"/>
          <w:szCs w:val="19"/>
          <w:color w:val="auto"/>
        </w:rPr>
        <w:t>foregoing materials, including the exhibits thereto and documents incorporated by reference therein, being collectively referred to herein as the “</w:t>
      </w:r>
      <w:r>
        <w:rPr>
          <w:rFonts w:ascii="Arial" w:cs="Arial" w:eastAsia="Arial" w:hAnsi="Arial"/>
          <w:sz w:val="19"/>
          <w:szCs w:val="19"/>
          <w:u w:val="single" w:color="auto"/>
          <w:color w:val="auto"/>
        </w:rPr>
        <w:t>SEC Reports</w:t>
      </w:r>
      <w:r>
        <w:rPr>
          <w:rFonts w:ascii="Arial" w:cs="Arial" w:eastAsia="Arial" w:hAnsi="Arial"/>
          <w:sz w:val="19"/>
          <w:szCs w:val="19"/>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Purchaser has never been an issuer subject to Rule 144(i) under the Securities Act. The financial statements of Purchaser included in the SEC Reports comply in all material respects with applicable accounting requirements and the rules and regulations of the SEC with respect thereto as in effect at the time of filing. Such financial statements (a) have been prepared in all material respects in accordance with GAAP applicable to such financial statements applied on a consistent basis during the periods involved, except as may be otherwise specified in such financial statements or the notes thereto and except that unaudited financial statements may not contain all footnotes required by GAAP, and (b) fairly present in all material respects the financial position of Purchaser as of and for the dates thereof and the results of operations and cash flows for the periods then ended (subject, in the case of unaudited interim period financial statements, to normal recurring year-end audit adjustments, none of which individually or in the aggregate will be material in amount).</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5.12</w:t>
      </w:r>
      <w:r>
        <w:rPr>
          <w:sz w:val="20"/>
          <w:szCs w:val="20"/>
          <w:color w:val="auto"/>
        </w:rPr>
        <w:tab/>
      </w:r>
      <w:r>
        <w:rPr>
          <w:rFonts w:ascii="Arial" w:cs="Arial" w:eastAsia="Arial" w:hAnsi="Arial"/>
          <w:sz w:val="19"/>
          <w:szCs w:val="19"/>
          <w:u w:val="single" w:color="auto"/>
          <w:color w:val="auto"/>
        </w:rPr>
        <w:t>No Other Representations and Warranties; No Reliance; Purchaser Investigation</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69" w:lineRule="auto"/>
        <w:tabs>
          <w:tab w:leader="none" w:pos="2483"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Notwithstanding anything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provision of this Agreement, but subject to </w:t>
      </w:r>
      <w:r>
        <w:rPr>
          <w:rFonts w:ascii="Arial" w:cs="Arial" w:eastAsia="Arial" w:hAnsi="Arial"/>
          <w:sz w:val="19"/>
          <w:szCs w:val="19"/>
          <w:u w:val="single" w:color="auto"/>
          <w:color w:val="auto"/>
        </w:rPr>
        <w:t>Section 5.12(c)</w:t>
      </w:r>
      <w:r>
        <w:rPr>
          <w:rFonts w:ascii="Arial" w:cs="Arial" w:eastAsia="Arial" w:hAnsi="Arial"/>
          <w:sz w:val="19"/>
          <w:szCs w:val="19"/>
          <w:color w:val="auto"/>
        </w:rPr>
        <w:t xml:space="preserve">, it is the explicit intent of each Party that (i) none of Sellers or the Company is making any representation or warranty whatsoever, express or implied, except those representations and warranties that are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modified by the Company Disclosure Schedule and the Seller Disclosure Schedule, respectively) and/or the certificates delivered by Sellers, the Sellers’ Representative or the Company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(ii) no other Person is making any representation or warranty whatsoever, express or implied. Accordingly, in entering into this Agreement and acquiring the Shares from the Shareholders, Purchaser acknowledges and agrees that, except as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modified by the Company Disclosure Schedule and the Seller Disclosure Schedule, respectively) and/or the certificates delivered by Sellers, the Sellers’ Representative or the Company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none of Sellers, the Company or any other Person makes or shall be deemed to make, nor has any such Person been authorized by Sellers, the Sellers’ Representative or the Company to make, any promise, representation or warranty, express or implied, relating to the Company, Sellers, or any of their respective businesses, operations, assets, Liabilities, conditions or prospects or the Transaction or the Business, including with respect to the merchantability, fitness for any particular or ordinary purpose, or as to the accuracy or completeness of any information regarding any of the foregoing, or as to any other matter, notwithstanding the delivery or disclosure to Purchaser or any of its Affiliates or representatives of any documents, opinions, projections, forecasts, statements, memorandums, presentations, advice or information (whether communicated orally or in writing), and any such other promises, representations or warranties, or Liability or responsibility therefor, are hereby expressly disclaimed. Purchaser has not been induced by and has not relied upon any information, representations, warranties or statements, whether written or oral, express or implied, made by Sellers or the Company (or their respective Affiliates, officers,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5" w:name="page96"/>
    <w:bookmarkEnd w:id="95"/>
    <w:p>
      <w:pPr>
        <w:jc w:val="both"/>
        <w:ind w:left="340"/>
        <w:spacing w:after="0" w:line="297" w:lineRule="auto"/>
        <w:rPr>
          <w:sz w:val="20"/>
          <w:szCs w:val="20"/>
          <w:color w:val="auto"/>
        </w:rPr>
      </w:pPr>
      <w:r>
        <w:rPr>
          <w:rFonts w:ascii="Arial" w:cs="Arial" w:eastAsia="Arial" w:hAnsi="Arial"/>
          <w:sz w:val="19"/>
          <w:szCs w:val="19"/>
          <w:color w:val="auto"/>
        </w:rPr>
        <w:t xml:space="preserve">employees, agents or representatives) that are not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modified by the Company Disclosure Schedule and the Seller Disclosure Schedule, respectively) and/or the certificates delivered by Sellers, the Sellers’ Representative or the Company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pacing w:after="0" w:line="134" w:lineRule="exact"/>
        <w:rPr>
          <w:sz w:val="20"/>
          <w:szCs w:val="20"/>
          <w:color w:val="auto"/>
        </w:rPr>
      </w:pPr>
    </w:p>
    <w:p>
      <w:pPr>
        <w:jc w:val="both"/>
        <w:ind w:left="340" w:firstLine="1288"/>
        <w:spacing w:after="0" w:line="234" w:lineRule="auto"/>
        <w:tabs>
          <w:tab w:leader="none" w:pos="2455"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Purchaser acknowledges and agrees that (i) Sellers, the Company or their respective representatives have made available to Purchaser, for the purposes of due diligence, material documents, forecasts or other information relating to the Company and the Transaction and (ii) Purchaser has made its own independent inquiry and investigation into, and, based thereon, has formed an independent judgment concerning, Sellers, the Company, the Shares and the Transaction and, in making its determination to proceed with the Transaction, Purchaser has relied on the results of its own independent investigation and independent judgment.</w:t>
      </w:r>
    </w:p>
    <w:p>
      <w:pPr>
        <w:spacing w:after="0" w:line="190" w:lineRule="exact"/>
        <w:rPr>
          <w:rFonts w:ascii="Arial" w:cs="Arial" w:eastAsia="Arial" w:hAnsi="Arial"/>
          <w:sz w:val="22"/>
          <w:szCs w:val="22"/>
          <w:color w:val="010000"/>
        </w:rPr>
      </w:pPr>
    </w:p>
    <w:p>
      <w:pPr>
        <w:ind w:left="340" w:right="20" w:firstLine="1288"/>
        <w:spacing w:after="0" w:line="250" w:lineRule="auto"/>
        <w:tabs>
          <w:tab w:leader="none" w:pos="2335"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contained herein, nothing in this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shall be deemed or construed to preclude or in any way limit any claim for Fraud.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CONDUCT OF BUSINESS</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u w:val="single" w:color="auto"/>
          <w:color w:val="000000"/>
        </w:rPr>
        <w:t>Conduct of the Company Pending the Closing</w:t>
      </w:r>
      <w:r>
        <w:rPr>
          <w:rFonts w:ascii="Arial" w:cs="Arial" w:eastAsia="Arial" w:hAnsi="Arial"/>
          <w:sz w:val="19"/>
          <w:szCs w:val="19"/>
          <w:color w:val="000000"/>
        </w:rPr>
        <w:t>. From the date of this Agreement until the earlier of</w:t>
      </w:r>
      <w:r>
        <w:rPr>
          <w:rFonts w:ascii="Arial" w:cs="Arial" w:eastAsia="Arial" w:hAnsi="Arial"/>
          <w:sz w:val="19"/>
          <w:szCs w:val="19"/>
          <w:color w:val="010000"/>
        </w:rPr>
        <w:t xml:space="preserve"> </w:t>
      </w:r>
      <w:r>
        <w:rPr>
          <w:rFonts w:ascii="Arial" w:cs="Arial" w:eastAsia="Arial" w:hAnsi="Arial"/>
          <w:sz w:val="19"/>
          <w:szCs w:val="19"/>
          <w:color w:val="000000"/>
        </w:rPr>
        <w:t xml:space="preserve">the Closing or valid termination of this Agreement pursuant to </w:t>
      </w:r>
      <w:r>
        <w:rPr>
          <w:rFonts w:ascii="Arial" w:cs="Arial" w:eastAsia="Arial" w:hAnsi="Arial"/>
          <w:sz w:val="19"/>
          <w:szCs w:val="19"/>
          <w:u w:val="single" w:color="auto"/>
          <w:color w:val="000000"/>
        </w:rPr>
        <w:t>Article IX</w:t>
      </w:r>
      <w:r>
        <w:rPr>
          <w:rFonts w:ascii="Arial" w:cs="Arial" w:eastAsia="Arial" w:hAnsi="Arial"/>
          <w:sz w:val="19"/>
          <w:szCs w:val="19"/>
          <w:color w:val="000000"/>
        </w:rPr>
        <w:t xml:space="preserve">, except (a) as set forth in </w:t>
      </w:r>
      <w:r>
        <w:rPr>
          <w:rFonts w:ascii="Arial" w:cs="Arial" w:eastAsia="Arial" w:hAnsi="Arial"/>
          <w:sz w:val="19"/>
          <w:szCs w:val="19"/>
          <w:u w:val="single" w:color="auto"/>
          <w:color w:val="000000"/>
        </w:rPr>
        <w:t>Schedule 6.1</w:t>
      </w:r>
      <w:r>
        <w:rPr>
          <w:rFonts w:ascii="Arial" w:cs="Arial" w:eastAsia="Arial" w:hAnsi="Arial"/>
          <w:sz w:val="19"/>
          <w:szCs w:val="19"/>
          <w:color w:val="000000"/>
        </w:rPr>
        <w:t>,</w:t>
      </w:r>
    </w:p>
    <w:p>
      <w:pPr>
        <w:spacing w:after="0" w:line="1" w:lineRule="exact"/>
        <w:rPr>
          <w:sz w:val="20"/>
          <w:szCs w:val="20"/>
          <w:color w:val="auto"/>
        </w:rPr>
      </w:pPr>
    </w:p>
    <w:p>
      <w:pPr>
        <w:jc w:val="both"/>
        <w:ind w:firstLine="8"/>
        <w:spacing w:after="0" w:line="233" w:lineRule="auto"/>
        <w:tabs>
          <w:tab w:leader="none" w:pos="31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as required by applicable Law or Order, (c) as otherwise contemplated by this Agreement or (d) with the prior written consent of Purchaser (which consent shall not be unreasonably withheld, delayed, or conditioned), (x) the Company shall conduct the Business in the ordinary course of business consistent with past practice and (y) the Company shall not:</w:t>
      </w:r>
    </w:p>
    <w:p>
      <w:pPr>
        <w:spacing w:after="0" w:line="187" w:lineRule="exact"/>
        <w:rPr>
          <w:rFonts w:ascii="Arial" w:cs="Arial" w:eastAsia="Arial" w:hAnsi="Arial"/>
          <w:sz w:val="22"/>
          <w:szCs w:val="22"/>
          <w:color w:val="auto"/>
        </w:rPr>
      </w:pPr>
    </w:p>
    <w:p>
      <w:pPr>
        <w:ind w:firstLine="1952"/>
        <w:spacing w:after="0" w:line="250" w:lineRule="auto"/>
        <w:tabs>
          <w:tab w:leader="none" w:pos="2701" w:val="left"/>
        </w:tabs>
        <w:numPr>
          <w:ilvl w:val="1"/>
          <w:numId w:val="79"/>
        </w:numPr>
        <w:rPr>
          <w:rFonts w:ascii="Arial" w:cs="Arial" w:eastAsia="Arial" w:hAnsi="Arial"/>
          <w:sz w:val="22"/>
          <w:szCs w:val="22"/>
          <w:color w:val="010000"/>
        </w:rPr>
      </w:pPr>
      <w:r>
        <w:rPr>
          <w:rFonts w:ascii="Arial" w:cs="Arial" w:eastAsia="Arial" w:hAnsi="Arial"/>
          <w:sz w:val="22"/>
          <w:szCs w:val="22"/>
          <w:color w:val="auto"/>
        </w:rPr>
        <w:t>repurchase, redeem or otherwise acquire any outstanding shares of capital stock or other Equity Interests of the Company;</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declare, set aside, or pay any dividend or other distribution in respect of the Shares;</w:t>
      </w:r>
    </w:p>
    <w:p>
      <w:pPr>
        <w:spacing w:after="0" w:line="240" w:lineRule="exact"/>
        <w:rPr>
          <w:rFonts w:ascii="Arial" w:cs="Arial" w:eastAsia="Arial" w:hAnsi="Arial"/>
          <w:sz w:val="19"/>
          <w:szCs w:val="19"/>
          <w:color w:val="010000"/>
        </w:rPr>
      </w:pPr>
    </w:p>
    <w:p>
      <w:pPr>
        <w:jc w:val="both"/>
        <w:ind w:firstLine="1952"/>
        <w:spacing w:after="0"/>
        <w:tabs>
          <w:tab w:leader="none" w:pos="2808" w:val="left"/>
        </w:tabs>
        <w:numPr>
          <w:ilvl w:val="1"/>
          <w:numId w:val="79"/>
        </w:numPr>
        <w:rPr>
          <w:rFonts w:ascii="Arial" w:cs="Arial" w:eastAsia="Arial" w:hAnsi="Arial"/>
          <w:sz w:val="22"/>
          <w:szCs w:val="22"/>
          <w:color w:val="010000"/>
        </w:rPr>
      </w:pPr>
      <w:r>
        <w:rPr>
          <w:rFonts w:ascii="Arial" w:cs="Arial" w:eastAsia="Arial" w:hAnsi="Arial"/>
          <w:sz w:val="22"/>
          <w:szCs w:val="22"/>
          <w:color w:val="auto"/>
        </w:rPr>
        <w:t>transfer, issue, sell or dispose of, or grant options, warrants or other rights to purchase or otherwise acquire, any shares of capital stock, membership interests or other Equity Interests of the Company;</w:t>
      </w:r>
    </w:p>
    <w:p>
      <w:pPr>
        <w:spacing w:after="0" w:line="186" w:lineRule="exact"/>
        <w:rPr>
          <w:rFonts w:ascii="Arial" w:cs="Arial" w:eastAsia="Arial" w:hAnsi="Arial"/>
          <w:sz w:val="22"/>
          <w:szCs w:val="22"/>
          <w:color w:val="010000"/>
        </w:rPr>
      </w:pPr>
    </w:p>
    <w:p>
      <w:pPr>
        <w:ind w:left="2660" w:hanging="708"/>
        <w:spacing w:after="0"/>
        <w:tabs>
          <w:tab w:leader="none" w:pos="2660"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effect any recapitalization, reclassification or like change in the capitalization of the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88" w:lineRule="exact"/>
        <w:rPr>
          <w:rFonts w:ascii="Arial" w:cs="Arial" w:eastAsia="Arial" w:hAnsi="Arial"/>
          <w:sz w:val="19"/>
          <w:szCs w:val="19"/>
          <w:color w:val="010000"/>
        </w:rPr>
      </w:pPr>
    </w:p>
    <w:p>
      <w:pPr>
        <w:ind w:firstLine="1952"/>
        <w:spacing w:after="0" w:line="250" w:lineRule="auto"/>
        <w:tabs>
          <w:tab w:leader="none" w:pos="2803" w:val="left"/>
        </w:tabs>
        <w:numPr>
          <w:ilvl w:val="1"/>
          <w:numId w:val="79"/>
        </w:numPr>
        <w:rPr>
          <w:rFonts w:ascii="Arial" w:cs="Arial" w:eastAsia="Arial" w:hAnsi="Arial"/>
          <w:sz w:val="22"/>
          <w:szCs w:val="22"/>
          <w:color w:val="010000"/>
        </w:rPr>
      </w:pPr>
      <w:r>
        <w:rPr>
          <w:rFonts w:ascii="Arial" w:cs="Arial" w:eastAsia="Arial" w:hAnsi="Arial"/>
          <w:sz w:val="22"/>
          <w:szCs w:val="22"/>
          <w:color w:val="auto"/>
        </w:rPr>
        <w:t>adopt a plan of liquidation, dissolution, restructuring, bankruptcy, suspension of payments, or other reorganization;</w:t>
      </w:r>
    </w:p>
    <w:p>
      <w:pPr>
        <w:spacing w:after="0" w:line="174" w:lineRule="exact"/>
        <w:rPr>
          <w:rFonts w:ascii="Arial" w:cs="Arial" w:eastAsia="Arial" w:hAnsi="Arial"/>
          <w:sz w:val="22"/>
          <w:szCs w:val="22"/>
          <w:color w:val="010000"/>
        </w:rPr>
      </w:pPr>
    </w:p>
    <w:p>
      <w:pPr>
        <w:ind w:left="2640" w:hanging="688"/>
        <w:spacing w:after="0"/>
        <w:tabs>
          <w:tab w:leader="none" w:pos="2640" w:val="left"/>
        </w:tabs>
        <w:numPr>
          <w:ilvl w:val="1"/>
          <w:numId w:val="79"/>
        </w:numPr>
        <w:rPr>
          <w:rFonts w:ascii="Arial" w:cs="Arial" w:eastAsia="Arial" w:hAnsi="Arial"/>
          <w:sz w:val="22"/>
          <w:szCs w:val="22"/>
          <w:color w:val="010000"/>
        </w:rPr>
      </w:pPr>
      <w:r>
        <w:rPr>
          <w:rFonts w:ascii="Arial" w:cs="Arial" w:eastAsia="Arial" w:hAnsi="Arial"/>
          <w:sz w:val="22"/>
          <w:szCs w:val="22"/>
          <w:color w:val="auto"/>
        </w:rPr>
        <w:t>amend the articles of incorporation or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96" w:name="page97"/>
    <w:bookmarkEnd w:id="96"/>
    <w:p>
      <w:pPr>
        <w:jc w:val="both"/>
        <w:ind w:firstLine="1952"/>
        <w:spacing w:after="0"/>
        <w:tabs>
          <w:tab w:leader="none" w:pos="2667"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 incur or assume any Indebtedness for borrowed money except in the ordinary course of business where such Indebtedness will be discharged at or prior to Closing or (B) make any loans or advances to any other Person;</w:t>
      </w:r>
    </w:p>
    <w:p>
      <w:pPr>
        <w:spacing w:after="0" w:line="186" w:lineRule="exact"/>
        <w:rPr>
          <w:rFonts w:ascii="Arial" w:cs="Arial" w:eastAsia="Arial" w:hAnsi="Arial"/>
          <w:sz w:val="22"/>
          <w:szCs w:val="22"/>
          <w:color w:val="010000"/>
        </w:rPr>
      </w:pPr>
    </w:p>
    <w:p>
      <w:pPr>
        <w:jc w:val="both"/>
        <w:ind w:firstLine="1952"/>
        <w:spacing w:after="0" w:line="297" w:lineRule="auto"/>
        <w:tabs>
          <w:tab w:leader="none" w:pos="2592" w:val="left"/>
        </w:tabs>
        <w:numPr>
          <w:ilvl w:val="1"/>
          <w:numId w:val="80"/>
        </w:numPr>
        <w:rPr>
          <w:rFonts w:ascii="Arial" w:cs="Arial" w:eastAsia="Arial" w:hAnsi="Arial"/>
          <w:sz w:val="19"/>
          <w:szCs w:val="19"/>
          <w:color w:val="010000"/>
        </w:rPr>
      </w:pPr>
      <w:r>
        <w:rPr>
          <w:rFonts w:ascii="Arial" w:cs="Arial" w:eastAsia="Arial" w:hAnsi="Arial"/>
          <w:sz w:val="19"/>
          <w:szCs w:val="19"/>
          <w:color w:val="auto"/>
        </w:rPr>
        <w:t>(A) acquire any corporation, limited liability company, partnership or other business organization or division thereof or (B) sell, lease, assign, transfer, license, abandon, convey, let lapse, or otherwise dispose of material assets of the Company, except, in the case of clause (B), in the ordinary course of business;</w:t>
      </w:r>
    </w:p>
    <w:p>
      <w:pPr>
        <w:spacing w:after="0" w:line="133" w:lineRule="exact"/>
        <w:rPr>
          <w:rFonts w:ascii="Arial" w:cs="Arial" w:eastAsia="Arial" w:hAnsi="Arial"/>
          <w:sz w:val="19"/>
          <w:szCs w:val="19"/>
          <w:color w:val="010000"/>
        </w:rPr>
      </w:pPr>
    </w:p>
    <w:p>
      <w:pPr>
        <w:ind w:left="2640" w:hanging="688"/>
        <w:spacing w:after="0"/>
        <w:tabs>
          <w:tab w:leader="none" w:pos="2640"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settle or compromise any Legal Proceedings;</w:t>
      </w:r>
    </w:p>
    <w:p>
      <w:pPr>
        <w:spacing w:after="0" w:line="206" w:lineRule="exact"/>
        <w:rPr>
          <w:rFonts w:ascii="Arial" w:cs="Arial" w:eastAsia="Arial" w:hAnsi="Arial"/>
          <w:sz w:val="22"/>
          <w:szCs w:val="22"/>
          <w:color w:val="010000"/>
        </w:rPr>
      </w:pPr>
    </w:p>
    <w:p>
      <w:pPr>
        <w:jc w:val="both"/>
        <w:ind w:firstLine="1952"/>
        <w:spacing w:after="0" w:line="276" w:lineRule="auto"/>
        <w:tabs>
          <w:tab w:leader="none" w:pos="2668" w:val="left"/>
        </w:tabs>
        <w:numPr>
          <w:ilvl w:val="1"/>
          <w:numId w:val="80"/>
        </w:numPr>
        <w:rPr>
          <w:rFonts w:ascii="Arial" w:cs="Arial" w:eastAsia="Arial" w:hAnsi="Arial"/>
          <w:sz w:val="19"/>
          <w:szCs w:val="19"/>
          <w:color w:val="010000"/>
        </w:rPr>
      </w:pPr>
      <w:r>
        <w:rPr>
          <w:rFonts w:ascii="Arial" w:cs="Arial" w:eastAsia="Arial" w:hAnsi="Arial"/>
          <w:sz w:val="19"/>
          <w:szCs w:val="19"/>
          <w:color w:val="auto"/>
        </w:rPr>
        <w:t>(A) materially increase the compensation or benefits payable or to become payable to any employee of the Company, other than (x) as required by applicable Law or the terms of a Benefit Plan or</w:t>
      </w:r>
    </w:p>
    <w:p>
      <w:pPr>
        <w:spacing w:after="0" w:line="1" w:lineRule="exact"/>
        <w:rPr>
          <w:rFonts w:ascii="Arial" w:cs="Arial" w:eastAsia="Arial" w:hAnsi="Arial"/>
          <w:sz w:val="19"/>
          <w:szCs w:val="19"/>
          <w:color w:val="010000"/>
        </w:rPr>
      </w:pPr>
    </w:p>
    <w:p>
      <w:pPr>
        <w:jc w:val="both"/>
        <w:ind w:firstLine="8"/>
        <w:spacing w:after="0" w:line="245" w:lineRule="auto"/>
        <w:tabs>
          <w:tab w:leader="none" w:pos="3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to the extent such increase or benefit will be considered an Unpaid Company Transaction Expense or Contingent Consideration, (B) adopt, amend or terminate any Benefit Plan, except in each case in the ordinary course of business or as may be required by an existing Contract disclosed to Purchaser in accordance with the terms of this Agreement, or (C) take any employment termination action that would constitute an “employment loss,” “layoff,” or “termination” within the meaning of the WARN Act;</w:t>
      </w:r>
    </w:p>
    <w:p>
      <w:pPr>
        <w:spacing w:after="0" w:line="180" w:lineRule="exact"/>
        <w:rPr>
          <w:rFonts w:ascii="Arial" w:cs="Arial" w:eastAsia="Arial" w:hAnsi="Arial"/>
          <w:sz w:val="21"/>
          <w:szCs w:val="21"/>
          <w:color w:val="auto"/>
        </w:rPr>
      </w:pPr>
    </w:p>
    <w:p>
      <w:pPr>
        <w:jc w:val="both"/>
        <w:ind w:firstLine="1952"/>
        <w:spacing w:after="0"/>
        <w:tabs>
          <w:tab w:leader="none" w:pos="2823"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enter into, modify, supplement, amend, renew, terminate, release, or waive any rights under any Material Contract or that if entered into prior to the date hereof would be a Material Contract, except for any termination of expiration of a Material Contract by its own terms;</w:t>
      </w:r>
    </w:p>
    <w:p>
      <w:pPr>
        <w:spacing w:after="0" w:line="186" w:lineRule="exact"/>
        <w:rPr>
          <w:rFonts w:ascii="Arial" w:cs="Arial" w:eastAsia="Arial" w:hAnsi="Arial"/>
          <w:sz w:val="22"/>
          <w:szCs w:val="22"/>
          <w:color w:val="010000"/>
        </w:rPr>
      </w:pPr>
    </w:p>
    <w:p>
      <w:pPr>
        <w:ind w:left="2860" w:hanging="908"/>
        <w:spacing w:after="0"/>
        <w:tabs>
          <w:tab w:leader="none" w:pos="2860" w:val="left"/>
        </w:tabs>
        <w:numPr>
          <w:ilvl w:val="1"/>
          <w:numId w:val="81"/>
        </w:numPr>
        <w:rPr>
          <w:rFonts w:ascii="Arial" w:cs="Arial" w:eastAsia="Arial" w:hAnsi="Arial"/>
          <w:sz w:val="21"/>
          <w:szCs w:val="21"/>
          <w:color w:val="010000"/>
        </w:rPr>
      </w:pPr>
      <w:r>
        <w:rPr>
          <w:rFonts w:ascii="Arial" w:cs="Arial" w:eastAsia="Arial" w:hAnsi="Arial"/>
          <w:sz w:val="21"/>
          <w:szCs w:val="21"/>
          <w:color w:val="auto"/>
        </w:rPr>
        <w:t>amend, terminate or waive any provision under any Real Property Lease or</w:t>
      </w:r>
    </w:p>
    <w:p>
      <w:pPr>
        <w:spacing w:after="0" w:line="1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Sublease;</w:t>
      </w:r>
    </w:p>
    <w:p>
      <w:pPr>
        <w:spacing w:after="0" w:line="188" w:lineRule="exact"/>
        <w:rPr>
          <w:rFonts w:ascii="Arial" w:cs="Arial" w:eastAsia="Arial" w:hAnsi="Arial"/>
          <w:sz w:val="21"/>
          <w:szCs w:val="21"/>
          <w:color w:val="010000"/>
        </w:rPr>
      </w:pPr>
    </w:p>
    <w:p>
      <w:pPr>
        <w:jc w:val="both"/>
        <w:ind w:firstLine="1952"/>
        <w:spacing w:after="0" w:line="236" w:lineRule="auto"/>
        <w:tabs>
          <w:tab w:leader="none" w:pos="2767"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make, change or revoke any Tax election, method of Tax accounting, or Tax accounting period, settle or compromise any Tax Liability or claim, consent to any extension or waiver of the limitation period applicable to any Tax claim or assessment, prepare any Tax Return in a manner not consistent with the past practice of the Company, file any amended Tax Return, surrender any claim for refund of Taxes, or enter into any closing agreement relating to any Tax;</w:t>
      </w:r>
    </w:p>
    <w:p>
      <w:pPr>
        <w:spacing w:after="0" w:line="187" w:lineRule="exact"/>
        <w:rPr>
          <w:rFonts w:ascii="Arial" w:cs="Arial" w:eastAsia="Arial" w:hAnsi="Arial"/>
          <w:sz w:val="22"/>
          <w:szCs w:val="22"/>
          <w:color w:val="010000"/>
        </w:rPr>
      </w:pPr>
    </w:p>
    <w:p>
      <w:pPr>
        <w:jc w:val="both"/>
        <w:ind w:firstLine="1952"/>
        <w:spacing w:after="0" w:line="235" w:lineRule="auto"/>
        <w:tabs>
          <w:tab w:leader="none" w:pos="2809"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make any material change in the operations or policies with respect to selling products or services, accounting for such sales, cash management practices, or any method of accounting or accounting policies (except to the extent required by GAAP), including any change or modification of the Company’s credit, collection, or payment policies, procedures, or practices (</w:t>
      </w:r>
      <w:r>
        <w:rPr>
          <w:rFonts w:ascii="Arial" w:cs="Arial" w:eastAsia="Arial" w:hAnsi="Arial"/>
          <w:sz w:val="22"/>
          <w:szCs w:val="22"/>
          <w:i w:val="1"/>
          <w:iCs w:val="1"/>
          <w:color w:val="auto"/>
        </w:rPr>
        <w:t>i.e.</w:t>
      </w:r>
      <w:r>
        <w:rPr>
          <w:rFonts w:ascii="Arial" w:cs="Arial" w:eastAsia="Arial" w:hAnsi="Arial"/>
          <w:sz w:val="22"/>
          <w:szCs w:val="22"/>
          <w:color w:val="auto"/>
        </w:rPr>
        <w:t>, acceleration of the collection of Receivables (whether or not past due), writing off any Receivables, or failing to pay, or delaying payment of, payables or other Liabilities);</w:t>
      </w:r>
    </w:p>
    <w:p>
      <w:pPr>
        <w:spacing w:after="0" w:line="187" w:lineRule="exact"/>
        <w:rPr>
          <w:rFonts w:ascii="Arial" w:cs="Arial" w:eastAsia="Arial" w:hAnsi="Arial"/>
          <w:sz w:val="22"/>
          <w:szCs w:val="22"/>
          <w:color w:val="010000"/>
        </w:rPr>
      </w:pPr>
    </w:p>
    <w:p>
      <w:pPr>
        <w:ind w:left="2700" w:hanging="748"/>
        <w:spacing w:after="0"/>
        <w:tabs>
          <w:tab w:leader="none" w:pos="2700" w:val="left"/>
        </w:tabs>
        <w:numPr>
          <w:ilvl w:val="1"/>
          <w:numId w:val="81"/>
        </w:numPr>
        <w:rPr>
          <w:rFonts w:ascii="Arial" w:cs="Arial" w:eastAsia="Arial" w:hAnsi="Arial"/>
          <w:sz w:val="19"/>
          <w:szCs w:val="19"/>
          <w:color w:val="010000"/>
        </w:rPr>
      </w:pPr>
      <w:r>
        <w:rPr>
          <w:rFonts w:ascii="Arial" w:cs="Arial" w:eastAsia="Arial" w:hAnsi="Arial"/>
          <w:sz w:val="19"/>
          <w:szCs w:val="19"/>
          <w:color w:val="auto"/>
        </w:rPr>
        <w:t>enter into any new line of business or abandon or discontinue any existing lines of</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7" w:name="page98"/>
    <w:bookmarkEnd w:id="97"/>
    <w:p>
      <w:pPr>
        <w:ind w:left="2640" w:hanging="688"/>
        <w:spacing w:after="0"/>
        <w:tabs>
          <w:tab w:leader="none" w:pos="2640"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enter into any Contract or transaction with any Related Party; or</w:t>
      </w:r>
    </w:p>
    <w:p>
      <w:pPr>
        <w:spacing w:after="0" w:line="206" w:lineRule="exact"/>
        <w:rPr>
          <w:rFonts w:ascii="Arial" w:cs="Arial" w:eastAsia="Arial" w:hAnsi="Arial"/>
          <w:sz w:val="22"/>
          <w:szCs w:val="22"/>
          <w:color w:val="010000"/>
        </w:rPr>
      </w:pPr>
    </w:p>
    <w:p>
      <w:pPr>
        <w:ind w:left="2780" w:hanging="828"/>
        <w:spacing w:after="0"/>
        <w:tabs>
          <w:tab w:leader="none" w:pos="2780"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enter into any agreement or otherwise make a commitment to do anything</w:t>
      </w:r>
    </w:p>
    <w:p>
      <w:pPr>
        <w:spacing w:after="0" w:line="1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 xml:space="preserve">prohibited by this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6.2 </w:t>
      </w:r>
      <w:r>
        <w:rPr>
          <w:rFonts w:ascii="Arial" w:cs="Arial" w:eastAsia="Arial" w:hAnsi="Arial"/>
          <w:sz w:val="21"/>
          <w:szCs w:val="21"/>
          <w:u w:val="single" w:color="auto"/>
          <w:color w:val="000000"/>
        </w:rPr>
        <w:t>Control of Business</w:t>
      </w:r>
      <w:r>
        <w:rPr>
          <w:rFonts w:ascii="Arial" w:cs="Arial" w:eastAsia="Arial" w:hAnsi="Arial"/>
          <w:sz w:val="21"/>
          <w:szCs w:val="21"/>
          <w:color w:val="000000"/>
        </w:rPr>
        <w:t>. Purchaser acknowledges and agrees that: (a) nothing contained in this</w:t>
      </w:r>
      <w:r>
        <w:rPr>
          <w:rFonts w:ascii="Arial" w:cs="Arial" w:eastAsia="Arial" w:hAnsi="Arial"/>
          <w:sz w:val="21"/>
          <w:szCs w:val="21"/>
          <w:color w:val="010000"/>
        </w:rPr>
        <w:t xml:space="preserve"> </w:t>
      </w:r>
      <w:r>
        <w:rPr>
          <w:rFonts w:ascii="Arial" w:cs="Arial" w:eastAsia="Arial" w:hAnsi="Arial"/>
          <w:sz w:val="21"/>
          <w:szCs w:val="21"/>
          <w:color w:val="000000"/>
        </w:rPr>
        <w:t xml:space="preserve">Agreement shall give Purchaser, directly or indirectly, the right to control or direct the Company’s operations prior to the Closing; (b) prior to the Closing, the Company’s management and board of directors and equityholders shall exercise, consistent with the terms and conditions of this Agreement and applicable Law, complete control and supervision over the Company’s operations; and (c) notwithstanding anything to the contrary set forth in this Agreement, no consent of Purchaser shall be required with respect to any matter set forth in </w:t>
      </w:r>
      <w:r>
        <w:rPr>
          <w:rFonts w:ascii="Arial" w:cs="Arial" w:eastAsia="Arial" w:hAnsi="Arial"/>
          <w:sz w:val="21"/>
          <w:szCs w:val="21"/>
          <w:u w:val="single" w:color="auto"/>
          <w:color w:val="000000"/>
        </w:rPr>
        <w:t>Section 6.1</w:t>
      </w:r>
      <w:r>
        <w:rPr>
          <w:rFonts w:ascii="Arial" w:cs="Arial" w:eastAsia="Arial" w:hAnsi="Arial"/>
          <w:sz w:val="21"/>
          <w:szCs w:val="21"/>
          <w:color w:val="000000"/>
        </w:rPr>
        <w:t xml:space="preserve"> or elsewhere in this Agreement to the extent that the requirement of such consent is reasonably likely to violate any applicable Law or Order.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69" w:lineRule="auto"/>
        <w:tabs>
          <w:tab w:leader="none" w:pos="2578"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From the date of this Agreement until the earlier of the valid termination of this Agreement or the Closing, upon Purchaser’s reasonable request, the Company shall afford each Designated Representative reasonable access to the offices, properties, books and records of the Company and such financial, operating, and other data and information related to the Company as Purchaser may reasonably request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Company will be given reasonable prior written notice before any such access is granted and such access shall be conducted during normal business hours under the supervision of personnel of the Company and in such a manner so as not to interfere with the normal operations of the Company; (ii) the auditors and accountants of the Company shall not be obligated to make any work papers (to the extent extant) available to any Person unless and until such Person has signed a customary agreement relating to such access to work papers in form and substance reasonably acceptable to such auditors or accountants; (iii) if the Parties are in an adversarial relationship in litigation or arbitration, the furnishing of information, documents or records in accordance with this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shall be subject to applicable rules relating to discovery; (iv) any access to the Company’s properties shall be subject to the Company’s reasonable security and insurance measures and shall not include the right to conduct any environmental testing, sampling or intrusive investigations of any kind; (v) Purchaser shall have no access to any Tax Returns of any Seller, including for the avoidance of doubt, any U.S. federal Income Tax Return, state or local Tax Return, or foreign Tax Return of any Seller, or any portion thereof (but excluding for the avoidance of doubt any Tax Returns of the Company) unless access to a Tax Return of a Seller for a Tax period during which the Company was a disregarded entity is necessary for Purchaser or the Company to comply with any applicable Law related to Taxes and then such access shall be limited to only those portions of such Tax Return which are required to comply with any applicable Law related to Taxes; and (vi) the Company shall not be required to provide copies of, access to or otherwise disclose to or supply Purchaser with any information that, as determined by the Company or the Sellers’ Representative in good faith, (A) the Company or any Seller is under a contractual, antitrust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22"/>
          <w:szCs w:val="22"/>
          <w:color w:val="auto"/>
        </w:rPr>
        <w:t>other legal obligation not to supply, (B) would jeopardize the attorney-client privilege or other immunity of the Company or any Seller, (C) would conflict with any Law (including any Law relating to data protection or privacy), Order or privacy policy or notice applicable to any Seller, the Company or the assets, information or operation of the Company, or (D) upon the advice of counsel, should not be so disclosed due to its competitively sensitive nature.</w:t>
      </w:r>
    </w:p>
    <w:p>
      <w:pPr>
        <w:spacing w:after="0" w:line="187" w:lineRule="exact"/>
        <w:rPr>
          <w:sz w:val="20"/>
          <w:szCs w:val="20"/>
          <w:color w:val="auto"/>
        </w:rPr>
      </w:pPr>
    </w:p>
    <w:p>
      <w:pPr>
        <w:jc w:val="both"/>
        <w:ind w:firstLine="1288"/>
        <w:spacing w:after="0" w:line="269" w:lineRule="auto"/>
        <w:tabs>
          <w:tab w:leader="none" w:pos="2101"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 xml:space="preserve">From and after the Closing, the Company shall be entitled to retain possession of all books and records (including documents, agreements, and financial data) relating to the Business and the Company. From and after the Closing, in connection with any reasonable business purposes, including to (i) comply with applicable Law, including any Legal Proceedings and the resolution of any claims made against or incurred by (x) the Company prior to the Closing or (y) Sellers or the Sellers’ Representative (including pursuant to this Agreement), (ii) determine Sellers’ or the Sellers’ Representative’s rights or obligations under this Agreement or (iii) prepare Tax Returns for any Seller or their Affiliates for all periods ending prior to or including the Closing Date which have not yet been filed as of the Closing Date, upon reasonable prior request and except as determined by the Company in good faith to be appropriate to ensure compliance with any applicable Law and, except as determined by the Company in good faith to reasonably be expected to violate the attorney-client privilege, other legal privilege, or contractual confidentiality obligations, Purchaser shall, and shall cause the Company to, (A) provide Sellers and the Sellers’ Representative and their respective representatives with reasonable access to and/or copies of such books and records, during normal business hours and (B) make available to the Sellers’ Representative and any representatives of each Seller and such Seller’s Affiliates, at the Sellers’ Representative’s or such other representatives’ respective expense, the employees of the Company, Purchaser and its Affiliates in respect of the Company or the Business whose assistance, expertise, testimony, notes and recollections or presence is necessary to assist the Sellers’ Representative or Sellers in connection with the Sellers’ Representative or the Sellers’ inquiries for any of the purposes referred to above, including the presence of such Persons as witnesses in hearings or trials for such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 the Company will be given reasonable prior written notice before any such access is granted and such access shall be conducted during normal business hours under the supervision of personnel of the Company and in such a manner so as not to interfere with the normal operations of the Company; (x) the auditors and accountants of the Company shall not be obligated to make any work papers (to the extent extant) available to any Person unless and until such Person has signed a customary agreement relating to such access to work papers in form and substance reasonably acceptable to such auditors or accountants; (y) if the Parties are in an adversarial relationship in litigation or arbitration, the furnishing of information, documents or records required by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shall be subject to applicable rules relating to discovery; and (z) any access to the Company’s properties shall be subject to the Company’s reasonable security and insurance measures.</w:t>
      </w:r>
    </w:p>
    <w:p>
      <w:pPr>
        <w:spacing w:after="0" w:line="200" w:lineRule="exact"/>
        <w:rPr>
          <w:rFonts w:ascii="Arial" w:cs="Arial" w:eastAsia="Arial" w:hAnsi="Arial"/>
          <w:sz w:val="19"/>
          <w:szCs w:val="19"/>
          <w:color w:val="010000"/>
        </w:rPr>
      </w:pPr>
    </w:p>
    <w:p>
      <w:pPr>
        <w:spacing w:after="0" w:line="206" w:lineRule="exact"/>
        <w:rPr>
          <w:rFonts w:ascii="Arial" w:cs="Arial" w:eastAsia="Arial" w:hAnsi="Arial"/>
          <w:sz w:val="19"/>
          <w:szCs w:val="19"/>
          <w:color w:val="010000"/>
        </w:rPr>
      </w:pPr>
    </w:p>
    <w:p>
      <w:pPr>
        <w:ind w:firstLine="1288"/>
        <w:spacing w:after="0" w:line="328" w:lineRule="auto"/>
        <w:tabs>
          <w:tab w:leader="none" w:pos="2049"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As promptly as practicable after the Closing, the Sellers’ Representative shall provide to Purchaser a DVD or thumb drive containing, in electronic format, all documents hosted in the Data Room.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99" w:name="page100"/>
    <w:bookmarkEnd w:id="99"/>
    <w:p>
      <w:pPr>
        <w:ind w:right="20" w:firstLine="648"/>
        <w:spacing w:after="0" w:line="250" w:lineRule="auto"/>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u w:val="single" w:color="auto"/>
          <w:color w:val="000000"/>
        </w:rPr>
        <w:t>Cooperation; Filings and Approvals; Third-Party Consents</w:t>
      </w:r>
      <w:r>
        <w:rPr>
          <w:rFonts w:ascii="Arial" w:cs="Arial" w:eastAsia="Arial" w:hAnsi="Arial"/>
          <w:sz w:val="22"/>
          <w:szCs w:val="22"/>
          <w:color w:val="000000"/>
        </w:rPr>
        <w:t>. From the date of this Agreement until</w:t>
      </w:r>
      <w:r>
        <w:rPr>
          <w:rFonts w:ascii="Arial" w:cs="Arial" w:eastAsia="Arial" w:hAnsi="Arial"/>
          <w:sz w:val="22"/>
          <w:szCs w:val="22"/>
          <w:color w:val="010000"/>
        </w:rPr>
        <w:t xml:space="preserve"> </w:t>
      </w:r>
      <w:r>
        <w:rPr>
          <w:rFonts w:ascii="Arial" w:cs="Arial" w:eastAsia="Arial" w:hAnsi="Arial"/>
          <w:sz w:val="22"/>
          <w:szCs w:val="22"/>
          <w:color w:val="000000"/>
        </w:rPr>
        <w:t>the earlier of the valid termination of this Agreement or the Closing Date:</w:t>
      </w:r>
    </w:p>
    <w:p>
      <w:pPr>
        <w:spacing w:after="0" w:line="175" w:lineRule="exact"/>
        <w:rPr>
          <w:sz w:val="20"/>
          <w:szCs w:val="20"/>
          <w:color w:val="auto"/>
        </w:rPr>
      </w:pPr>
    </w:p>
    <w:p>
      <w:pPr>
        <w:jc w:val="both"/>
        <w:ind w:left="340" w:firstLine="1288"/>
        <w:spacing w:after="0" w:line="271" w:lineRule="auto"/>
        <w:tabs>
          <w:tab w:leader="none" w:pos="2483"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 xml:space="preserve">Subject to the terms and conditions of this Agreement (including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 Parties shall cooperate with one another and use (and shall cause their respective Subsidiaries and Affiliates to use) their respective reasonable best efforts to promptly (i) take, or cause to be taken, all actions, and do, or cause to be done, all things, necessary, proper or advisable to cause the conditions to Closing to be satisfied as promptly as practicable and to consummate and make effective, in the most expeditious manner practicable, the Transaction, including preparing and filing promptly and fully all documentation to effect all necessary filings, notices, petitions, statements, registrations, submissions of information, applications and other documents (including any required filings under the HSR Act and the antitrust Laws of any other applicable jurisdiction) and (ii) obtain all approvals, consents, registrations, waiting period expirations or terminations, Permits, authorizations and other confirmations from any Governmental Authority or other Person necessary, proper or advisable to consummate the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Company nor any Seller shall be obligated to pay any consideration or offer to grant, or agree to, any financial or other accommodation to any Person from whom any such approval, consent, registration, Permit, authorization or other confirmation is requested. For the avoidance of doubt, the obtaining of any such approval, consent, registration, Permit, authorization or other confirmation is not a condition to Closing unless expressly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left="340" w:firstLine="1288"/>
        <w:spacing w:after="0" w:line="270" w:lineRule="auto"/>
        <w:tabs>
          <w:tab w:leader="none" w:pos="237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 xml:space="preserve">In furtherance and not in limitation of the foregoing, (i) Purchaser and Sellers agree to make, or have their respective ultimate parent entities (as that term is defined in the HSR Act) make, an appropriate filing of a Notification and Report Form pursuant to the HSR Act with respect to the Transaction as promptly as practicable following the date of this Agreement (but in no event later than five (5) Business Days from the date of this Agreement) and to supply as promptly as practicable any additional information and documentary material that may be requested pursuant to the HSR Act and use its reasonable best efforts to take, or cause to be taken, all other actions consistent with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necessary to cause the expiration or termination of the applicable waiting periods under the HSR Act as soon as practicable (including requesting early termination of the applicable waiting periods under the HSR Act) and (ii) to the extent that any pre-merger filings are required in any other jurisdictions, Purchaser shall take the lead in submitting such filings, with the Company’s reasonable assistance, as promptly as practicable following the date of this Agreement (but in no event later than five (5) Business Days from the date of this Agreement). Purchaser agrees to supply, or have its ultimate parent entity supply, and the Company and Sellers shall supply, as promptly as practicable, an appropriate response to, and to certify substantial compliance with, a request for additional information and documentary materials that may be required or requested by a Governmental Authority in connection with such required filings and use its reasonable best efforts to obtain clearance or waiting period expirations or terminations from such Governmental Authority with respect to the Transaction as promptly as practicable.</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jc w:val="both"/>
        <w:ind w:left="340" w:firstLine="1288"/>
        <w:spacing w:after="0" w:line="238" w:lineRule="auto"/>
        <w:tabs>
          <w:tab w:leader="none" w:pos="2402"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Each of the Parties, as applicable, shall use its reasonable best efforts to (i) cooperate with the others in connection with any filing with or submission to a Governmental Authority in connection with the Transaction and in connection with any investigation or other inquiry by or before a Governmental Authority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00" w:name="page101"/>
    <w:bookmarkEnd w:id="100"/>
    <w:p>
      <w:pPr>
        <w:jc w:val="both"/>
        <w:ind w:left="8"/>
        <w:spacing w:after="0" w:line="270" w:lineRule="auto"/>
        <w:rPr>
          <w:sz w:val="20"/>
          <w:szCs w:val="20"/>
          <w:color w:val="auto"/>
        </w:rPr>
      </w:pPr>
      <w:r>
        <w:rPr>
          <w:rFonts w:ascii="Arial" w:cs="Arial" w:eastAsia="Arial" w:hAnsi="Arial"/>
          <w:sz w:val="19"/>
          <w:szCs w:val="19"/>
          <w:color w:val="auto"/>
        </w:rPr>
        <w:t xml:space="preserve">Transaction, including any proceeding initiated by a private party and (ii) keep the others informed in all respects and on a current basis of any communication received by such Party from, or given by such Party to, the Federal Trade Commission, the Antitrust Division of the Department of Justice or any other Governmental Authority and of any communication received or given in connection with any proceeding by a private party, in each case regarding the Transaction. Subject to applicable Laws relating to the exchange of information and to the extent practicable, each of the Sellers’ Representative, the Company and Purchaser, shall have the right to review in advance, and each will consult the other on, any filing made with, or written materials submitted to, any Governmental Authority in connection with the Transaction (although the Parties will not be obligated to share with each other the documents they include with their notifications under the HSR Act that are responsive to Items 4(c) and 4(d) of the HSR notification). The Parties may, as they deem advisable and necessary, designate any competitively sensitive materials provided to the others under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In addition, to the extent reasonably practicable, all meetings and telephone calls with a Governmental Authority regarding the Transaction shall include representatives of all Parties. Subject to applicable Law, the Parties will consult and cooperate with each other in connection with any analyses, appearances, presentations, memoranda, briefs, arguments and proposals made or submitted to any Governmental Authority regarding the Transaction by or on behalf of any Party.</w:t>
      </w:r>
    </w:p>
    <w:p>
      <w:pPr>
        <w:spacing w:after="0" w:line="200" w:lineRule="exact"/>
        <w:rPr>
          <w:sz w:val="20"/>
          <w:szCs w:val="20"/>
          <w:color w:val="auto"/>
        </w:rPr>
      </w:pPr>
    </w:p>
    <w:p>
      <w:pPr>
        <w:spacing w:after="0" w:line="209" w:lineRule="exact"/>
        <w:rPr>
          <w:sz w:val="20"/>
          <w:szCs w:val="20"/>
          <w:color w:val="auto"/>
        </w:rPr>
      </w:pPr>
    </w:p>
    <w:p>
      <w:pPr>
        <w:jc w:val="both"/>
        <w:ind w:left="8" w:firstLine="1288"/>
        <w:spacing w:after="0" w:line="268" w:lineRule="auto"/>
        <w:tabs>
          <w:tab w:leader="none" w:pos="2028"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Purchaser shall not, and shall cause its Affiliates not to, acquire or agree to acquire, by merging with or into or consolidating with, or by purchasing a substantial portion of the assets of or equity in, or by any other manner, any business or any corporation, partnership, association or other business organization or division thereof, or otherwise acquire or agree to acquire any assets, if the entering into of a definitive agreement relating to, or the consummation of such acquisition, merger or consolidation would reasonably be expected to: (i) impose any material delay in the obtaining of, or materially increase the risk of not obtaining, any consents of any Governmental Authority necessary to consummate the Transaction or the expiration or termination of any applicable waiting period; (ii) materially increase the risk of any Governmental Authority seeking or entering an Order prohibiting the consummation of the Transaction; (iii) materially increase the risk of not being able to remove any such Order on appeal or otherwise or</w:t>
      </w:r>
    </w:p>
    <w:p>
      <w:pPr>
        <w:spacing w:after="0" w:line="8" w:lineRule="exact"/>
        <w:rPr>
          <w:rFonts w:ascii="Arial" w:cs="Arial" w:eastAsia="Arial" w:hAnsi="Arial"/>
          <w:sz w:val="19"/>
          <w:szCs w:val="19"/>
          <w:color w:val="010000"/>
        </w:rPr>
      </w:pPr>
    </w:p>
    <w:p>
      <w:pPr>
        <w:ind w:left="368" w:hanging="368"/>
        <w:spacing w:after="0"/>
        <w:tabs>
          <w:tab w:leader="none" w:pos="3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materially delay or prevent the consummation of the Transaction.</w:t>
      </w:r>
    </w:p>
    <w:p>
      <w:pPr>
        <w:spacing w:after="0" w:line="188" w:lineRule="exact"/>
        <w:rPr>
          <w:rFonts w:ascii="Arial" w:cs="Arial" w:eastAsia="Arial" w:hAnsi="Arial"/>
          <w:sz w:val="22"/>
          <w:szCs w:val="22"/>
          <w:color w:val="auto"/>
        </w:rPr>
      </w:pPr>
    </w:p>
    <w:p>
      <w:pPr>
        <w:jc w:val="both"/>
        <w:ind w:left="8" w:firstLine="1288"/>
        <w:spacing w:after="0" w:line="274" w:lineRule="auto"/>
        <w:tabs>
          <w:tab w:leader="none" w:pos="2137" w:val="left"/>
        </w:tabs>
        <w:numPr>
          <w:ilvl w:val="1"/>
          <w:numId w:val="87"/>
        </w:numPr>
        <w:rPr>
          <w:rFonts w:ascii="Arial" w:cs="Arial" w:eastAsia="Arial" w:hAnsi="Arial"/>
          <w:sz w:val="19"/>
          <w:szCs w:val="19"/>
          <w:color w:val="010000"/>
        </w:rPr>
      </w:pPr>
      <w:r>
        <w:rPr>
          <w:rFonts w:ascii="Arial" w:cs="Arial" w:eastAsia="Arial" w:hAnsi="Arial"/>
          <w:sz w:val="19"/>
          <w:szCs w:val="19"/>
          <w:color w:val="auto"/>
        </w:rPr>
        <w:t>Notwithstanding anything in this Agreement to the contrary, nothing in this Section (including “reasonable best efforts” as applied to this Section) shall require Purchaser or its Affiliates to take any of the following actions: (i) proposing, negotiating, litigating or committing to or effecting, by consent decree, hold separate order or otherwise, to hold separate or to sell, divest, lease, license, transfer, dispose of, or otherwise encumber, any assets, licenses, operations, rights, product lines, businesses or interest therein of the Company, the Purchaser or any of their respective Affiliates (or to consent to any sale, divestiture, lease, license, transfer, disposition or other encumbrance by the Company, Purchaser or any of their respective Affiliates of any of such Person’s assets, licenses, operations, rights, product lines, businesses or interest therein or to any Contract by such Person to take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504190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469" w:right="999" w:bottom="1440" w:gutter="0" w:footer="0" w:header="0"/>
        </w:sectPr>
      </w:pPr>
    </w:p>
    <w:bookmarkStart w:id="101" w:name="page102"/>
    <w:bookmarkEnd w:id="101"/>
    <w:p>
      <w:pPr>
        <w:jc w:val="both"/>
        <w:ind w:left="340"/>
        <w:spacing w:after="0" w:line="244" w:lineRule="auto"/>
        <w:rPr>
          <w:sz w:val="20"/>
          <w:szCs w:val="20"/>
          <w:color w:val="auto"/>
        </w:rPr>
      </w:pPr>
      <w:r>
        <w:rPr>
          <w:rFonts w:ascii="Arial" w:cs="Arial" w:eastAsia="Arial" w:hAnsi="Arial"/>
          <w:sz w:val="21"/>
          <w:szCs w:val="21"/>
          <w:color w:val="auto"/>
        </w:rPr>
        <w:t>actions), (ii) terminating existing relationships, contractual rights or obligations of the Company or of Purchaser or any of their respective Affiliates, (iii) terminating any venture or other arrangement of the Company, Purchaser or any of their respective Affiliates, (iv) taking or committing to take actions that would limit the Company’s, Purchaser’s or any of their respective Affiliates’ freedom of action with respect to one or more of the businesses, product lines, intellectual property, or assets or property of the Company, Purchaser or any of their respective Affiliates, or (v) otherwise agreeing to any changes (including through a licensing arrangement) or restriction on, or other impairment of the Company’s, Purchaser’s or any of their respective Affiliates’ ability to own or operate, any of their respective assets, licenses, operations, rights, product lines, businesses or interests therein or the Company’s, Purchaser’s or any of their respective Affiliates’ ability to vote, transfer, receive dividends or otherwise exercise full ownership rights with respect to the capital stock of Purchaser or any of its Affiliates.</w:t>
      </w:r>
    </w:p>
    <w:p>
      <w:pPr>
        <w:spacing w:after="0" w:line="188" w:lineRule="exact"/>
        <w:rPr>
          <w:sz w:val="20"/>
          <w:szCs w:val="20"/>
          <w:color w:val="auto"/>
        </w:rPr>
      </w:pPr>
    </w:p>
    <w:p>
      <w:pPr>
        <w:jc w:val="both"/>
        <w:ind w:left="340" w:firstLine="1288"/>
        <w:spacing w:after="0" w:line="276" w:lineRule="auto"/>
        <w:tabs>
          <w:tab w:leader="none" w:pos="254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execution of this Agreement, the Company shall cooperate with Purchaser in the preparation of a five (5)-day notification pursuant to 22 C.F.R.</w:t>
      </w:r>
    </w:p>
    <w:p>
      <w:pPr>
        <w:spacing w:after="0" w:line="1" w:lineRule="exact"/>
        <w:rPr>
          <w:rFonts w:ascii="Arial" w:cs="Arial" w:eastAsia="Arial" w:hAnsi="Arial"/>
          <w:sz w:val="19"/>
          <w:szCs w:val="19"/>
          <w:color w:val="010000"/>
        </w:rPr>
      </w:pPr>
    </w:p>
    <w:p>
      <w:pPr>
        <w:ind w:left="340" w:right="20" w:hanging="8"/>
        <w:spacing w:after="0" w:line="236" w:lineRule="auto"/>
        <w:tabs>
          <w:tab w:leader="none" w:pos="5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122.4(a) of the ITAR, with such notification to be submitted by Purchaser no later than five (5) Business Days following the Closing.</w:t>
      </w:r>
    </w:p>
    <w:p>
      <w:pPr>
        <w:spacing w:after="0" w:line="186" w:lineRule="exact"/>
        <w:rPr>
          <w:rFonts w:ascii="Arial" w:cs="Arial" w:eastAsia="Arial" w:hAnsi="Arial"/>
          <w:sz w:val="22"/>
          <w:szCs w:val="22"/>
          <w:color w:val="auto"/>
        </w:rPr>
      </w:pPr>
    </w:p>
    <w:p>
      <w:pPr>
        <w:jc w:val="both"/>
        <w:ind w:left="340" w:firstLine="1288"/>
        <w:spacing w:after="0" w:line="245" w:lineRule="auto"/>
        <w:tabs>
          <w:tab w:leader="none" w:pos="2630" w:val="left"/>
        </w:tabs>
        <w:numPr>
          <w:ilvl w:val="1"/>
          <w:numId w:val="89"/>
        </w:numPr>
        <w:rPr>
          <w:rFonts w:ascii="Arial" w:cs="Arial" w:eastAsia="Arial" w:hAnsi="Arial"/>
          <w:sz w:val="21"/>
          <w:szCs w:val="21"/>
          <w:color w:val="010000"/>
        </w:rPr>
      </w:pPr>
      <w:r>
        <w:rPr>
          <w:rFonts w:ascii="Arial" w:cs="Arial" w:eastAsia="Arial" w:hAnsi="Arial"/>
          <w:sz w:val="21"/>
          <w:szCs w:val="21"/>
          <w:color w:val="auto"/>
        </w:rPr>
        <w:t xml:space="preserve">The Company shall use reasonable best efforts to obtain, as soon as reasonably practicable after the execution of this Agreement, any and all consents, approvals and authorizations set forth in </w:t>
      </w:r>
      <w:r>
        <w:rPr>
          <w:rFonts w:ascii="Arial" w:cs="Arial" w:eastAsia="Arial" w:hAnsi="Arial"/>
          <w:sz w:val="21"/>
          <w:szCs w:val="21"/>
          <w:u w:val="single" w:color="auto"/>
          <w:color w:val="auto"/>
        </w:rPr>
        <w:t>Section 3.2(b)(ii)</w:t>
      </w:r>
      <w:r>
        <w:rPr>
          <w:rFonts w:ascii="Arial" w:cs="Arial" w:eastAsia="Arial" w:hAnsi="Arial"/>
          <w:sz w:val="21"/>
          <w:szCs w:val="21"/>
          <w:color w:val="auto"/>
        </w:rPr>
        <w:t xml:space="preserve"> of the Company Disclosure Schedule, and Purchaser shall cooperate with the Company and provide information (financial or otherwise) as reasonably requested or required by the applicable third parties in connection with obtaining all such consents, approvals and authorizations; </w:t>
      </w:r>
      <w:r>
        <w:rPr>
          <w:rFonts w:ascii="Arial" w:cs="Arial" w:eastAsia="Arial" w:hAnsi="Arial"/>
          <w:sz w:val="21"/>
          <w:szCs w:val="21"/>
          <w:u w:val="single" w:color="auto"/>
          <w:color w:val="auto"/>
        </w:rPr>
        <w:t>provided</w:t>
      </w:r>
      <w:r>
        <w:rPr>
          <w:rFonts w:ascii="Arial" w:cs="Arial" w:eastAsia="Arial" w:hAnsi="Arial"/>
          <w:sz w:val="21"/>
          <w:szCs w:val="21"/>
          <w:color w:val="auto"/>
        </w:rPr>
        <w:t>, that neither the Company nor any Seller shall be obligated to pay any consideration or offer to grant, or agree to, any financial or other accommodation to any Person from whom any such consent, approval or authorization is requested. For the avoidance of doubt, the obtaining of any such consent, approval or authorization is not a condition to Closing.</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Confidentiality</w:t>
      </w:r>
      <w:r>
        <w:rPr>
          <w:rFonts w:ascii="Arial" w:cs="Arial" w:eastAsia="Arial" w:hAnsi="Arial"/>
          <w:sz w:val="21"/>
          <w:szCs w:val="21"/>
          <w:color w:val="000000"/>
        </w:rPr>
        <w:t>. Purchaser acknowledges that the information provided to Purchaser and its</w:t>
      </w:r>
      <w:r>
        <w:rPr>
          <w:rFonts w:ascii="Arial" w:cs="Arial" w:eastAsia="Arial" w:hAnsi="Arial"/>
          <w:sz w:val="21"/>
          <w:szCs w:val="21"/>
          <w:color w:val="010000"/>
        </w:rPr>
        <w:t xml:space="preserve"> </w:t>
      </w:r>
      <w:r>
        <w:rPr>
          <w:rFonts w:ascii="Arial" w:cs="Arial" w:eastAsia="Arial" w:hAnsi="Arial"/>
          <w:sz w:val="21"/>
          <w:szCs w:val="21"/>
          <w:color w:val="000000"/>
        </w:rPr>
        <w:t xml:space="preserve">representatives in connection with this Agreement (including </w:t>
      </w:r>
      <w:r>
        <w:rPr>
          <w:rFonts w:ascii="Arial" w:cs="Arial" w:eastAsia="Arial" w:hAnsi="Arial"/>
          <w:sz w:val="21"/>
          <w:szCs w:val="21"/>
          <w:u w:val="single" w:color="auto"/>
          <w:color w:val="000000"/>
        </w:rPr>
        <w:t>Section 7.1</w:t>
      </w:r>
      <w:r>
        <w:rPr>
          <w:rFonts w:ascii="Arial" w:cs="Arial" w:eastAsia="Arial" w:hAnsi="Arial"/>
          <w:sz w:val="21"/>
          <w:szCs w:val="21"/>
          <w:color w:val="000000"/>
        </w:rPr>
        <w:t xml:space="preserve"> hereof) and the Transaction is subject to the terms of each of the Confidentiality Agreement, dated September 2, 2020, by and between Purchaser and the Company (the “</w:t>
      </w:r>
      <w:r>
        <w:rPr>
          <w:rFonts w:ascii="Arial" w:cs="Arial" w:eastAsia="Arial" w:hAnsi="Arial"/>
          <w:sz w:val="21"/>
          <w:szCs w:val="21"/>
          <w:u w:val="single" w:color="auto"/>
          <w:color w:val="000000"/>
        </w:rPr>
        <w:t>Confidentiality Agreement</w:t>
      </w:r>
      <w:r>
        <w:rPr>
          <w:rFonts w:ascii="Arial" w:cs="Arial" w:eastAsia="Arial" w:hAnsi="Arial"/>
          <w:sz w:val="21"/>
          <w:szCs w:val="21"/>
          <w:color w:val="000000"/>
        </w:rPr>
        <w:t>”) and the Clean Team Confidentiality Agreement, dated November 18, 2020, by and between Purchaser and the Company (the “</w:t>
      </w:r>
      <w:r>
        <w:rPr>
          <w:rFonts w:ascii="Arial" w:cs="Arial" w:eastAsia="Arial" w:hAnsi="Arial"/>
          <w:sz w:val="21"/>
          <w:szCs w:val="21"/>
          <w:u w:val="single" w:color="auto"/>
          <w:color w:val="000000"/>
        </w:rPr>
        <w:t>Clean Team Agreement</w:t>
      </w:r>
      <w:r>
        <w:rPr>
          <w:rFonts w:ascii="Arial" w:cs="Arial" w:eastAsia="Arial" w:hAnsi="Arial"/>
          <w:sz w:val="21"/>
          <w:szCs w:val="21"/>
          <w:color w:val="000000"/>
        </w:rPr>
        <w:t>”), the terms of which, in each case, are incorporated herein by reference. At the Closing, each of the Confidentiality Agreement and the Clean Team Agreement will be terminated and shall thereafter be of no further force and effect. From the date hereof, Purchaser shall and shall cause its Affiliates (including following the Closing, the Company) to continue to treat and hold strictly confidential the identities and financial and Personal Information of Sellers and their trustees and beneficiaries, as applicable, and Purchaser and its Affiliates will not disclose to the general public any such information, except as permitted by this Agreement or as required by Law or the rules of any applicable stock exchange.</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010000"/>
        </w:rPr>
        <w:t xml:space="preserve">7.4 </w:t>
      </w:r>
      <w:r>
        <w:rPr>
          <w:rFonts w:ascii="Arial" w:cs="Arial" w:eastAsia="Arial" w:hAnsi="Arial"/>
          <w:sz w:val="21"/>
          <w:szCs w:val="21"/>
          <w:u w:val="single" w:color="auto"/>
          <w:color w:val="000000"/>
        </w:rPr>
        <w:t>Preservation of Records</w:t>
      </w:r>
      <w:r>
        <w:rPr>
          <w:rFonts w:ascii="Arial" w:cs="Arial" w:eastAsia="Arial" w:hAnsi="Arial"/>
          <w:sz w:val="21"/>
          <w:szCs w:val="21"/>
          <w:color w:val="000000"/>
        </w:rPr>
        <w:t>. Purchaser agrees to preserve and keep the records held by the Company</w:t>
      </w:r>
      <w:r>
        <w:rPr>
          <w:rFonts w:ascii="Arial" w:cs="Arial" w:eastAsia="Arial" w:hAnsi="Arial"/>
          <w:sz w:val="21"/>
          <w:szCs w:val="21"/>
          <w:color w:val="010000"/>
        </w:rPr>
        <w:t xml:space="preserve"> </w:t>
      </w:r>
      <w:r>
        <w:rPr>
          <w:rFonts w:ascii="Arial" w:cs="Arial" w:eastAsia="Arial" w:hAnsi="Arial"/>
          <w:sz w:val="21"/>
          <w:szCs w:val="21"/>
          <w:color w:val="000000"/>
        </w:rPr>
        <w:t>or Purchaser relating to the Business prior to the Closing, for a period of seven (7) years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2"/>
          <w:szCs w:val="22"/>
          <w:color w:val="auto"/>
        </w:rPr>
        <w:t xml:space="preserve">the Closing Date, and shall make such records available to the Sellers’ Representative and Shareholders, subject to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010000"/>
        </w:rPr>
        <w:t xml:space="preserve">7.5 </w:t>
      </w:r>
      <w:r>
        <w:rPr>
          <w:rFonts w:ascii="Arial" w:cs="Arial" w:eastAsia="Arial" w:hAnsi="Arial"/>
          <w:sz w:val="19"/>
          <w:szCs w:val="19"/>
          <w:u w:val="single" w:color="auto"/>
          <w:color w:val="000000"/>
        </w:rPr>
        <w:t>Publicity</w:t>
      </w:r>
      <w:r>
        <w:rPr>
          <w:rFonts w:ascii="Arial" w:cs="Arial" w:eastAsia="Arial" w:hAnsi="Arial"/>
          <w:sz w:val="19"/>
          <w:szCs w:val="19"/>
          <w:color w:val="000000"/>
        </w:rPr>
        <w:t>. Prior to, or in conjunction with, the Closing, neither Sellers, the Sellers’ Representative,</w:t>
      </w:r>
      <w:r>
        <w:rPr>
          <w:rFonts w:ascii="Arial" w:cs="Arial" w:eastAsia="Arial" w:hAnsi="Arial"/>
          <w:sz w:val="19"/>
          <w:szCs w:val="19"/>
          <w:color w:val="010000"/>
        </w:rPr>
        <w:t xml:space="preserve"> </w:t>
      </w:r>
      <w:r>
        <w:rPr>
          <w:rFonts w:ascii="Arial" w:cs="Arial" w:eastAsia="Arial" w:hAnsi="Arial"/>
          <w:sz w:val="19"/>
          <w:szCs w:val="19"/>
          <w:color w:val="000000"/>
        </w:rPr>
        <w:t xml:space="preserve">nor the Company, on the one hand, nor Purchaser, on the other hand, shall issue any press release or public announcement concerning this Agreement, the other Transaction Agreements or the Transaction or make any other public disclosure containing or pertaining to the terms of this Agreement without obtaining the Sellers’ Representative’s or Purchaser’s, as applicable, prior written approval, unless, (a) in the judgment of the Party seeking to disclose, disclosure is otherwise required by applicable Law or by the applicable rules of any stock exchange on which such disclosing Party lists securities, which shall include Purchaser’s filing of a current report on Form 8-K within four (4) Business Days of the date of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to the extent any disclosure is required by applicable Law or stock exchange rule, the Party intending to make such disclosure shall, consistent with applicable Law or stock exchange rule, provide a copy of any such disclosure to the Sellers’ Representative or Purchaser, as applicable, reasonably in advance of such disclosure and give due consideration to all reasonable additions, deletions or changes suggested thereto by the Sellers’ Representative or Purchaser, as applicable or (b) such press release or public announcement consists solely of information previously disclosed, in all material respects, in previous press releases or public announcements made in compliance with this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7.5</w:t>
      </w:r>
      <w:r>
        <w:rPr>
          <w:rFonts w:ascii="Arial" w:cs="Arial" w:eastAsia="Arial" w:hAnsi="Arial"/>
          <w:sz w:val="19"/>
          <w:szCs w:val="19"/>
          <w:color w:val="000000"/>
        </w:rPr>
        <w:t>. For the avoidance of doubt, disclosures resulting from the Parties’ efforts to obtain approval and/or early termination under the HSR Act and to make any related filing under applicable Law shall be deemed not to violate this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7.6 </w:t>
      </w:r>
      <w:r>
        <w:rPr>
          <w:rFonts w:ascii="Arial" w:cs="Arial" w:eastAsia="Arial" w:hAnsi="Arial"/>
          <w:sz w:val="22"/>
          <w:szCs w:val="22"/>
          <w:u w:val="single" w:color="auto"/>
          <w:color w:val="000000"/>
        </w:rPr>
        <w:t>Satisfaction of Indebtedness</w:t>
      </w:r>
      <w:r>
        <w:rPr>
          <w:rFonts w:ascii="Arial" w:cs="Arial" w:eastAsia="Arial" w:hAnsi="Arial"/>
          <w:sz w:val="22"/>
          <w:szCs w:val="22"/>
          <w:color w:val="000000"/>
        </w:rPr>
        <w:t>. The Company shall obtain, no less than one (1) Business Day prior to</w:t>
      </w:r>
      <w:r>
        <w:rPr>
          <w:rFonts w:ascii="Arial" w:cs="Arial" w:eastAsia="Arial" w:hAnsi="Arial"/>
          <w:sz w:val="22"/>
          <w:szCs w:val="22"/>
          <w:color w:val="010000"/>
        </w:rPr>
        <w:t xml:space="preserve"> </w:t>
      </w:r>
      <w:r>
        <w:rPr>
          <w:rFonts w:ascii="Arial" w:cs="Arial" w:eastAsia="Arial" w:hAnsi="Arial"/>
          <w:sz w:val="22"/>
          <w:szCs w:val="22"/>
          <w:color w:val="000000"/>
        </w:rPr>
        <w:t>the Closing Date, one (1) or more customary pay-off letters, executed by the administrative agents or the lenders under any Closing Date Indebtedness, in each case, setting forth all amounts necessary to be paid in order to fully discharge each such Closing Date Indebtedness and providing for the release of all security interests in respect thereof (the “</w:t>
      </w:r>
      <w:r>
        <w:rPr>
          <w:rFonts w:ascii="Arial" w:cs="Arial" w:eastAsia="Arial" w:hAnsi="Arial"/>
          <w:sz w:val="22"/>
          <w:szCs w:val="22"/>
          <w:u w:val="single" w:color="auto"/>
          <w:color w:val="000000"/>
        </w:rPr>
        <w:t>Pay-Off Letters</w:t>
      </w:r>
      <w:r>
        <w:rPr>
          <w:rFonts w:ascii="Arial" w:cs="Arial" w:eastAsia="Arial" w:hAnsi="Arial"/>
          <w:sz w:val="22"/>
          <w:szCs w:val="22"/>
          <w:color w:val="000000"/>
        </w:rPr>
        <w: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7.7</w:t>
      </w:r>
      <w:r>
        <w:rPr>
          <w:sz w:val="20"/>
          <w:szCs w:val="20"/>
          <w:color w:val="auto"/>
        </w:rPr>
        <w:tab/>
      </w:r>
      <w:r>
        <w:rPr>
          <w:rFonts w:ascii="Arial" w:cs="Arial" w:eastAsia="Arial" w:hAnsi="Arial"/>
          <w:sz w:val="19"/>
          <w:szCs w:val="19"/>
          <w:u w:val="single" w:color="auto"/>
          <w:color w:val="auto"/>
        </w:rPr>
        <w:t>Employee Benefit Matters</w:t>
      </w:r>
      <w:r>
        <w:rPr>
          <w:rFonts w:ascii="Arial" w:cs="Arial" w:eastAsia="Arial" w:hAnsi="Arial"/>
          <w:sz w:val="19"/>
          <w:szCs w:val="19"/>
          <w:color w:val="auto"/>
        </w:rPr>
        <w:t>.</w:t>
      </w:r>
    </w:p>
    <w:p>
      <w:pPr>
        <w:spacing w:after="0" w:line="206" w:lineRule="exact"/>
        <w:rPr>
          <w:sz w:val="20"/>
          <w:szCs w:val="20"/>
          <w:color w:val="auto"/>
        </w:rPr>
      </w:pPr>
    </w:p>
    <w:p>
      <w:pPr>
        <w:ind w:left="2560" w:hanging="932"/>
        <w:spacing w:after="0"/>
        <w:tabs>
          <w:tab w:leader="none" w:pos="2560"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All employees of the Company, as of the Closing Date, are known as “</w:t>
      </w:r>
      <w:r>
        <w:rPr>
          <w:rFonts w:ascii="Arial" w:cs="Arial" w:eastAsia="Arial" w:hAnsi="Arial"/>
          <w:sz w:val="19"/>
          <w:szCs w:val="19"/>
          <w:u w:val="single" w:color="auto"/>
          <w:color w:val="auto"/>
        </w:rPr>
        <w:t>Business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188" w:lineRule="exact"/>
        <w:rPr>
          <w:sz w:val="20"/>
          <w:szCs w:val="20"/>
          <w:color w:val="auto"/>
        </w:rPr>
      </w:pPr>
    </w:p>
    <w:p>
      <w:pPr>
        <w:jc w:val="both"/>
        <w:ind w:left="340" w:firstLine="1288"/>
        <w:spacing w:after="0" w:line="244" w:lineRule="auto"/>
        <w:tabs>
          <w:tab w:leader="none" w:pos="2347"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 xml:space="preserve">For a period of at least twelve (12) months following the Closing Date, Purchaser shall or shall cause one of its Affiliates (including, after the Closing, the Company) to provide to each Business Employee who continues to be employed by Purchaser or one of its Affiliates (including, after the Closing, the Company) during such period (i) with base salary or wage rates and target bonus, commission, or other incentive opportunities that are no less favorable than the base salary or wage rates and target bonus, commission and other incentive opportunities provided to such Business Employee as of immediately prior to the Closing and disclosed to Purchaser (excluding any equity or equity-based incentives, phantom stock rights, transaction bonuses, retention bonuses and similar transaction-based arrangements, provided that, for the avoidance of doubt, the foregoing exclusion shall not limit the application of </w:t>
      </w:r>
      <w:r>
        <w:rPr>
          <w:rFonts w:ascii="Arial" w:cs="Arial" w:eastAsia="Arial" w:hAnsi="Arial"/>
          <w:sz w:val="21"/>
          <w:szCs w:val="21"/>
          <w:u w:val="single" w:color="auto"/>
          <w:color w:val="auto"/>
        </w:rPr>
        <w:t>Section 7.7(h)</w:t>
      </w:r>
      <w:r>
        <w:rPr>
          <w:rFonts w:ascii="Arial" w:cs="Arial" w:eastAsia="Arial" w:hAnsi="Arial"/>
          <w:sz w:val="21"/>
          <w:szCs w:val="21"/>
          <w:color w:val="auto"/>
        </w:rPr>
        <w:t>) and (ii) with employee health, welfare and retirement benefits (excluding, for the avoidance of doubt, any perquisites and fringe benefits) that are no less favorable, in the aggregate, to the benefit plans, programs, agreements, or arrangements to such Business Employee as of immediately prior to the Closing. The Parties agree that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3" w:name="page104"/>
    <w:bookmarkEnd w:id="103"/>
    <w:p>
      <w:pPr>
        <w:jc w:val="both"/>
        <w:ind w:left="8"/>
        <w:spacing w:after="0" w:line="236" w:lineRule="auto"/>
        <w:rPr>
          <w:sz w:val="20"/>
          <w:szCs w:val="20"/>
          <w:color w:val="auto"/>
        </w:rPr>
      </w:pPr>
      <w:r>
        <w:rPr>
          <w:rFonts w:ascii="Arial" w:cs="Arial" w:eastAsia="Arial" w:hAnsi="Arial"/>
          <w:sz w:val="22"/>
          <w:szCs w:val="22"/>
          <w:color w:val="auto"/>
        </w:rPr>
        <w:t xml:space="preserve">does not require Purchaser or any of its Affiliates to employ or otherwise engage any Business Employee for any period of time (such that Purchaser or its Affiliates may terminate the employment of any Business Employee and cease paying the compensation set forth in this </w:t>
      </w:r>
      <w:r>
        <w:rPr>
          <w:rFonts w:ascii="Arial" w:cs="Arial" w:eastAsia="Arial" w:hAnsi="Arial"/>
          <w:sz w:val="22"/>
          <w:szCs w:val="22"/>
          <w:u w:val="single" w:color="auto"/>
          <w:color w:val="auto"/>
        </w:rPr>
        <w:t>Section 7.7(b)</w:t>
      </w:r>
      <w:r>
        <w:rPr>
          <w:rFonts w:ascii="Arial" w:cs="Arial" w:eastAsia="Arial" w:hAnsi="Arial"/>
          <w:sz w:val="22"/>
          <w:szCs w:val="22"/>
          <w:color w:val="auto"/>
        </w:rPr>
        <w:t>). On or prior to the Closing, the Company will pay to the Business Employees all annual bonuses for the fiscal year preceding the fiscal year of Closing.</w:t>
      </w:r>
    </w:p>
    <w:p>
      <w:pPr>
        <w:spacing w:after="0" w:line="187" w:lineRule="exact"/>
        <w:rPr>
          <w:sz w:val="20"/>
          <w:szCs w:val="20"/>
          <w:color w:val="auto"/>
        </w:rPr>
      </w:pPr>
    </w:p>
    <w:p>
      <w:pPr>
        <w:jc w:val="both"/>
        <w:ind w:left="8" w:firstLine="1288"/>
        <w:spacing w:after="0" w:line="269" w:lineRule="auto"/>
        <w:tabs>
          <w:tab w:leader="none" w:pos="2002"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Purchaser agrees that, from and after the Closing Date, Purchaser shall, and shall cause its Affiliates to, grant each Business Employee credit for any service with the Company (including service with any predecessor employer if so credited under an applicable Benefit Plan) earned prior to the Closing Date (A) for eligibility and vesting purposes and (B) for purposes of paid time off accrual and determination of level of severance pay under any benefit or compensation plan, program, agreement, or arrangement that may be established or maintained by Purchaser or any of its Affiliates (including, after the Closing, the Company) on or after the Closing Date (the “</w:t>
      </w:r>
      <w:r>
        <w:rPr>
          <w:rFonts w:ascii="Arial" w:cs="Arial" w:eastAsia="Arial" w:hAnsi="Arial"/>
          <w:sz w:val="19"/>
          <w:szCs w:val="19"/>
          <w:u w:val="single" w:color="auto"/>
          <w:color w:val="auto"/>
        </w:rPr>
        <w:t>New Plans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service need not be credited</w:t>
      </w:r>
    </w:p>
    <w:p>
      <w:pPr>
        <w:spacing w:after="0" w:line="4" w:lineRule="exact"/>
        <w:rPr>
          <w:rFonts w:ascii="Arial" w:cs="Arial" w:eastAsia="Arial" w:hAnsi="Arial"/>
          <w:sz w:val="19"/>
          <w:szCs w:val="19"/>
          <w:color w:val="010000"/>
        </w:rPr>
      </w:pPr>
    </w:p>
    <w:p>
      <w:pPr>
        <w:jc w:val="both"/>
        <w:ind w:left="8" w:hanging="8"/>
        <w:spacing w:after="0" w:line="269" w:lineRule="auto"/>
        <w:tabs>
          <w:tab w:leader="none" w:pos="315"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the extent that it would result in duplication of coverage or benefits; (ii) under any new plan or arrangement to the extent that such plan or arrangement does not provide prior service credit to employees generally; or (iii) any New Plan where length of service is not relevant. In addition, and without limiting the generality of the foregoing, (1) Purchaser shall ensure that each Business Employee shall be immediately eligible to participate, without any waiting time, in any and all health plans that are New Plans to the extent coverage under such New Plan replaces coverage under a comparable Benefit Plan in which such Business Employee participated immediately before such replacement; and (2) Purchaser shall (I) cause to be waived all pre-existing condition exclusion and actively-at-work requirements and similar limitations, eligibility waiting periods, and evidence of insurability requirements under any health plans that are New Plans to the extent waived or satisfied by a Business Employee (or covered dependent thereof) under any Benefit Plan as of the date of replacement and (II) to the extent a health plan that is a New Plan replaces a health plan that is a Benefit Plan, use commercially reasonable efforts to cause any covered expenses incurred on or before the date of replacement by a Business Employee (or covered dependent thereof) to be taken into account for purposes of satisfying applicable deductible, coinsurance, and maximum out-of-pocket provisions after the date of replacement, but in such plan year, under any applicable health plan that is a New Plan.</w:t>
      </w:r>
    </w:p>
    <w:p>
      <w:pPr>
        <w:spacing w:after="0" w:line="169" w:lineRule="exact"/>
        <w:rPr>
          <w:rFonts w:ascii="Arial" w:cs="Arial" w:eastAsia="Arial" w:hAnsi="Arial"/>
          <w:sz w:val="19"/>
          <w:szCs w:val="19"/>
          <w:color w:val="auto"/>
        </w:rPr>
      </w:pPr>
    </w:p>
    <w:p>
      <w:pPr>
        <w:jc w:val="both"/>
        <w:ind w:left="8" w:firstLine="1288"/>
        <w:spacing w:after="0" w:line="235" w:lineRule="auto"/>
        <w:tabs>
          <w:tab w:leader="none" w:pos="2190"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 xml:space="preserve">Without limiting </w:t>
      </w:r>
      <w:r>
        <w:rPr>
          <w:rFonts w:ascii="Arial" w:cs="Arial" w:eastAsia="Arial" w:hAnsi="Arial"/>
          <w:sz w:val="22"/>
          <w:szCs w:val="22"/>
          <w:u w:val="single" w:color="auto"/>
          <w:color w:val="auto"/>
        </w:rPr>
        <w:t>Section 7.7(b)</w:t>
      </w:r>
      <w:r>
        <w:rPr>
          <w:rFonts w:ascii="Arial" w:cs="Arial" w:eastAsia="Arial" w:hAnsi="Arial"/>
          <w:sz w:val="22"/>
          <w:szCs w:val="22"/>
          <w:color w:val="auto"/>
        </w:rPr>
        <w:t>, following the Closing, Purchaser shall credit each Business Employee who continues to be employed by Purchaser or one of its Affiliates (including, after the Closing, the Company) with all of the paid time off, vacation, holiday, annual leave and sick leave days each such Business Employee is entitled to prior to the Closing for use following the Closing under the applicable paid time off, vacation, holiday, annual leave and sick leave policies of the Company as in effect immediately prior to the Closing.</w:t>
      </w:r>
    </w:p>
    <w:p>
      <w:pPr>
        <w:spacing w:after="0" w:line="187" w:lineRule="exact"/>
        <w:rPr>
          <w:rFonts w:ascii="Arial" w:cs="Arial" w:eastAsia="Arial" w:hAnsi="Arial"/>
          <w:sz w:val="22"/>
          <w:szCs w:val="22"/>
          <w:color w:val="010000"/>
        </w:rPr>
      </w:pPr>
    </w:p>
    <w:p>
      <w:pPr>
        <w:jc w:val="both"/>
        <w:ind w:left="8" w:firstLine="1288"/>
        <w:spacing w:after="0"/>
        <w:tabs>
          <w:tab w:leader="none" w:pos="2097"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From and after the Closing, Purchaser shall cause the Company to comply with, and shall be responsible for any failure following the Closing to comply with, and bear any and all liability under, the requirements of the WARN Act.</w:t>
      </w:r>
    </w:p>
    <w:p>
      <w:pPr>
        <w:spacing w:after="0" w:line="186" w:lineRule="exact"/>
        <w:rPr>
          <w:rFonts w:ascii="Arial" w:cs="Arial" w:eastAsia="Arial" w:hAnsi="Arial"/>
          <w:sz w:val="22"/>
          <w:szCs w:val="22"/>
          <w:color w:val="010000"/>
        </w:rPr>
      </w:pPr>
    </w:p>
    <w:p>
      <w:pPr>
        <w:ind w:left="8" w:firstLine="1288"/>
        <w:spacing w:after="0" w:line="250" w:lineRule="auto"/>
        <w:tabs>
          <w:tab w:leader="none" w:pos="2087"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The Company shall take (or cause to be taken) all action necessary or appropriate to terminate, effective no later than the day immediately preceding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504190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469" w:right="99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19"/>
          <w:szCs w:val="19"/>
          <w:color w:val="auto"/>
        </w:rPr>
        <w:t>Date, any Benefit Plan that contains a cash or deferred arrangement intended to qualify under Section 401(a) of the Code (the “</w:t>
      </w:r>
      <w:r>
        <w:rPr>
          <w:rFonts w:ascii="Arial" w:cs="Arial" w:eastAsia="Arial" w:hAnsi="Arial"/>
          <w:sz w:val="19"/>
          <w:szCs w:val="19"/>
          <w:u w:val="single" w:color="auto"/>
          <w:color w:val="auto"/>
        </w:rPr>
        <w:t>401(k) Plans</w:t>
      </w:r>
      <w:r>
        <w:rPr>
          <w:rFonts w:ascii="Arial" w:cs="Arial" w:eastAsia="Arial" w:hAnsi="Arial"/>
          <w:sz w:val="19"/>
          <w:szCs w:val="19"/>
          <w:color w:val="auto"/>
        </w:rPr>
        <w:t>”), unless Purchaser, in its sole and absolute discretion, agrees to sponsor and maintain any such 401(k) Plan by providing the Company with written notice of such election (an “</w:t>
      </w:r>
      <w:r>
        <w:rPr>
          <w:rFonts w:ascii="Arial" w:cs="Arial" w:eastAsia="Arial" w:hAnsi="Arial"/>
          <w:sz w:val="19"/>
          <w:szCs w:val="19"/>
          <w:u w:val="single" w:color="auto"/>
          <w:color w:val="auto"/>
        </w:rPr>
        <w:t>Election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at least three (3) days before the Closing Date. Unless Purchaser timely provides an Election Notice to the Company, the Company shall deliver to Purchaser, prior to the Closing, evidence that the Company’s board of directors has validly adopted resolutions to terminate the 401(k) Plans (the form and substance of which resolutions shall be subject to review and approval of Purchaser, not to be unreasonably withheld or delayed), effective no later than the date immediately preceding the Closing Date but which may be contingent on the Closing. If the Company terminates the 401(k) Plan in accordance with this </w:t>
      </w:r>
      <w:r>
        <w:rPr>
          <w:rFonts w:ascii="Arial" w:cs="Arial" w:eastAsia="Arial" w:hAnsi="Arial"/>
          <w:sz w:val="19"/>
          <w:szCs w:val="19"/>
          <w:u w:val="single" w:color="auto"/>
          <w:color w:val="auto"/>
        </w:rPr>
        <w:t>Section 7.7(f)</w:t>
      </w:r>
      <w:r>
        <w:rPr>
          <w:rFonts w:ascii="Arial" w:cs="Arial" w:eastAsia="Arial" w:hAnsi="Arial"/>
          <w:sz w:val="19"/>
          <w:szCs w:val="19"/>
          <w:color w:val="auto"/>
        </w:rPr>
        <w:t>, Purchaser shall, or shall cause one of its Affiliates to, establish or designate a defined contribution retirement plan which is qualified or eligible for qualification under Section 401(a) of the Code (the “</w:t>
      </w:r>
      <w:r>
        <w:rPr>
          <w:rFonts w:ascii="Arial" w:cs="Arial" w:eastAsia="Arial" w:hAnsi="Arial"/>
          <w:sz w:val="19"/>
          <w:szCs w:val="19"/>
          <w:u w:val="single" w:color="auto"/>
          <w:color w:val="auto"/>
        </w:rPr>
        <w:t>Purchaser 401(k) Plan</w:t>
      </w:r>
      <w:r>
        <w:rPr>
          <w:rFonts w:ascii="Arial" w:cs="Arial" w:eastAsia="Arial" w:hAnsi="Arial"/>
          <w:sz w:val="19"/>
          <w:szCs w:val="19"/>
          <w:color w:val="auto"/>
        </w:rPr>
        <w:t>”). Each Business Employee shall become eligible to participate, immediately following the Closing, in the Purchaser 401(k) Plan. Purchaser agrees that each Business Employee who receives an “eligible rollover distribution” (within the meaning of Section 402(c)(4) of the Code) from a 401(k) Plan shall be eligible to rollover such distribution (including any associated loan note) to the Purchaser 401(k) Plan, and Purchaser shall take all actions necessary or appropriate to timely effect such rollover.</w:t>
      </w:r>
    </w:p>
    <w:p>
      <w:pPr>
        <w:spacing w:after="0" w:line="157" w:lineRule="exact"/>
        <w:rPr>
          <w:sz w:val="20"/>
          <w:szCs w:val="20"/>
          <w:color w:val="auto"/>
        </w:rPr>
      </w:pPr>
    </w:p>
    <w:p>
      <w:pPr>
        <w:jc w:val="both"/>
        <w:ind w:firstLine="1288"/>
        <w:spacing w:after="0" w:line="271" w:lineRule="auto"/>
        <w:tabs>
          <w:tab w:leader="none" w:pos="2007"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If required to avoid the imposition of Taxes under Section 4999 of the Code or the loss of deduction under Section 280G of the Code with respect to any payment or benefit in connection with the Transaction, the Company shall use commercially reasonable efforts to obtain waivers with respect to, and shall submit, at least three (3) days prior to the Closing Date, to the Company’s voting shareholders, such payments and benefits that may be made or provided pursuant to Benefit Plans or otherwise in connection with the Transaction to any Person who, with respect to the Company, is a “disqualified individual” (as such term is defined for purposes of Section 280G of the Code and the Treasury Regulations thereunder) and that, absent such shareholder approval, would reasonably be expected to be a “parachute payment” that would not be deductible by reason of Section 280G of the Code or that would be subject to an excise Tax under Section 4999 of the Code. Any such shareholder approval shall be sought by the Company in a manner that satisfies all applicable requirements of Section 280G(b)(5)(B) of the Code and the Treasury Regulations thereunder, including Q&amp;A-7 of Section 1.280G-1 of such Treasury Regulations. Any documentation prepared by the Company in connection with the foregoing vote shall be subject to review and approval of Purchaser (which approval shall not be unreasonably delayed or withheld). If a vote is required, the Company shall deliver to Purchaser, prior to the Closing, evidence that such vote has occurred.</w:t>
      </w:r>
    </w:p>
    <w:p>
      <w:pPr>
        <w:spacing w:after="0" w:line="160" w:lineRule="exact"/>
        <w:rPr>
          <w:rFonts w:ascii="Arial" w:cs="Arial" w:eastAsia="Arial" w:hAnsi="Arial"/>
          <w:sz w:val="19"/>
          <w:szCs w:val="19"/>
          <w:color w:val="010000"/>
        </w:rPr>
      </w:pPr>
    </w:p>
    <w:p>
      <w:pPr>
        <w:jc w:val="both"/>
        <w:ind w:firstLine="1288"/>
        <w:spacing w:after="0" w:line="277" w:lineRule="auto"/>
        <w:tabs>
          <w:tab w:leader="none" w:pos="2074"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 xml:space="preserve">From and after the Closing, Purchaser shall assume, and Purchaser and the Company shall honor, the Company’s obligations under any Benefit Plan set forth on </w:t>
      </w:r>
      <w:r>
        <w:rPr>
          <w:rFonts w:ascii="Arial" w:cs="Arial" w:eastAsia="Arial" w:hAnsi="Arial"/>
          <w:sz w:val="19"/>
          <w:szCs w:val="19"/>
          <w:u w:val="single" w:color="auto"/>
          <w:color w:val="auto"/>
        </w:rPr>
        <w:t>Schedule 7.7(h)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Honored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subject to any provisions thereof related to termination or amendment of such agreements and plans. Without limiting the foregoing, Purchaser shall cause the Company to, and the Company shall, timely pay to the applicable Business Employee, through the Company’s or an applicable employer’s payroll system, any and all amounts that become due and owing after the Closing pursuant to the Honored Agreements in connection with the Transaction or otherwise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105" w:name="page106"/>
    <w:bookmarkEnd w:id="105"/>
    <w:p>
      <w:pPr>
        <w:jc w:val="both"/>
        <w:ind w:left="8" w:firstLine="1288"/>
        <w:spacing w:after="0" w:line="234" w:lineRule="auto"/>
        <w:tabs>
          <w:tab w:leader="none" w:pos="1994"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 xml:space="preserve">Nothing contained in this Agreement, expressed or implied, shall give any third Person, other than the Parties to this Agreement, any rights or remedies of any nature whatsoever, including but not limited to any right to continued employment or service, under or by reason of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and no provision of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cause any third party beneficiary rights in any current or former employee, director, consultant or other service provider of the Company to enforce the provisions of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or any other matter related thereto or be construed as an amendment to any Benefit Plan, New Plan or other employee benefit plan.</w:t>
      </w:r>
    </w:p>
    <w:p>
      <w:pPr>
        <w:spacing w:after="0" w:line="191" w:lineRule="exact"/>
        <w:rPr>
          <w:sz w:val="20"/>
          <w:szCs w:val="20"/>
          <w:color w:val="auto"/>
        </w:rPr>
      </w:pPr>
    </w:p>
    <w:p>
      <w:pPr>
        <w:ind w:left="328"/>
        <w:spacing w:after="0"/>
        <w:tabs>
          <w:tab w:leader="none" w:pos="947" w:val="left"/>
        </w:tabs>
        <w:rPr>
          <w:sz w:val="20"/>
          <w:szCs w:val="20"/>
          <w:color w:val="auto"/>
        </w:rPr>
      </w:pPr>
      <w:r>
        <w:rPr>
          <w:rFonts w:ascii="Arial" w:cs="Arial" w:eastAsia="Arial" w:hAnsi="Arial"/>
          <w:sz w:val="22"/>
          <w:szCs w:val="22"/>
          <w:color w:val="010000"/>
        </w:rPr>
        <w:t>7.8</w:t>
      </w:r>
      <w:r>
        <w:rPr>
          <w:sz w:val="20"/>
          <w:szCs w:val="20"/>
          <w:color w:val="auto"/>
        </w:rPr>
        <w:tab/>
      </w:r>
      <w:r>
        <w:rPr>
          <w:rFonts w:ascii="Arial" w:cs="Arial" w:eastAsia="Arial" w:hAnsi="Arial"/>
          <w:sz w:val="19"/>
          <w:szCs w:val="19"/>
          <w:u w:val="single" w:color="auto"/>
          <w:color w:val="auto"/>
        </w:rPr>
        <w:t>Director and Officer Liability; Indemnification</w:t>
      </w:r>
      <w:r>
        <w:rPr>
          <w:rFonts w:ascii="Arial" w:cs="Arial" w:eastAsia="Arial" w:hAnsi="Arial"/>
          <w:sz w:val="19"/>
          <w:szCs w:val="19"/>
          <w:color w:val="auto"/>
        </w:rPr>
        <w:t>.</w:t>
      </w:r>
    </w:p>
    <w:p>
      <w:pPr>
        <w:spacing w:after="0" w:line="206" w:lineRule="exact"/>
        <w:rPr>
          <w:sz w:val="20"/>
          <w:szCs w:val="20"/>
          <w:color w:val="auto"/>
        </w:rPr>
      </w:pPr>
    </w:p>
    <w:p>
      <w:pPr>
        <w:jc w:val="both"/>
        <w:ind w:left="8" w:firstLine="1288"/>
        <w:spacing w:after="0" w:line="270" w:lineRule="auto"/>
        <w:tabs>
          <w:tab w:leader="none" w:pos="2137"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For a period of six (6) years after the Closing, (i) Purchaser shall not, and shall not permit the Company to, amend, repeal or modify any provision in the Company’s articles of incorporation, bylaws, or other similar organizational documents relating to the exculpation, indemnification or advancement of expenses of any present or former officers, managers and/or directors (each, a “</w:t>
      </w:r>
      <w:r>
        <w:rPr>
          <w:rFonts w:ascii="Arial" w:cs="Arial" w:eastAsia="Arial" w:hAnsi="Arial"/>
          <w:sz w:val="19"/>
          <w:szCs w:val="19"/>
          <w:u w:val="single" w:color="auto"/>
          <w:color w:val="auto"/>
        </w:rPr>
        <w:t>D&amp;O Indemnified Person</w:t>
      </w:r>
      <w:r>
        <w:rPr>
          <w:rFonts w:ascii="Arial" w:cs="Arial" w:eastAsia="Arial" w:hAnsi="Arial"/>
          <w:sz w:val="19"/>
          <w:szCs w:val="19"/>
          <w:color w:val="auto"/>
        </w:rPr>
        <w:t>”) (unless and to the extent required by Law) and (ii) Purchaser shall, and shall cause the Company (each, a “</w:t>
      </w:r>
      <w:r>
        <w:rPr>
          <w:rFonts w:ascii="Arial" w:cs="Arial" w:eastAsia="Arial" w:hAnsi="Arial"/>
          <w:sz w:val="19"/>
          <w:szCs w:val="19"/>
          <w:u w:val="single" w:color="auto"/>
          <w:color w:val="auto"/>
        </w:rPr>
        <w:t>D&amp;O Indemnifying Party</w:t>
      </w:r>
      <w:r>
        <w:rPr>
          <w:rFonts w:ascii="Arial" w:cs="Arial" w:eastAsia="Arial" w:hAnsi="Arial"/>
          <w:sz w:val="19"/>
          <w:szCs w:val="19"/>
          <w:color w:val="auto"/>
        </w:rPr>
        <w:t>”) to, to the fullest extent permitted by the Company’s organizational documents,</w:t>
      </w:r>
    </w:p>
    <w:p>
      <w:pPr>
        <w:spacing w:after="0" w:line="1" w:lineRule="exact"/>
        <w:rPr>
          <w:rFonts w:ascii="Arial" w:cs="Arial" w:eastAsia="Arial" w:hAnsi="Arial"/>
          <w:sz w:val="19"/>
          <w:szCs w:val="19"/>
          <w:color w:val="010000"/>
        </w:rPr>
      </w:pPr>
    </w:p>
    <w:p>
      <w:pPr>
        <w:jc w:val="both"/>
        <w:ind w:left="8" w:hanging="8"/>
        <w:spacing w:after="0" w:line="270" w:lineRule="auto"/>
        <w:tabs>
          <w:tab w:leader="none" w:pos="363"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indemnify and hold harmless the D&amp;O Indemnified Persons against all D&amp;O Expenses (as defined below) and all Losses, claims, damages, judgments and amounts paid in settlement (“</w:t>
      </w:r>
      <w:r>
        <w:rPr>
          <w:rFonts w:ascii="Arial" w:cs="Arial" w:eastAsia="Arial" w:hAnsi="Arial"/>
          <w:sz w:val="19"/>
          <w:szCs w:val="19"/>
          <w:u w:val="single" w:color="auto"/>
          <w:color w:val="auto"/>
        </w:rPr>
        <w:t>D&amp;O Costs</w:t>
      </w:r>
      <w:r>
        <w:rPr>
          <w:rFonts w:ascii="Arial" w:cs="Arial" w:eastAsia="Arial" w:hAnsi="Arial"/>
          <w:sz w:val="19"/>
          <w:szCs w:val="19"/>
          <w:color w:val="auto"/>
        </w:rPr>
        <w:t>”) in respect of any threatened, pending or completed claim, action or other Legal Proceeding, based on or arising out of or relating to the fact that such Person is or was a director or officer of the Company or arising out of acts or omissions occurring on or prior to the Closing (a “</w:t>
      </w:r>
      <w:r>
        <w:rPr>
          <w:rFonts w:ascii="Arial" w:cs="Arial" w:eastAsia="Arial" w:hAnsi="Arial"/>
          <w:sz w:val="19"/>
          <w:szCs w:val="19"/>
          <w:u w:val="single" w:color="auto"/>
          <w:color w:val="auto"/>
        </w:rPr>
        <w:t>D&amp;O Indemnifiable Claim</w:t>
      </w:r>
      <w:r>
        <w:rPr>
          <w:rFonts w:ascii="Arial" w:cs="Arial" w:eastAsia="Arial" w:hAnsi="Arial"/>
          <w:sz w:val="19"/>
          <w:szCs w:val="19"/>
          <w:color w:val="auto"/>
        </w:rPr>
        <w:t>”) and (B) advance to such D&amp;O Indemnified Persons all D&amp;O Expenses incurred in connection with any D&amp;O Indemnifiable Claim promptly after receipt of statements therefor. Any D&amp;O Indemnifiable Claims shall continue until such D&amp;O Indemnifiable Claim is disposed of or all judgments, Orders, decrees or other rulings in connection with such D&amp;O Indemnifiable Claim are fully and finally satisfied. For the purposes of this Agreement, “</w:t>
      </w:r>
      <w:r>
        <w:rPr>
          <w:rFonts w:ascii="Arial" w:cs="Arial" w:eastAsia="Arial" w:hAnsi="Arial"/>
          <w:sz w:val="19"/>
          <w:szCs w:val="19"/>
          <w:u w:val="single" w:color="auto"/>
          <w:color w:val="auto"/>
        </w:rPr>
        <w:t>D&amp;O</w:t>
      </w:r>
      <w:r>
        <w:rPr>
          <w:rFonts w:ascii="Arial" w:cs="Arial" w:eastAsia="Arial" w:hAnsi="Arial"/>
          <w:sz w:val="19"/>
          <w:szCs w:val="19"/>
          <w:color w:val="auto"/>
        </w:rPr>
        <w:t xml:space="preserve"> </w:t>
      </w:r>
      <w:r>
        <w:rPr>
          <w:rFonts w:ascii="Arial" w:cs="Arial" w:eastAsia="Arial" w:hAnsi="Arial"/>
          <w:sz w:val="19"/>
          <w:szCs w:val="19"/>
          <w:u w:val="single" w:color="auto"/>
          <w:color w:val="auto"/>
        </w:rPr>
        <w:t>Expenses</w:t>
      </w:r>
      <w:r>
        <w:rPr>
          <w:rFonts w:ascii="Arial" w:cs="Arial" w:eastAsia="Arial" w:hAnsi="Arial"/>
          <w:sz w:val="19"/>
          <w:szCs w:val="19"/>
          <w:color w:val="auto"/>
        </w:rPr>
        <w:t>” shall include attorneys’ fees and all other costs, charges and expenses paid or incurred in connection with investigating, defending, being a witness in or participating in (including on appeal), or preparing to defend, to be a witness in or participate in any D&amp;O Indemnifiable Claim.</w:t>
      </w:r>
    </w:p>
    <w:p>
      <w:pPr>
        <w:spacing w:after="0" w:line="164" w:lineRule="exact"/>
        <w:rPr>
          <w:rFonts w:ascii="Arial" w:cs="Arial" w:eastAsia="Arial" w:hAnsi="Arial"/>
          <w:sz w:val="19"/>
          <w:szCs w:val="19"/>
          <w:color w:val="auto"/>
        </w:rPr>
      </w:pPr>
    </w:p>
    <w:p>
      <w:pPr>
        <w:jc w:val="both"/>
        <w:ind w:left="8" w:firstLine="1288"/>
        <w:spacing w:after="0" w:line="275" w:lineRule="auto"/>
        <w:tabs>
          <w:tab w:leader="none" w:pos="2015" w:val="left"/>
        </w:tabs>
        <w:numPr>
          <w:ilvl w:val="1"/>
          <w:numId w:val="97"/>
        </w:numPr>
        <w:rPr>
          <w:rFonts w:ascii="Arial" w:cs="Arial" w:eastAsia="Arial" w:hAnsi="Arial"/>
          <w:sz w:val="19"/>
          <w:szCs w:val="19"/>
          <w:color w:val="010000"/>
        </w:rPr>
      </w:pPr>
      <w:r>
        <w:rPr>
          <w:rFonts w:ascii="Arial" w:cs="Arial" w:eastAsia="Arial" w:hAnsi="Arial"/>
          <w:sz w:val="19"/>
          <w:szCs w:val="19"/>
          <w:color w:val="auto"/>
        </w:rPr>
        <w:t>At the Closing, Purchaser shall, or shall cause the Company to, at Purchaser’s expense, obtain, maintain and fully pay for irrevocable “tail” insurance policies naming the D&amp;O Indemnified Persons as direct beneficiaries with a claims period of at least six (6) years from the Closing Date (each, a “</w:t>
      </w:r>
      <w:r>
        <w:rPr>
          <w:rFonts w:ascii="Arial" w:cs="Arial" w:eastAsia="Arial" w:hAnsi="Arial"/>
          <w:sz w:val="19"/>
          <w:szCs w:val="19"/>
          <w:u w:val="single" w:color="auto"/>
          <w:color w:val="auto"/>
        </w:rPr>
        <w:t>D&amp;O Tail</w:t>
      </w:r>
      <w:r>
        <w:rPr>
          <w:rFonts w:ascii="Arial" w:cs="Arial" w:eastAsia="Arial" w:hAnsi="Arial"/>
          <w:sz w:val="19"/>
          <w:szCs w:val="19"/>
          <w:color w:val="auto"/>
        </w:rPr>
        <w:t xml:space="preserve"> </w:t>
      </w:r>
      <w:r>
        <w:rPr>
          <w:rFonts w:ascii="Arial" w:cs="Arial" w:eastAsia="Arial" w:hAnsi="Arial"/>
          <w:sz w:val="19"/>
          <w:szCs w:val="19"/>
          <w:u w:val="single" w:color="auto"/>
          <w:color w:val="auto"/>
        </w:rPr>
        <w:t>Policy</w:t>
      </w:r>
      <w:r>
        <w:rPr>
          <w:rFonts w:ascii="Arial" w:cs="Arial" w:eastAsia="Arial" w:hAnsi="Arial"/>
          <w:sz w:val="19"/>
          <w:szCs w:val="19"/>
          <w:color w:val="auto"/>
        </w:rPr>
        <w:t>”) from an insurance carrier with the same or better financial-strength rating as the Company’s current insurance carrier with respect to directors’ and officers’ liability insurance in an amount and scope at least as favorable to the Company’s directors and officers as the Company’s existing policies with respect to matters existing or occurring at or prior to the Closing Date. Purchaser shall not, and shall cause the Company to not, cancel or change such insurance policies in any respect.</w:t>
      </w:r>
    </w:p>
    <w:p>
      <w:pPr>
        <w:spacing w:after="0" w:line="157" w:lineRule="exact"/>
        <w:rPr>
          <w:rFonts w:ascii="Arial" w:cs="Arial" w:eastAsia="Arial" w:hAnsi="Arial"/>
          <w:sz w:val="19"/>
          <w:szCs w:val="19"/>
          <w:color w:val="010000"/>
        </w:rPr>
      </w:pPr>
    </w:p>
    <w:p>
      <w:pPr>
        <w:jc w:val="both"/>
        <w:ind w:left="8" w:firstLine="1288"/>
        <w:spacing w:after="0" w:line="238" w:lineRule="auto"/>
        <w:tabs>
          <w:tab w:leader="none" w:pos="2218"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In the event that Purchaser, the Company or any of their respective successors or assigns (i) consolidates with or merges into any other Person and is not the continuing or surviving corporation or entity of such consolidation or merger or (ii) transfers or conveys all or substantially all of its properties and other assets to any Person, then,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504190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469" w:right="999" w:bottom="1440" w:gutter="0" w:footer="0" w:header="0"/>
        </w:sectPr>
      </w:pPr>
    </w:p>
    <w:bookmarkStart w:id="106" w:name="page107"/>
    <w:bookmarkEnd w:id="106"/>
    <w:p>
      <w:pPr>
        <w:ind w:left="340"/>
        <w:spacing w:after="0" w:line="274" w:lineRule="auto"/>
        <w:rPr>
          <w:sz w:val="20"/>
          <w:szCs w:val="20"/>
          <w:color w:val="auto"/>
        </w:rPr>
      </w:pPr>
      <w:r>
        <w:rPr>
          <w:rFonts w:ascii="Arial" w:cs="Arial" w:eastAsia="Arial" w:hAnsi="Arial"/>
          <w:sz w:val="21"/>
          <w:szCs w:val="21"/>
          <w:color w:val="auto"/>
        </w:rPr>
        <w:t xml:space="preserve">each such case, Purchaser shall cause proper provision to be made so that the applicable successors and assigns or transferees expressly assume the obligations set forth in this </w:t>
      </w:r>
      <w:r>
        <w:rPr>
          <w:rFonts w:ascii="Arial" w:cs="Arial" w:eastAsia="Arial" w:hAnsi="Arial"/>
          <w:sz w:val="21"/>
          <w:szCs w:val="21"/>
          <w:u w:val="single" w:color="auto"/>
          <w:color w:val="auto"/>
        </w:rPr>
        <w:t>Section 7.8</w:t>
      </w:r>
      <w:r>
        <w:rPr>
          <w:rFonts w:ascii="Arial" w:cs="Arial" w:eastAsia="Arial" w:hAnsi="Arial"/>
          <w:sz w:val="21"/>
          <w:szCs w:val="21"/>
          <w:color w:val="auto"/>
        </w:rPr>
        <w:t>.</w:t>
      </w:r>
    </w:p>
    <w:p>
      <w:pPr>
        <w:spacing w:after="0" w:line="151" w:lineRule="exact"/>
        <w:rPr>
          <w:sz w:val="20"/>
          <w:szCs w:val="20"/>
          <w:color w:val="auto"/>
        </w:rPr>
      </w:pPr>
    </w:p>
    <w:p>
      <w:pPr>
        <w:jc w:val="both"/>
        <w:ind w:left="340" w:firstLine="1288"/>
        <w:spacing w:after="0" w:line="238" w:lineRule="auto"/>
        <w:tabs>
          <w:tab w:leader="none" w:pos="2482"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are intended to be for the benefit of, and will be enforceable by, each D&amp;O Indemnified Person, his or her heirs and his or her representatives, and are in addition to, and not in substitution for, any other rights to indemnification or contribution that any such Person may have by Contract or otherwise.</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010000"/>
        </w:rPr>
        <w:t xml:space="preserve">7.9 </w:t>
      </w:r>
      <w:r>
        <w:rPr>
          <w:rFonts w:ascii="Arial" w:cs="Arial" w:eastAsia="Arial" w:hAnsi="Arial"/>
          <w:sz w:val="21"/>
          <w:szCs w:val="21"/>
          <w:u w:val="single" w:color="auto"/>
          <w:color w:val="000000"/>
        </w:rPr>
        <w:t>Contact with Customers, Suppliers and Other Business Relations</w:t>
      </w:r>
      <w:r>
        <w:rPr>
          <w:rFonts w:ascii="Arial" w:cs="Arial" w:eastAsia="Arial" w:hAnsi="Arial"/>
          <w:sz w:val="21"/>
          <w:szCs w:val="21"/>
          <w:color w:val="000000"/>
        </w:rPr>
        <w:t>. Purchaser hereby agrees that it</w:t>
      </w:r>
      <w:r>
        <w:rPr>
          <w:rFonts w:ascii="Arial" w:cs="Arial" w:eastAsia="Arial" w:hAnsi="Arial"/>
          <w:sz w:val="21"/>
          <w:szCs w:val="21"/>
          <w:color w:val="010000"/>
        </w:rPr>
        <w:t xml:space="preserve"> </w:t>
      </w:r>
      <w:r>
        <w:rPr>
          <w:rFonts w:ascii="Arial" w:cs="Arial" w:eastAsia="Arial" w:hAnsi="Arial"/>
          <w:sz w:val="21"/>
          <w:szCs w:val="21"/>
          <w:color w:val="000000"/>
        </w:rPr>
        <w:t>is not authorized to and shall not (and shall not permit any of its representatives, employees or Affiliates to), contact any employee, tenant, landlord, customer, supplier, content provider, advertiser, distributor or other business relation of the Company regarding the Transaction or any information provided to Purchaser and its representatives in connection therewith prior to the Closing without the prior written consent of the Sellers’ Representative (which shall not be unreasonably withheld, conditioned, or delayed). If the Sellers’ Representative consents to any such contact, Sellers’ Representative and the Company shall be given the reasonable opportunity to participate in any discussions and meetings, and copied on all correspondence, with any such Persons prior to Closing.</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7.10 </w:t>
      </w:r>
      <w:r>
        <w:rPr>
          <w:rFonts w:ascii="Arial" w:cs="Arial" w:eastAsia="Arial" w:hAnsi="Arial"/>
          <w:sz w:val="19"/>
          <w:szCs w:val="19"/>
          <w:u w:val="single" w:color="auto"/>
          <w:color w:val="000000"/>
        </w:rPr>
        <w:t>Exclusivity</w:t>
      </w:r>
      <w:r>
        <w:rPr>
          <w:rFonts w:ascii="Arial" w:cs="Arial" w:eastAsia="Arial" w:hAnsi="Arial"/>
          <w:sz w:val="19"/>
          <w:szCs w:val="19"/>
          <w:color w:val="000000"/>
        </w:rPr>
        <w:t>. Each of the Company and the Sellers’ Representative agrees that, from the date of this</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until the earlier to occur of the Closing Date and the termination of this Agreement in accordance with </w:t>
      </w:r>
      <w:r>
        <w:rPr>
          <w:rFonts w:ascii="Arial" w:cs="Arial" w:eastAsia="Arial" w:hAnsi="Arial"/>
          <w:sz w:val="19"/>
          <w:szCs w:val="19"/>
          <w:u w:val="single" w:color="auto"/>
          <w:color w:val="000000"/>
        </w:rPr>
        <w:t>Article IX</w:t>
      </w:r>
      <w:r>
        <w:rPr>
          <w:rFonts w:ascii="Arial" w:cs="Arial" w:eastAsia="Arial" w:hAnsi="Arial"/>
          <w:sz w:val="19"/>
          <w:szCs w:val="19"/>
          <w:color w:val="000000"/>
        </w:rPr>
        <w:t>, neither the Sellers’ Representative nor the Company shall, and they shall cause their Affiliates, and shall use their reasonable best efforts to cause their and their Affiliates’ respective controlling Persons, equity holders, employees, officers, directors, advisors, and agents not to: (a) encourage, initiate, solicit, maintain, or continue any discussions or negotiations regarding, the submission of any proposal or offer (an “</w:t>
      </w:r>
      <w:r>
        <w:rPr>
          <w:rFonts w:ascii="Arial" w:cs="Arial" w:eastAsia="Arial" w:hAnsi="Arial"/>
          <w:sz w:val="19"/>
          <w:szCs w:val="19"/>
          <w:u w:val="single" w:color="auto"/>
          <w:color w:val="000000"/>
        </w:rPr>
        <w:t>Acquisition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Proposal</w:t>
      </w:r>
      <w:r>
        <w:rPr>
          <w:rFonts w:ascii="Arial" w:cs="Arial" w:eastAsia="Arial" w:hAnsi="Arial"/>
          <w:sz w:val="19"/>
          <w:szCs w:val="19"/>
          <w:color w:val="000000"/>
        </w:rPr>
        <w:t>”) by a third party (other than Purchaser or its representatives and agents) regarding (i) the sale of all or any material assets of the Company, (ii) any sale of any Equity Interests or debt securities of the Company, whether directly or indirectly, or (iii) any merger, consolidation, public offering, share exchange, recapitalization, or other similar transaction involving the Company (the actions referred to in the immediately preceding clauses (i) through (iii), each a “</w:t>
      </w:r>
      <w:r>
        <w:rPr>
          <w:rFonts w:ascii="Arial" w:cs="Arial" w:eastAsia="Arial" w:hAnsi="Arial"/>
          <w:sz w:val="19"/>
          <w:szCs w:val="19"/>
          <w:u w:val="single" w:color="auto"/>
          <w:color w:val="000000"/>
        </w:rPr>
        <w:t>Third-Party Acquisition</w:t>
      </w:r>
      <w:r>
        <w:rPr>
          <w:rFonts w:ascii="Arial" w:cs="Arial" w:eastAsia="Arial" w:hAnsi="Arial"/>
          <w:sz w:val="19"/>
          <w:szCs w:val="19"/>
          <w:color w:val="000000"/>
        </w:rPr>
        <w:t>”) or (b) provide any non-public financial or other confidential or proprietary information regarding the Company (including any materials containing Purchaser’s or its Affiliates’ proposal and any other financial information, projections, or proposals regarding the Company) to any Person (other than to Purchaser or its representatives and agents), except in the ordinary course of business of the Company unrelated to a Third-Party Acquisition.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7.11 </w:t>
      </w:r>
      <w:r>
        <w:rPr>
          <w:rFonts w:ascii="Arial" w:cs="Arial" w:eastAsia="Arial" w:hAnsi="Arial"/>
          <w:sz w:val="21"/>
          <w:szCs w:val="21"/>
          <w:u w:val="single" w:color="auto"/>
          <w:color w:val="000000"/>
        </w:rPr>
        <w:t>Notification of Certain Matters; Schedule Supplement</w:t>
      </w:r>
      <w:r>
        <w:rPr>
          <w:rFonts w:ascii="Arial" w:cs="Arial" w:eastAsia="Arial" w:hAnsi="Arial"/>
          <w:sz w:val="21"/>
          <w:szCs w:val="21"/>
          <w:color w:val="000000"/>
        </w:rPr>
        <w:t>. From the date of this Agreement until the</w:t>
      </w:r>
      <w:r>
        <w:rPr>
          <w:rFonts w:ascii="Arial" w:cs="Arial" w:eastAsia="Arial" w:hAnsi="Arial"/>
          <w:sz w:val="21"/>
          <w:szCs w:val="21"/>
          <w:color w:val="010000"/>
        </w:rPr>
        <w:t xml:space="preserve"> </w:t>
      </w:r>
      <w:r>
        <w:rPr>
          <w:rFonts w:ascii="Arial" w:cs="Arial" w:eastAsia="Arial" w:hAnsi="Arial"/>
          <w:sz w:val="21"/>
          <w:szCs w:val="21"/>
          <w:color w:val="000000"/>
        </w:rPr>
        <w:t xml:space="preserve">earlier of the Closing or valid termination of this Agreement pursuant to </w:t>
      </w:r>
      <w:r>
        <w:rPr>
          <w:rFonts w:ascii="Arial" w:cs="Arial" w:eastAsia="Arial" w:hAnsi="Arial"/>
          <w:sz w:val="21"/>
          <w:szCs w:val="21"/>
          <w:u w:val="single" w:color="auto"/>
          <w:color w:val="000000"/>
        </w:rPr>
        <w:t>Article IX</w:t>
      </w:r>
      <w:r>
        <w:rPr>
          <w:rFonts w:ascii="Arial" w:cs="Arial" w:eastAsia="Arial" w:hAnsi="Arial"/>
          <w:sz w:val="21"/>
          <w:szCs w:val="21"/>
          <w:color w:val="000000"/>
        </w:rPr>
        <w:t xml:space="preserve">, each of Purchaser, on the one hand, and the Company and the Sellers’ Representative (acting on behalf of the Sellers), on the other hand, shall give prompt notice to the other at such time that such Party becomes aware of the occurrence, or nonoccurrence, of any event that would cause the failure of a condition set forth in </w:t>
      </w:r>
      <w:r>
        <w:rPr>
          <w:rFonts w:ascii="Arial" w:cs="Arial" w:eastAsia="Arial" w:hAnsi="Arial"/>
          <w:sz w:val="21"/>
          <w:szCs w:val="21"/>
          <w:u w:val="single" w:color="auto"/>
          <w:color w:val="000000"/>
        </w:rPr>
        <w:t>Section 8.2(a)</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8.2(b)</w:t>
      </w:r>
      <w:r>
        <w:rPr>
          <w:rFonts w:ascii="Arial" w:cs="Arial" w:eastAsia="Arial" w:hAnsi="Arial"/>
          <w:sz w:val="21"/>
          <w:szCs w:val="21"/>
          <w:color w:val="000000"/>
        </w:rPr>
        <w:t xml:space="preserve">, or </w:t>
      </w:r>
      <w:r>
        <w:rPr>
          <w:rFonts w:ascii="Arial" w:cs="Arial" w:eastAsia="Arial" w:hAnsi="Arial"/>
          <w:sz w:val="21"/>
          <w:szCs w:val="21"/>
          <w:u w:val="single" w:color="auto"/>
          <w:color w:val="000000"/>
        </w:rPr>
        <w:t>8.3(a)</w:t>
      </w:r>
      <w:r>
        <w:rPr>
          <w:rFonts w:ascii="Arial" w:cs="Arial" w:eastAsia="Arial" w:hAnsi="Arial"/>
          <w:sz w:val="21"/>
          <w:szCs w:val="21"/>
          <w:color w:val="000000"/>
        </w:rPr>
        <w:t xml:space="preserve">, as applicable;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that</w:t>
      </w:r>
      <w:r>
        <w:rPr>
          <w:rFonts w:ascii="Arial" w:cs="Arial" w:eastAsia="Arial" w:hAnsi="Arial"/>
          <w:sz w:val="21"/>
          <w:szCs w:val="21"/>
          <w:color w:val="000000"/>
        </w:rPr>
        <w:t xml:space="preserve">, a failure to provide notice pursuant to this </w:t>
      </w:r>
      <w:r>
        <w:rPr>
          <w:rFonts w:ascii="Arial" w:cs="Arial" w:eastAsia="Arial" w:hAnsi="Arial"/>
          <w:sz w:val="21"/>
          <w:szCs w:val="21"/>
          <w:u w:val="single" w:color="auto"/>
          <w:color w:val="000000"/>
        </w:rPr>
        <w:t>Section 7.11(a)</w:t>
      </w:r>
      <w:r>
        <w:rPr>
          <w:rFonts w:ascii="Arial" w:cs="Arial" w:eastAsia="Arial" w:hAnsi="Arial"/>
          <w:sz w:val="21"/>
          <w:szCs w:val="21"/>
          <w:color w:val="000000"/>
        </w:rPr>
        <w:t xml:space="preserve"> shall not constitute a breach of a covenant of Purchaser, Sellers or the Company for purposes of the condition set forth in </w:t>
      </w:r>
      <w:r>
        <w:rPr>
          <w:rFonts w:ascii="Arial" w:cs="Arial" w:eastAsia="Arial" w:hAnsi="Arial"/>
          <w:sz w:val="21"/>
          <w:szCs w:val="21"/>
          <w:u w:val="single" w:color="auto"/>
          <w:color w:val="000000"/>
        </w:rPr>
        <w:t>Section 8.2(c)</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Section</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8.2(d)</w:t>
      </w:r>
      <w:r>
        <w:rPr>
          <w:rFonts w:ascii="Arial" w:cs="Arial" w:eastAsia="Arial" w:hAnsi="Arial"/>
          <w:sz w:val="21"/>
          <w:szCs w:val="21"/>
          <w:color w:val="000000"/>
        </w:rPr>
        <w:t xml:space="preserve"> or </w:t>
      </w:r>
      <w:r>
        <w:rPr>
          <w:rFonts w:ascii="Arial" w:cs="Arial" w:eastAsia="Arial" w:hAnsi="Arial"/>
          <w:sz w:val="21"/>
          <w:szCs w:val="21"/>
          <w:u w:val="single" w:color="auto"/>
          <w:color w:val="000000"/>
        </w:rPr>
        <w:t>Section 8.3(b)</w:t>
      </w:r>
      <w:r>
        <w:rPr>
          <w:rFonts w:ascii="Arial" w:cs="Arial" w:eastAsia="Arial" w:hAnsi="Arial"/>
          <w:sz w:val="21"/>
          <w:szCs w:val="21"/>
          <w:color w:val="000000"/>
        </w:rPr>
        <w: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07" w:name="page108"/>
    <w:bookmarkEnd w:id="107"/>
    <w:p>
      <w:pPr>
        <w:ind w:left="340"/>
        <w:spacing w:after="0"/>
        <w:rPr>
          <w:sz w:val="20"/>
          <w:szCs w:val="20"/>
          <w:color w:val="auto"/>
        </w:rPr>
      </w:pPr>
      <w:r>
        <w:rPr>
          <w:rFonts w:ascii="Arial" w:cs="Arial" w:eastAsia="Arial" w:hAnsi="Arial"/>
          <w:sz w:val="22"/>
          <w:szCs w:val="22"/>
          <w:color w:val="auto"/>
        </w:rPr>
        <w:t>applicable.</w:t>
      </w:r>
    </w:p>
    <w:p>
      <w:pPr>
        <w:spacing w:after="0" w:line="206" w:lineRule="exact"/>
        <w:rPr>
          <w:sz w:val="20"/>
          <w:szCs w:val="20"/>
          <w:color w:val="auto"/>
        </w:rPr>
      </w:pPr>
    </w:p>
    <w:p>
      <w:pPr>
        <w:jc w:val="both"/>
        <w:ind w:left="340" w:firstLine="1288"/>
        <w:spacing w:after="0" w:line="270" w:lineRule="auto"/>
        <w:tabs>
          <w:tab w:leader="none" w:pos="232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The Company may, from time to time prior to the Closing, by notice in accordance with the terms of this Agreement, supplement or amend any Section of the Company Disclosure Schedule in order to add information relating to, or resulting from, facts or events occurring subsequent to the execution of this Agreement (each, a “</w:t>
      </w:r>
      <w:r>
        <w:rPr>
          <w:rFonts w:ascii="Arial" w:cs="Arial" w:eastAsia="Arial" w:hAnsi="Arial"/>
          <w:sz w:val="19"/>
          <w:szCs w:val="19"/>
          <w:u w:val="single" w:color="auto"/>
          <w:color w:val="auto"/>
        </w:rPr>
        <w:t>Schedule Supplement</w:t>
      </w:r>
      <w:r>
        <w:rPr>
          <w:rFonts w:ascii="Arial" w:cs="Arial" w:eastAsia="Arial" w:hAnsi="Arial"/>
          <w:sz w:val="19"/>
          <w:szCs w:val="19"/>
          <w:color w:val="auto"/>
        </w:rPr>
        <w:t xml:space="preserve">”). In the event that the Company provides any Schedule Supplement, the matters set forth on such Schedule Supplement shall not be effective to cure and correct for purposes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any breach of any representation or warranty that would have existed if the Company had not provided such Schedule Supplement. In the event that, prior to the Closing, the Company provides a Schedule Supplement pursuant to the terms of this </w:t>
      </w:r>
      <w:r>
        <w:rPr>
          <w:rFonts w:ascii="Arial" w:cs="Arial" w:eastAsia="Arial" w:hAnsi="Arial"/>
          <w:sz w:val="19"/>
          <w:szCs w:val="19"/>
          <w:u w:val="single" w:color="auto"/>
          <w:color w:val="auto"/>
        </w:rPr>
        <w:t>Section 7.11(b)</w:t>
      </w:r>
      <w:r>
        <w:rPr>
          <w:rFonts w:ascii="Arial" w:cs="Arial" w:eastAsia="Arial" w:hAnsi="Arial"/>
          <w:sz w:val="19"/>
          <w:szCs w:val="19"/>
          <w:color w:val="auto"/>
        </w:rPr>
        <w:t xml:space="preserve"> of the failure of any condition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as a result of any breach of any representation or warranty of the Company due to facts or events occurring subsequent to the execution of this Agreement that would entitle Purchaser to not consummate the Closing, then Purchaser may terminate this Agreement in accordance with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within three (3) Business Days of such Schedule Supplement;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Purchaser has not provided notice of termination during such three (3) Business-Day period, then Purchaser’s termination right is waived. For the avoidance of doubt, if the Company provides a Schedule Supplement pursuant to the terms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7.11(b)</w:t>
      </w:r>
      <w:r>
        <w:rPr>
          <w:rFonts w:ascii="Arial" w:cs="Arial" w:eastAsia="Arial" w:hAnsi="Arial"/>
          <w:sz w:val="19"/>
          <w:szCs w:val="19"/>
          <w:color w:val="auto"/>
        </w:rPr>
        <w:t xml:space="preserve"> that does not set forth a failure of any condition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as a result of any breach of any representation or warranty that would have existed if the Company had not provided such Schedule Supplement, then Purchaser may not fail to consummate the Closing, and Purchaser may not terminate this Agreement, on the basis of such Schedule Supplement.</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jc w:val="both"/>
        <w:ind w:left="340" w:firstLine="1288"/>
        <w:spacing w:after="0" w:line="245" w:lineRule="auto"/>
        <w:tabs>
          <w:tab w:leader="none" w:pos="2389" w:val="left"/>
        </w:tabs>
        <w:numPr>
          <w:ilvl w:val="0"/>
          <w:numId w:val="99"/>
        </w:numPr>
        <w:rPr>
          <w:rFonts w:ascii="Arial" w:cs="Arial" w:eastAsia="Arial" w:hAnsi="Arial"/>
          <w:sz w:val="21"/>
          <w:szCs w:val="21"/>
          <w:color w:val="010000"/>
        </w:rPr>
      </w:pPr>
      <w:r>
        <w:rPr>
          <w:rFonts w:ascii="Arial" w:cs="Arial" w:eastAsia="Arial" w:hAnsi="Arial"/>
          <w:sz w:val="21"/>
          <w:szCs w:val="21"/>
          <w:color w:val="auto"/>
        </w:rPr>
        <w:t xml:space="preserve">From and after Closing, Purchaser shall be deemed to have waived any and all rights, remedies, or other recourse to which Purchaser might otherwise be entitled in respect of a breach of any representation or warranty of the Company relating to or arising from the information, facts or events included in any Schedule Supplement delivered to Purchaser prior to Closing, including any rights or remedies under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and such Schedule Supplement shall be effective to cure and correct for all other purposes any such breach of any representation or warranty that would have existed if the Company had not provided such Schedule Supplement, and all references to any Section of the Company Disclosure Schedule that is supplemented or amended as provided in </w:t>
      </w:r>
      <w:r>
        <w:rPr>
          <w:rFonts w:ascii="Arial" w:cs="Arial" w:eastAsia="Arial" w:hAnsi="Arial"/>
          <w:sz w:val="21"/>
          <w:szCs w:val="21"/>
          <w:u w:val="single" w:color="auto"/>
          <w:color w:val="auto"/>
        </w:rPr>
        <w:t>Section 7.11(b)</w:t>
      </w:r>
      <w:r>
        <w:rPr>
          <w:rFonts w:ascii="Arial" w:cs="Arial" w:eastAsia="Arial" w:hAnsi="Arial"/>
          <w:sz w:val="21"/>
          <w:szCs w:val="21"/>
          <w:color w:val="auto"/>
        </w:rPr>
        <w:t xml:space="preserve"> shall for all purposes after the Closing be deemed to be a reference to such Section of the Company Disclosure Schedule as so supplemented or amended.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7.12 </w:t>
      </w:r>
      <w:r>
        <w:rPr>
          <w:rFonts w:ascii="Arial" w:cs="Arial" w:eastAsia="Arial" w:hAnsi="Arial"/>
          <w:sz w:val="19"/>
          <w:szCs w:val="19"/>
          <w:u w:val="single" w:color="auto"/>
          <w:color w:val="000000"/>
        </w:rPr>
        <w:t>Release</w:t>
      </w:r>
      <w:r>
        <w:rPr>
          <w:rFonts w:ascii="Arial" w:cs="Arial" w:eastAsia="Arial" w:hAnsi="Arial"/>
          <w:sz w:val="19"/>
          <w:szCs w:val="19"/>
          <w:color w:val="000000"/>
        </w:rPr>
        <w:t>. As a material inducement to Purchaser to enter into this Agreement, effective as of the</w:t>
      </w:r>
      <w:r>
        <w:rPr>
          <w:rFonts w:ascii="Arial" w:cs="Arial" w:eastAsia="Arial" w:hAnsi="Arial"/>
          <w:sz w:val="19"/>
          <w:szCs w:val="19"/>
          <w:color w:val="010000"/>
        </w:rPr>
        <w:t xml:space="preserve"> </w:t>
      </w:r>
      <w:r>
        <w:rPr>
          <w:rFonts w:ascii="Arial" w:cs="Arial" w:eastAsia="Arial" w:hAnsi="Arial"/>
          <w:sz w:val="19"/>
          <w:szCs w:val="19"/>
          <w:color w:val="000000"/>
        </w:rPr>
        <w:t>Closing, each Seller, on behalf of such Seller and such Seller’s Affiliates (other than the Company) (collectively, the “</w:t>
      </w:r>
      <w:r>
        <w:rPr>
          <w:rFonts w:ascii="Arial" w:cs="Arial" w:eastAsia="Arial" w:hAnsi="Arial"/>
          <w:sz w:val="19"/>
          <w:szCs w:val="19"/>
          <w:u w:val="single" w:color="auto"/>
          <w:color w:val="000000"/>
        </w:rPr>
        <w:t>Releasing Parties</w:t>
      </w:r>
      <w:r>
        <w:rPr>
          <w:rFonts w:ascii="Arial" w:cs="Arial" w:eastAsia="Arial" w:hAnsi="Arial"/>
          <w:sz w:val="19"/>
          <w:szCs w:val="19"/>
          <w:color w:val="000000"/>
        </w:rPr>
        <w:t>”), agrees not to sue and fully releases and forever discharges Purchaser, the Company and their respective Affiliates, and their respective directors, officers, equityholders and their respective Affiliates, assigns, and successors, those prior to, and those as of, the Closing Date (collectively, the “</w:t>
      </w:r>
      <w:r>
        <w:rPr>
          <w:rFonts w:ascii="Arial" w:cs="Arial" w:eastAsia="Arial" w:hAnsi="Arial"/>
          <w:sz w:val="19"/>
          <w:szCs w:val="19"/>
          <w:u w:val="single" w:color="auto"/>
          <w:color w:val="000000"/>
        </w:rPr>
        <w:t>Released Persons</w:t>
      </w:r>
      <w:r>
        <w:rPr>
          <w:rFonts w:ascii="Arial" w:cs="Arial" w:eastAsia="Arial" w:hAnsi="Arial"/>
          <w:sz w:val="19"/>
          <w:szCs w:val="19"/>
          <w:color w:val="000000"/>
        </w:rPr>
        <w:t>”), with respect to and from any and all claims, demands, rights, Liens, Contracts, covenants, Legal Proceedings, causes of action, Liabilities, obligations, debts, expenses (including reasonable attorneys’ fees), and Losses of whatever kind or nature, in each case for any matter, cause or event arising on, or prior to, the Closing Date, in Law, equity, or otherwise, whether now known or unknown, and whether or not concealed or hidden, all of which such Seller or any of such Seller’s Affiliates now owns or holds or has at any time owned or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08" w:name="page109"/>
    <w:bookmarkEnd w:id="108"/>
    <w:p>
      <w:pPr>
        <w:jc w:val="both"/>
        <w:spacing w:after="0" w:line="244" w:lineRule="auto"/>
        <w:rPr>
          <w:sz w:val="20"/>
          <w:szCs w:val="20"/>
          <w:color w:val="auto"/>
        </w:rPr>
      </w:pPr>
      <w:r>
        <w:rPr>
          <w:rFonts w:ascii="Arial" w:cs="Arial" w:eastAsia="Arial" w:hAnsi="Arial"/>
          <w:sz w:val="21"/>
          <w:szCs w:val="21"/>
          <w:color w:val="auto"/>
        </w:rPr>
        <w:t xml:space="preserve">against the Released Persons;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no event shall the foregoing release apply with respect to any obligations of any Released Persons set forth in this Agreement (including the indemnification obligations set forth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7.8</w:t>
      </w:r>
      <w:r>
        <w:rPr>
          <w:rFonts w:ascii="Arial" w:cs="Arial" w:eastAsia="Arial" w:hAnsi="Arial"/>
          <w:sz w:val="21"/>
          <w:szCs w:val="21"/>
          <w:color w:val="auto"/>
        </w:rPr>
        <w:t>), subject to the limitations and conditions provided in this Agreement, or any other agreement entered into pursuant to the Transaction. It is the intention of such Seller that such release be effective as a bar to each and every claim, demand, and cause of action hereinabove specified and in furtherance of such intention, such Seller, on behalf of such Seller and such Seller’s Affiliates, hereby expressly waives, effective as of the Closing, any and all rights and benefits conferred upon such Seller or any of such Seller’s Affiliates by the provisions of applicable Law or regulation and expressly consents that this release will be given full force and effect according to each and all of its express terms and provisions, including those related to unknown and unsuspected claims, demands, and causes of action, if any, as those relating to any other claims, demands, and causes of action hereinabove specified, but only to the extent such section is applicable to releases such as this.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Without limiting the generality of the foregoing, such Seller, on behalf of such Seller and the other Releasing Parties, specifically waives the provisions of California Civil Code Section 1542, which provides as follows:</w:t>
      </w:r>
    </w:p>
    <w:p>
      <w:pPr>
        <w:spacing w:after="0" w:line="186" w:lineRule="exact"/>
        <w:rPr>
          <w:sz w:val="20"/>
          <w:szCs w:val="20"/>
          <w:color w:val="auto"/>
        </w:rPr>
      </w:pPr>
    </w:p>
    <w:p>
      <w:pPr>
        <w:jc w:val="both"/>
        <w:ind w:left="660" w:firstLine="1296"/>
        <w:spacing w:after="0" w:line="236"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7"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The foregoing release is a bargained for and essential element of the consideration for the Parties’ agreement to enter into this Agreement on the terms set forth herein.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7.13</w:t>
      </w:r>
      <w:r>
        <w:rPr>
          <w:sz w:val="20"/>
          <w:szCs w:val="20"/>
          <w:color w:val="auto"/>
        </w:rPr>
        <w:tab/>
      </w: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5" w:lineRule="auto"/>
        <w:tabs>
          <w:tab w:leader="none" w:pos="2076" w:val="left"/>
        </w:tabs>
        <w:numPr>
          <w:ilvl w:val="0"/>
          <w:numId w:val="100"/>
        </w:numPr>
        <w:rPr>
          <w:rFonts w:ascii="Arial" w:cs="Arial" w:eastAsia="Arial" w:hAnsi="Arial"/>
          <w:sz w:val="21"/>
          <w:szCs w:val="21"/>
          <w:color w:val="010000"/>
        </w:rPr>
      </w:pPr>
      <w:r>
        <w:rPr>
          <w:rFonts w:ascii="Arial" w:cs="Arial" w:eastAsia="Arial" w:hAnsi="Arial"/>
          <w:sz w:val="21"/>
          <w:szCs w:val="21"/>
          <w:u w:val="single" w:color="auto"/>
          <w:color w:val="auto"/>
        </w:rPr>
        <w:t>Covenant Not to Solicit</w:t>
      </w:r>
      <w:r>
        <w:rPr>
          <w:rFonts w:ascii="Arial" w:cs="Arial" w:eastAsia="Arial" w:hAnsi="Arial"/>
          <w:sz w:val="21"/>
          <w:szCs w:val="21"/>
          <w:color w:val="auto"/>
        </w:rPr>
        <w:t>. Each Shareholder shall not, and shall cause such Shareholder’s Affiliates not to, for a period of three (3) years from and after the Closing Date, without the express written consent of Purchaser, directly or indirectly, hire, solicit, recruit, induce, or encourage any employee of Purchaser or the Company (“</w:t>
      </w:r>
      <w:r>
        <w:rPr>
          <w:rFonts w:ascii="Arial" w:cs="Arial" w:eastAsia="Arial" w:hAnsi="Arial"/>
          <w:sz w:val="21"/>
          <w:szCs w:val="21"/>
          <w:u w:val="single" w:color="auto"/>
          <w:color w:val="auto"/>
        </w:rPr>
        <w:t>Restricted Persons</w:t>
      </w:r>
      <w:r>
        <w:rPr>
          <w:rFonts w:ascii="Arial" w:cs="Arial" w:eastAsia="Arial" w:hAnsi="Arial"/>
          <w:sz w:val="21"/>
          <w:szCs w:val="21"/>
          <w:color w:val="auto"/>
        </w:rPr>
        <w:t xml:space="preserve">”) to leave the employ of Purchaser or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provision will not apply to any Shareholder (i) soliciting or hiring Restricted Persons through generalized solicitation, recruitment, or advertisements not targeted specifically at Company or Purchaser employees or (ii) soliciting or hiring any Restricted Person whose employment or engagement has been terminated by Purchaser or the Company at least three (3) months prior to the commencement of employment-related discussions with such Restricted Person.</w:t>
      </w:r>
    </w:p>
    <w:p>
      <w:pPr>
        <w:spacing w:after="0" w:line="184" w:lineRule="exact"/>
        <w:rPr>
          <w:rFonts w:ascii="Arial" w:cs="Arial" w:eastAsia="Arial" w:hAnsi="Arial"/>
          <w:sz w:val="21"/>
          <w:szCs w:val="21"/>
          <w:color w:val="010000"/>
        </w:rPr>
      </w:pPr>
    </w:p>
    <w:p>
      <w:pPr>
        <w:jc w:val="both"/>
        <w:ind w:firstLine="1304"/>
        <w:spacing w:after="0" w:line="235" w:lineRule="auto"/>
        <w:tabs>
          <w:tab w:leader="none" w:pos="2385" w:val="left"/>
        </w:tabs>
        <w:numPr>
          <w:ilvl w:val="0"/>
          <w:numId w:val="100"/>
        </w:numPr>
        <w:rPr>
          <w:rFonts w:ascii="Arial" w:cs="Arial" w:eastAsia="Arial" w:hAnsi="Arial"/>
          <w:sz w:val="22"/>
          <w:szCs w:val="22"/>
          <w:color w:val="010000"/>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Each Shareholder shall not, and shall cause such Shareholder’s Affiliates not to, for a period of three (3) years from and after the Closing Date, without the express written consent of Purchaser, directly or indirectly, (i) acquire, finance, own any interest in, manage, control, participate in, consult with, render services for, use or authorize the use of its name in connection with, provide any Intellectual Property rights to any Person engaged in, operate, or in any manner engage in (other than for Purchaser,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19"/>
          <w:szCs w:val="19"/>
          <w:color w:val="auto"/>
        </w:rPr>
        <w:t xml:space="preserve">of their respective Affiliates) a Competitive Business, (ii) call on, solicit or take action that would divert business from the Company or would reasonably be expected to interfere with or diminish the relationship between the Company and any of its customers, suppliers, distributors, developers, service providers, licensors, or licensees, or other material business relation of the Company with respect to products or services of the kind or type developed, produced, marketed, furnished, or sold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Shareholder shall be prohibited from (A) owning up to five percent (5%) of the outstanding stock of any Person that is publicly traded on a national securities exchange or in the over the counter market, so long as such Shareholder has no active participation in the business or management of such Person and (B) from investing in a private equity or hedge fund which invests in or maintains a Competitive Business so long as (I) such Shareholder’s holdings in such fund or portfolio company of such fund is passive and (II) such Shareholder does not provide advice, manage, work for, consult with or render other services to such fund or portfolio company nor is otherwise involved in any way in the management or decision-making of such fund or portfolio company.</w:t>
      </w:r>
    </w:p>
    <w:p>
      <w:pPr>
        <w:spacing w:after="0" w:line="161" w:lineRule="exact"/>
        <w:rPr>
          <w:sz w:val="20"/>
          <w:szCs w:val="20"/>
          <w:color w:val="auto"/>
        </w:rPr>
      </w:pPr>
    </w:p>
    <w:p>
      <w:pPr>
        <w:jc w:val="both"/>
        <w:ind w:firstLine="1304"/>
        <w:spacing w:after="0" w:line="271" w:lineRule="auto"/>
        <w:tabs>
          <w:tab w:leader="none" w:pos="1981" w:val="left"/>
        </w:tabs>
        <w:numPr>
          <w:ilvl w:val="0"/>
          <w:numId w:val="101"/>
        </w:numPr>
        <w:rPr>
          <w:rFonts w:ascii="Arial" w:cs="Arial" w:eastAsia="Arial" w:hAnsi="Arial"/>
          <w:sz w:val="19"/>
          <w:szCs w:val="19"/>
          <w:color w:val="010000"/>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Seller shall, and shall cause such Seller’s Affiliates to, from and after the Closing Date, keep the Confidential Information strictly confidential and shall not, and shall cause its and its Affiliates’ respective employees, officers, directors, managers, and agents not to, disclose (except as expressly permitted by this Agreement) any portion of the Confidential Information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Person subject to confidentiality under this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is compelled by applicable Law (including by request for information or documents in any Legal Proceeding, interrogatory, discovery request, subpoena, civil investigative demand, similar process, or otherwise) to disclose any Confidential Information, the Person compelled to make disclosure shall promptly notify (unless prohibited by Law) Purchaser in writing of such requirement so that Purchaser may seek an appropriate protective order, at its sole cost and expense, or waive compliance with the provisions of this Agreement applicable to such portion of the Confidential Information. If, in the absence of a protective order or the receipt of a waiver hereunder, such Person, on the advice of legal counsel, is required to disclose any Confidential Information, such Person may disclose only that portion of such Confidential Information that such Person is required to disclose;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Person shall use its reasonable best efforts to obtain assurance that confidential treatment will be accorded to such Confidential Information.</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jc w:val="both"/>
        <w:ind w:firstLine="1304"/>
        <w:spacing w:after="0" w:line="246" w:lineRule="auto"/>
        <w:tabs>
          <w:tab w:leader="none" w:pos="2007" w:val="left"/>
        </w:tabs>
        <w:numPr>
          <w:ilvl w:val="0"/>
          <w:numId w:val="101"/>
        </w:numPr>
        <w:rPr>
          <w:rFonts w:ascii="Arial" w:cs="Arial" w:eastAsia="Arial" w:hAnsi="Arial"/>
          <w:sz w:val="21"/>
          <w:szCs w:val="21"/>
          <w:color w:val="010000"/>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xml:space="preserve">. From and after the Closing Date, each Seller and Purchaser shall not, and shall cause each of their respective controlled Affiliates not to, disparage any Seller, the Sellers’ Representative, Purchaser, the Company, or any of their respective Affiliates in any way that adversely and substantially impacts the goodwill, reputation, or business relationships of any Seller, the Sellers’ Representative, Purchaser, the Company, or any of their respective Affiliates with the public generally, or with any of their customers, suppliers, independent contractors, or employees;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7.13(d)</w:t>
      </w:r>
      <w:r>
        <w:rPr>
          <w:rFonts w:ascii="Arial" w:cs="Arial" w:eastAsia="Arial" w:hAnsi="Arial"/>
          <w:sz w:val="21"/>
          <w:szCs w:val="21"/>
          <w:color w:val="auto"/>
        </w:rPr>
        <w:t xml:space="preserve"> is intended to restrict any Person from providing truthful testimony in any Legal Proceeding or truthfully cooperating with any governmental investigation or inquiry.</w:t>
      </w:r>
    </w:p>
    <w:p>
      <w:pPr>
        <w:spacing w:after="0" w:line="179" w:lineRule="exact"/>
        <w:rPr>
          <w:rFonts w:ascii="Arial" w:cs="Arial" w:eastAsia="Arial" w:hAnsi="Arial"/>
          <w:sz w:val="21"/>
          <w:szCs w:val="21"/>
          <w:color w:val="010000"/>
        </w:rPr>
      </w:pPr>
    </w:p>
    <w:p>
      <w:pPr>
        <w:jc w:val="both"/>
        <w:ind w:firstLine="1304"/>
        <w:spacing w:after="0" w:line="238" w:lineRule="auto"/>
        <w:tabs>
          <w:tab w:leader="none" w:pos="2265" w:val="left"/>
        </w:tabs>
        <w:numPr>
          <w:ilvl w:val="0"/>
          <w:numId w:val="101"/>
        </w:numPr>
        <w:rPr>
          <w:rFonts w:ascii="Arial" w:cs="Arial" w:eastAsia="Arial" w:hAnsi="Arial"/>
          <w:sz w:val="22"/>
          <w:szCs w:val="22"/>
          <w:color w:val="010000"/>
        </w:rPr>
      </w:pPr>
      <w:r>
        <w:rPr>
          <w:rFonts w:ascii="Arial" w:cs="Arial" w:eastAsia="Arial" w:hAnsi="Arial"/>
          <w:sz w:val="22"/>
          <w:szCs w:val="22"/>
          <w:u w:val="single" w:color="auto"/>
          <w:color w:val="auto"/>
        </w:rPr>
        <w:t>Reasonableness</w:t>
      </w:r>
      <w:r>
        <w:rPr>
          <w:rFonts w:ascii="Arial" w:cs="Arial" w:eastAsia="Arial" w:hAnsi="Arial"/>
          <w:sz w:val="22"/>
          <w:szCs w:val="22"/>
          <w:i w:val="1"/>
          <w:iCs w:val="1"/>
          <w:color w:val="auto"/>
        </w:rPr>
        <w:t>.</w:t>
      </w:r>
      <w:r>
        <w:rPr>
          <w:rFonts w:ascii="Arial" w:cs="Arial" w:eastAsia="Arial" w:hAnsi="Arial"/>
          <w:sz w:val="22"/>
          <w:szCs w:val="22"/>
          <w:color w:val="auto"/>
        </w:rPr>
        <w:t xml:space="preserve"> Each Seller expressly acknowledges and agrees that (i) each of the restrictions contained in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are reasonable in all respects (including with respect to subject matter and time period) and such restrictions are necessary to protect Purchaser’s interest in, and the value of, the Business (including the goodwill inherent therein),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0" w:name="page111"/>
    <w:bookmarkEnd w:id="110"/>
    <w:p>
      <w:pPr>
        <w:ind w:right="20"/>
        <w:spacing w:after="0" w:line="250" w:lineRule="auto"/>
        <w:rPr>
          <w:sz w:val="20"/>
          <w:szCs w:val="20"/>
          <w:color w:val="auto"/>
        </w:rPr>
      </w:pPr>
      <w:r>
        <w:rPr>
          <w:rFonts w:ascii="Arial" w:cs="Arial" w:eastAsia="Arial" w:hAnsi="Arial"/>
          <w:sz w:val="22"/>
          <w:szCs w:val="22"/>
          <w:color w:val="auto"/>
        </w:rPr>
        <w:t xml:space="preserve">Purchaser would not have entered into this Agreement, the other Transaction Agreements, or the Transaction without the restrictions contained in this </w:t>
      </w:r>
      <w:r>
        <w:rPr>
          <w:rFonts w:ascii="Arial" w:cs="Arial" w:eastAsia="Arial" w:hAnsi="Arial"/>
          <w:sz w:val="22"/>
          <w:szCs w:val="22"/>
          <w:u w:val="single" w:color="auto"/>
          <w:color w:val="auto"/>
        </w:rPr>
        <w:t>Section 7.13</w:t>
      </w:r>
      <w:r>
        <w:rPr>
          <w:rFonts w:ascii="Arial" w:cs="Arial" w:eastAsia="Arial" w:hAnsi="Arial"/>
          <w:sz w:val="22"/>
          <w:szCs w:val="22"/>
          <w:color w:val="auto"/>
        </w:rPr>
        <w:t>.</w:t>
      </w:r>
    </w:p>
    <w:p>
      <w:pPr>
        <w:spacing w:after="0" w:line="175" w:lineRule="exact"/>
        <w:rPr>
          <w:sz w:val="20"/>
          <w:szCs w:val="20"/>
          <w:color w:val="auto"/>
        </w:rPr>
      </w:pPr>
    </w:p>
    <w:p>
      <w:pPr>
        <w:ind w:firstLine="1304"/>
        <w:spacing w:after="0" w:line="250" w:lineRule="auto"/>
        <w:tabs>
          <w:tab w:leader="none" w:pos="1998" w:val="left"/>
        </w:tabs>
        <w:numPr>
          <w:ilvl w:val="0"/>
          <w:numId w:val="102"/>
        </w:numPr>
        <w:rPr>
          <w:rFonts w:ascii="Arial" w:cs="Arial" w:eastAsia="Arial" w:hAnsi="Arial"/>
          <w:sz w:val="22"/>
          <w:szCs w:val="22"/>
          <w:color w:val="010000"/>
        </w:rPr>
      </w:pPr>
      <w:r>
        <w:rPr>
          <w:rFonts w:ascii="Arial" w:cs="Arial" w:eastAsia="Arial" w:hAnsi="Arial"/>
          <w:sz w:val="22"/>
          <w:szCs w:val="22"/>
          <w:u w:val="single" w:color="auto"/>
          <w:color w:val="auto"/>
        </w:rPr>
        <w:t>Seller</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if a Seller is a trust, all references to such Seller in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shall be deemed to include the grantor of such Seller.</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010000"/>
        </w:rPr>
        <w:t xml:space="preserve">7.14 </w:t>
      </w:r>
      <w:r>
        <w:rPr>
          <w:rFonts w:ascii="Arial" w:cs="Arial" w:eastAsia="Arial" w:hAnsi="Arial"/>
          <w:sz w:val="19"/>
          <w:szCs w:val="19"/>
          <w:u w:val="single" w:color="auto"/>
          <w:color w:val="000000"/>
        </w:rPr>
        <w:t>Cooperation with Financing</w:t>
      </w:r>
      <w:r>
        <w:rPr>
          <w:rFonts w:ascii="Arial" w:cs="Arial" w:eastAsia="Arial" w:hAnsi="Arial"/>
          <w:sz w:val="19"/>
          <w:szCs w:val="19"/>
          <w:color w:val="000000"/>
        </w:rPr>
        <w:t>. Prior to the Closing, Sellers and the Company shall use commercially</w:t>
      </w:r>
      <w:r>
        <w:rPr>
          <w:rFonts w:ascii="Arial" w:cs="Arial" w:eastAsia="Arial" w:hAnsi="Arial"/>
          <w:sz w:val="19"/>
          <w:szCs w:val="19"/>
          <w:color w:val="010000"/>
        </w:rPr>
        <w:t xml:space="preserve"> </w:t>
      </w:r>
      <w:r>
        <w:rPr>
          <w:rFonts w:ascii="Arial" w:cs="Arial" w:eastAsia="Arial" w:hAnsi="Arial"/>
          <w:sz w:val="19"/>
          <w:szCs w:val="19"/>
          <w:color w:val="000000"/>
        </w:rPr>
        <w:t>reasonable efforts to cooperate with Purchaser, in each case at Purchaser’s sole expense, in connection with Purchaser’s arrangement of the Financing or Alternative Financing as may be reasonably requested by Purchaser, including using commercially reasonable efforts to: (a) upon reasonable notice at mutually agreed times and places, cause senior management of the Company to participate in a reasonable number of meetings and presentations with the Debt Financing Parties and ratings agencies, (b) assist with the preparation of customary materials for bank information memoranda and similar customary marketing documents reasonably necessary in connection with the Financing or Alternative Financing, (c) furnish Purchaser reasonably promptly with the historical financial statements identified on Exhibit C, paragraph 6 of the Commitment Letter, (d) solely with respect to financial information and data derived from historical books and records, assist Purchaser with the preparation of pro forma financial information and pro forma financial statements, and in each case, only to the extent required to be delivered pursuant to the Commitment Letter, (e) cause senior management of the Company to assist with the preparation of customary materials for ratings agency presentations, (f) (i) take corporate actions reasonably requested by Purchaser to permit the consummation of the Financing, with such actions subject to the occurrence of, and to be effective no earlier than, the Closing Date, (ii) assist with the preparation of credit agreements, pledge and security documents and other definitive financing documents in connection with the Financing, with such documents subject to the occurrence of, and to be effective no earlier than, the Closing Date and such documents to be consistent with the terms and conditions of the Commitment Letter, and (iii) assist Purchaser reasonably with Purchaser’s preparation of any schedules to definitive financing documentation, in each case required to be delivered for the Financing, and otherwise reasonably assist in facilitating the pledging of collateral contemplated by the Financing (</w:t>
      </w:r>
      <w:r>
        <w:rPr>
          <w:rFonts w:ascii="Arial" w:cs="Arial" w:eastAsia="Arial" w:hAnsi="Arial"/>
          <w:sz w:val="19"/>
          <w:szCs w:val="19"/>
          <w:u w:val="single" w:color="auto"/>
          <w:color w:val="000000"/>
        </w:rPr>
        <w:t>provided</w:t>
      </w:r>
      <w:r>
        <w:rPr>
          <w:rFonts w:ascii="Arial" w:cs="Arial" w:eastAsia="Arial" w:hAnsi="Arial"/>
          <w:sz w:val="19"/>
          <w:szCs w:val="19"/>
          <w:color w:val="000000"/>
        </w:rPr>
        <w:t>, that the delivery of any possessory collateral shall not be required prior to the Closing Date), as may be reasonably requested by Purchaser, (g) furnish to Purchaser such other financial information regarding the Company that is necessary or customary for financings of the type contemplated by the Commitment Letter, in each case, as reasonably requested by Purchaser, and (h) at least five</w:t>
      </w:r>
    </w:p>
    <w:p>
      <w:pPr>
        <w:spacing w:after="0" w:line="16" w:lineRule="exact"/>
        <w:rPr>
          <w:sz w:val="20"/>
          <w:szCs w:val="20"/>
          <w:color w:val="auto"/>
        </w:rPr>
      </w:pPr>
    </w:p>
    <w:p>
      <w:pPr>
        <w:jc w:val="both"/>
        <w:ind w:firstLine="8"/>
        <w:spacing w:after="0" w:line="270" w:lineRule="auto"/>
        <w:tabs>
          <w:tab w:leader="none" w:pos="32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Business Days prior to the Closing Date, deliver all documentation and other information required by bank regulatory authorities under applicable “know-your-customer” and anti-money laundering rules and regulations, including the Patriot Act, in order to satisfy the conditions set forth on Exhibit C, paragraph 9 of the Commitment Letter, in each case, to the extent such information is required in writing by Purchaser at least ten (10) Business Days prior to the Closing Date. Notwithstanding the foregoing or anything else contained herein to the contrary, nothing in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shall require the Sellers, the Company or any of their respective Affiliates or representations to provide any financing cooperation that: (i) unreasonably interferes with the ongoing operations of Sellers and the Company, (ii) requires the pre-Closing Board of Directors of the Company to adopt resolutions approving the agreements, documents and instruments pursuant to which the Financing or Alternative Financing is obtained or incur any personal liability, (iii) requires the Company to execute prior to the Closing any definitive financing documents, including any credit or other agreements, pledge or security documents, or other certificates, legal opinions (including requiring the Seller’s Representatives to deliver any legal opinions) or documents in connection with the Financing or Alternative Financing, (iv) requires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9"/>
          <w:szCs w:val="19"/>
          <w:color w:val="auto"/>
        </w:rPr>
        <w:t>Company to take any corporate actions prior to the Closing to permit the consummation of the Financing or the Alternative Financing, (v) requires the Company or Sellers to incur any Liability or pay any consideration or fee, or offer to grant or agree to any financial accommodation in connection with the Financing or Alternative Financing (prior to the Closing, with respect to the Company), (vi) requires the Company to provide cooperation that Sellers reasonably believe would (A) conflict with or result in a violation of any Material Contract, Real Property Lease, Government Contract or any Law, (B) result in the loss of attorney-client privilege or other similar legal privilege, (C) conflict with or violate Sellers’ or the Company’s organizational documents, or</w:t>
      </w:r>
    </w:p>
    <w:p>
      <w:pPr>
        <w:spacing w:after="0" w:line="5" w:lineRule="exact"/>
        <w:rPr>
          <w:sz w:val="20"/>
          <w:szCs w:val="20"/>
          <w:color w:val="auto"/>
        </w:rPr>
      </w:pPr>
    </w:p>
    <w:p>
      <w:pPr>
        <w:jc w:val="both"/>
        <w:ind w:firstLine="8"/>
        <w:spacing w:after="0" w:line="268" w:lineRule="auto"/>
        <w:tabs>
          <w:tab w:leader="none" w:pos="39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cause any of Sellers’ representations, warranties, covenants or other obligations in this Agreement to be breached or any condition precedent set forth in this Agreement to fail to be satisfied, (vii) requires the Company to approach any third parties prior to the Closing to discuss agreements limiting the rights of such third parties, (viii) requires the Company to consent to the pre-filing of UCC-1s or the grant of liens on the Company’s assets prior to the Closing, (ix) requires the Company to provide cooperation to give representations or warranties to any third parties, or the indemnification thereof, by Sellers, or the Company prior to the Closing, (x) requires the Sellers, the Sellers’ Representative and the Company to waive or amend any terms of this Agreement, and (xi) requires Sellers and the Company to deliver any projections, pro forma financial information or any other forward-looking information to any third parties. Purchaser shall indemnify, defend and hold harmless the pre-Closing directors and officers of the Company from and against any liability or obligation to providers of the Financing or Alternative Financing in connection with the Financing or Alternative Financing and any information provided in connection therewith. Purchaser shall promptly upon the Company’s request reimburse the Company for all out-of-pocket costs and expenses (including fees and disbursements of counsel) incurred by the Company in connection with such cooperation and, to the extent Purchaser does not reimburse the Company for any such cost or expense on or prior to the date that is three (3) Business Days prior to the Closing, the Company shall be deemed to have a current asset in the amount of such unreimbursed costs and expenses. All non-public or otherwise confidential information regarding Sellers or the Company obtained by Purchaser pursuant to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shall be kept confidential in accordance with the terms of the Confidentiality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Purchaser shall be permitted to disclose such information to the Debt Financing Parties, rating agencies and additional prospective lenders during syndication of the Financing or any permitted replacement, amended, modified or alternative financing subject to such Financing sources, rating agencies and other prospective lenders and investors entering into customary confidentiality undertakings with respect to such information consistent with the confidentiality provisions of the Commitment Letter (including through a notice and undertaking in a form customarily used in confidential information memoranda for the Financing). The Company hereby consents to the use of its logos in connection with the Financing; provided that such logos are used solely in a manner that is not intended to or reasonably likely to harm or disparage the Company or the reputation or goodwill of the Company.</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010000"/>
        </w:rPr>
        <w:t xml:space="preserve">7.15 </w:t>
      </w:r>
      <w:r>
        <w:rPr>
          <w:rFonts w:ascii="Arial" w:cs="Arial" w:eastAsia="Arial" w:hAnsi="Arial"/>
          <w:sz w:val="21"/>
          <w:szCs w:val="21"/>
          <w:u w:val="single" w:color="auto"/>
          <w:color w:val="000000"/>
        </w:rPr>
        <w:t>Financing</w:t>
      </w:r>
      <w:r>
        <w:rPr>
          <w:rFonts w:ascii="Arial" w:cs="Arial" w:eastAsia="Arial" w:hAnsi="Arial"/>
          <w:sz w:val="21"/>
          <w:szCs w:val="21"/>
          <w:color w:val="000000"/>
        </w:rPr>
        <w:t>. Purchaser shall use reasonable best efforts to take, or cause to be taken, all actions and</w:t>
      </w:r>
      <w:r>
        <w:rPr>
          <w:rFonts w:ascii="Arial" w:cs="Arial" w:eastAsia="Arial" w:hAnsi="Arial"/>
          <w:sz w:val="21"/>
          <w:szCs w:val="21"/>
          <w:color w:val="010000"/>
        </w:rPr>
        <w:t xml:space="preserve"> </w:t>
      </w:r>
      <w:r>
        <w:rPr>
          <w:rFonts w:ascii="Arial" w:cs="Arial" w:eastAsia="Arial" w:hAnsi="Arial"/>
          <w:sz w:val="21"/>
          <w:szCs w:val="21"/>
          <w:color w:val="000000"/>
        </w:rPr>
        <w:t>do, or cause to be done, as promptly as possible, all things necessary, proper or advisable to arrange the Financing on the terms and conditions described in the Commitment Letter, including using reasonable best efforts to maintain in effect the Commitment Letter and using reasonable best efforts to, as promptly as possible, (a) satisfy on a timely basis all conditions applicable to Purchaser obtaining the Financing set forth therein, (b) negotiate and enter into definitive agreements with respect thereto on the terms and conditions contemplated by the Commitment Letter (including any related flex provisions) or on other terms in the aggregate not materially less favorable to Purchaser, (c) timely prepare the necessary offering circulars, private placement memoranda, or other offering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2" w:name="page113"/>
    <w:bookmarkEnd w:id="112"/>
    <w:p>
      <w:pPr>
        <w:jc w:val="both"/>
        <w:spacing w:after="0" w:line="268" w:lineRule="auto"/>
        <w:rPr>
          <w:sz w:val="20"/>
          <w:szCs w:val="20"/>
          <w:color w:val="auto"/>
        </w:rPr>
      </w:pPr>
      <w:r>
        <w:rPr>
          <w:rFonts w:ascii="Arial" w:cs="Arial" w:eastAsia="Arial" w:hAnsi="Arial"/>
          <w:sz w:val="19"/>
          <w:szCs w:val="19"/>
          <w:color w:val="auto"/>
        </w:rPr>
        <w:t>marketing materials with respect to the Financing, (d) commence the syndication activities contemplated by the Commitment Letter and (e) consummate the Financing at or prior to the Closing. Purchaser shall give the Sellers’ Representative prompt notice (and in any event no later than three (3) Business Days following) (i) of any breach in any material respect by any party to the Commitment Letter of which Purchaser becomes aware, (ii) if and when Purchaser becomes aware that any portion of the Financing contemplated by the Commitment Letter may not be available to consummate the Transaction, and (iii) of any termination of the Commitment Letter. Purchaser shall keep the Company and the Sellers’ Representative informed on a reasonably current basis in reasonable detail of the status of Purchaser’s efforts to arrange the Financing or Alternative Financing and provide to the Company executed copies of the definitive documents related to the Financing or Alternative Financing (excluding fees and other commercially sensitive information in any fee letter, including provisions in such fee letter related solely to fees, “flex terms” and economic terms, in each case, that do not adversely affect the conditionality, enforceability, termination or aggregate principal amount of the financing available may be redacted). If any portion of the Financing becomes unavailable on the terms and conditions contemplated in the Commitment Letter, Purchaser shall use reasonable best efforts to obtain alternative financing, including from alternative sources on Commercially Reasonable Terms (“</w:t>
      </w:r>
      <w:r>
        <w:rPr>
          <w:rFonts w:ascii="Arial" w:cs="Arial" w:eastAsia="Arial" w:hAnsi="Arial"/>
          <w:sz w:val="19"/>
          <w:szCs w:val="19"/>
          <w:u w:val="single" w:color="auto"/>
          <w:color w:val="auto"/>
        </w:rPr>
        <w:t>Alternative Financing</w:t>
      </w:r>
      <w:r>
        <w:rPr>
          <w:rFonts w:ascii="Arial" w:cs="Arial" w:eastAsia="Arial" w:hAnsi="Arial"/>
          <w:sz w:val="19"/>
          <w:szCs w:val="19"/>
          <w:color w:val="auto"/>
        </w:rPr>
        <w:t xml:space="preserve">”) as promptly as practicable following the occurrence of such event and the provisions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applicable to the Alternative Financing and such Alternative Financing shall (A) not impose any new or additional condition or otherwise expand any condition to draw and other terms that would reasonably be expected to affect the availability thereof at the Closing and (B) be in an amount that is sufficient, when added to any portion of the Financing that is available, to pay in cash all amounts required to be paid by Purchaser in connection with this Agreement. Purchaser shall (1) comply in all material respects with the Commitment Letter and each definitive agreement with respect thereto (collectively, with the Commitment Letter, the “</w:t>
      </w:r>
      <w:r>
        <w:rPr>
          <w:rFonts w:ascii="Arial" w:cs="Arial" w:eastAsia="Arial" w:hAnsi="Arial"/>
          <w:sz w:val="19"/>
          <w:szCs w:val="19"/>
          <w:u w:val="single" w:color="auto"/>
          <w:color w:val="auto"/>
        </w:rPr>
        <w:t>Debt Documents</w:t>
      </w:r>
      <w:r>
        <w:rPr>
          <w:rFonts w:ascii="Arial" w:cs="Arial" w:eastAsia="Arial" w:hAnsi="Arial"/>
          <w:sz w:val="19"/>
          <w:szCs w:val="19"/>
          <w:color w:val="auto"/>
        </w:rPr>
        <w:t>”), (2) enforce in all material respects its rights under the Commitment Letter, and (3) not permit any material amendment or modification to be made to, or any waiver of any material provision or remedy under, any Debt Document or the fee letter referred to in the Commitment Letter without the prior written consent of the Sellers’ Representative. Purchaser shall provide notice to the Sellers’ Representative promptly upon receiving the Financing or, if applicable, the Alternative Financing. “</w:t>
      </w:r>
      <w:r>
        <w:rPr>
          <w:rFonts w:ascii="Arial" w:cs="Arial" w:eastAsia="Arial" w:hAnsi="Arial"/>
          <w:sz w:val="19"/>
          <w:szCs w:val="19"/>
          <w:u w:val="single" w:color="auto"/>
          <w:color w:val="auto"/>
        </w:rPr>
        <w:t>Commercially Reasonable Terms</w:t>
      </w:r>
      <w:r>
        <w:rPr>
          <w:rFonts w:ascii="Arial" w:cs="Arial" w:eastAsia="Arial" w:hAnsi="Arial"/>
          <w:sz w:val="19"/>
          <w:szCs w:val="19"/>
          <w:color w:val="auto"/>
        </w:rPr>
        <w:t xml:space="preserve">” means debt financing terms available in the market from major international financing institutions to borrowers or issuers with credit ratings comparable to Purchaser (determined giving pro forma effect to the Transaction) for financing comparable to the type of financing contemplated by the Commitment Letter at the time the Alternative Financing is sought. Notwithstanding the foregoing, compliance by Purchaser with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not relieve Purchaser of its obligation to consummate the Transaction, whether or not the Financing or the Alternative Financing is available. Notwithstanding anything herein to the contrary, in no event shall “reasonable best efforts” of Purchaser under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be deemed or construed to require Purchaser to instigate or pursue litigation against any of the Debt Financing Parties.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7.16 </w:t>
      </w:r>
      <w:r>
        <w:rPr>
          <w:rFonts w:ascii="Arial" w:cs="Arial" w:eastAsia="Arial" w:hAnsi="Arial"/>
          <w:sz w:val="19"/>
          <w:szCs w:val="19"/>
          <w:u w:val="single" w:color="auto"/>
          <w:color w:val="000000"/>
        </w:rPr>
        <w:t>Stock Consideration</w:t>
      </w:r>
      <w:r>
        <w:rPr>
          <w:rFonts w:ascii="Arial" w:cs="Arial" w:eastAsia="Arial" w:hAnsi="Arial"/>
          <w:sz w:val="19"/>
          <w:szCs w:val="19"/>
          <w:color w:val="000000"/>
        </w:rPr>
        <w:t>. The Stock Consideration shall consist of Five Hundred Seventy-Three</w:t>
      </w:r>
      <w:r>
        <w:rPr>
          <w:rFonts w:ascii="Arial" w:cs="Arial" w:eastAsia="Arial" w:hAnsi="Arial"/>
          <w:sz w:val="19"/>
          <w:szCs w:val="19"/>
          <w:color w:val="010000"/>
        </w:rPr>
        <w:t xml:space="preserve"> </w:t>
      </w:r>
      <w:r>
        <w:rPr>
          <w:rFonts w:ascii="Arial" w:cs="Arial" w:eastAsia="Arial" w:hAnsi="Arial"/>
          <w:sz w:val="19"/>
          <w:szCs w:val="19"/>
          <w:color w:val="000000"/>
        </w:rPr>
        <w:t xml:space="preserve">Thousand Seven Hundred Ninety-Four (573,794) Purchaser Shares, which shall not be subject to any Purchase Price adjustment contemplated by </w:t>
      </w:r>
      <w:r>
        <w:rPr>
          <w:rFonts w:ascii="Arial" w:cs="Arial" w:eastAsia="Arial" w:hAnsi="Arial"/>
          <w:sz w:val="19"/>
          <w:szCs w:val="19"/>
          <w:u w:val="single" w:color="auto"/>
          <w:color w:val="000000"/>
        </w:rPr>
        <w:t>Section 1.4</w:t>
      </w:r>
      <w:r>
        <w:rPr>
          <w:rFonts w:ascii="Arial" w:cs="Arial" w:eastAsia="Arial" w:hAnsi="Arial"/>
          <w:sz w:val="19"/>
          <w:szCs w:val="19"/>
          <w:color w:val="000000"/>
        </w:rPr>
        <w:t xml:space="preserve"> or any other adjustment between the date of this Agreement and the Closing Date, other than upon any split, subdivision, or combination of Purchaser’s Common Stock pursuant to its Amended and Restated Certificate of Incorporation as currently in effect. Each Seller, in each case solely with respect to such Seller, acknowledges, covenants and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3" w:name="page114"/>
    <w:bookmarkEnd w:id="113"/>
    <w:p>
      <w:pPr>
        <w:jc w:val="both"/>
        <w:ind w:firstLine="1304"/>
        <w:spacing w:after="0" w:line="238" w:lineRule="auto"/>
        <w:tabs>
          <w:tab w:leader="none" w:pos="20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Purchaser Shares constituting the Stock Consideration are “restricted securities” under applicable federal securities laws, and the Securities Act and the rules of the SEC provide in substance that Sellers may dispose of the Purchaser Shares only pursuant to an effective registration statement under the Securities Act or an exemption from registration.</w:t>
      </w:r>
    </w:p>
    <w:p>
      <w:pPr>
        <w:spacing w:after="0" w:line="184" w:lineRule="exact"/>
        <w:rPr>
          <w:rFonts w:ascii="Arial" w:cs="Arial" w:eastAsia="Arial" w:hAnsi="Arial"/>
          <w:sz w:val="22"/>
          <w:szCs w:val="22"/>
          <w:color w:val="auto"/>
        </w:rPr>
      </w:pPr>
    </w:p>
    <w:p>
      <w:pPr>
        <w:ind w:left="1980" w:hanging="676"/>
        <w:spacing w:after="0"/>
        <w:tabs>
          <w:tab w:leader="none" w:pos="1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Purchaser has no obligation or intention to register any of the Purchaser Shares.</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7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Seller shall not offer, transfer, assign, or sell any record or beneficial interest in any of the Purchaser Shares without the prior written consent of Purchaser until the eighteen (18)-month anniversary of the Closing Date (the “</w:t>
      </w:r>
      <w:r>
        <w:rPr>
          <w:rFonts w:ascii="Arial" w:cs="Arial" w:eastAsia="Arial" w:hAnsi="Arial"/>
          <w:sz w:val="19"/>
          <w:szCs w:val="19"/>
          <w:u w:val="single" w:color="auto"/>
          <w:color w:val="auto"/>
        </w:rPr>
        <w:t>Lock-Up Restriction</w:t>
      </w:r>
      <w:r>
        <w:rPr>
          <w:rFonts w:ascii="Arial" w:cs="Arial" w:eastAsia="Arial" w:hAnsi="Arial"/>
          <w:sz w:val="19"/>
          <w:szCs w:val="19"/>
          <w:color w:val="auto"/>
        </w:rPr>
        <w:t xml:space="preserve">”). Upon the six (6)-month anniversary of the Closing Date, the Lock-Up Restriction shall lapse and cease to apply as to one-third (1/3) of the Purchaser Shares received as Stock Consideration by each Seller; and upon the one (1)-year anniversary of the Closing Date, the Lock-Up Restriction shall lapse and cease to apply as to an additional one-third (1/3) of the Purchaser Shares received as Stock Consideration by each Seller (such that, for the avoidance of doubt, only one-third (1/3) of the Purchaser Shares received as Stock Consideration by each Seller shall be subject to the Lock-Up Restriction following the one (1)-year anniversary of the Closing Date). Upon the eighteen (18)-month anniversary of the Closing Date, the Lock-Up Restriction shall lapse and cease to apply as to the remaining Purchaser Shares received as Stock Consideration by each Seller. Upon the lapsing of the Lock-Up Restriction, a Seller may offer, transfer, assign or sell any record or beneficial interest in the Purchaser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offer, transfer, assignment or sale may be effected solely pursuant to the registration provisions of the Securities Act or pursuant to an applicable exemption therefrom and subject to state securities Laws and regulations, as applicable.</w:t>
      </w:r>
    </w:p>
    <w:p>
      <w:pPr>
        <w:spacing w:after="0" w:line="164" w:lineRule="exact"/>
        <w:rPr>
          <w:rFonts w:ascii="Arial" w:cs="Arial" w:eastAsia="Arial" w:hAnsi="Arial"/>
          <w:sz w:val="19"/>
          <w:szCs w:val="19"/>
          <w:color w:val="auto"/>
        </w:rPr>
      </w:pPr>
    </w:p>
    <w:p>
      <w:pPr>
        <w:jc w:val="both"/>
        <w:ind w:firstLine="1304"/>
        <w:spacing w:after="0" w:line="273" w:lineRule="auto"/>
        <w:tabs>
          <w:tab w:leader="none" w:pos="198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Seller will not, from the date of this Agreement through the Closing Date, without the prior written consent of the Company, directly or indirectly, alone or in concert with others: (i) purchase, offer or agree to purchase, or announce an intention to purchase any securities or assets of Purchaser or rights or options to acquire the same; (ii) make, or in any way participate in any “solicitation” of “proxies” to vote or “consents” (as such terms are used in the rules and regulations of the SEC), or seek to advise or influence any Person with respect to the voting of any voting securities of Purchaser; (iii) initiate or support any stockholder proposal with respect to Purchaser; (iv) seek or propose to influence or control Purchaser’s management, board of directors, policies or affairs; (v) disclose any intention, plan or arrangement inconsistent with the foregoing; (vi) form, join or in any way participate in a “group” as defined in Section 13(d)(3) of the Exchange Act in connection with any of the foregoing; or (vii) take any action that, in the sole judgment of Purchaser, may require Purchaser to make a public announcement concerning any of the foregoing.</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7.17 </w:t>
      </w:r>
      <w:r>
        <w:rPr>
          <w:rFonts w:ascii="Arial" w:cs="Arial" w:eastAsia="Arial" w:hAnsi="Arial"/>
          <w:sz w:val="21"/>
          <w:szCs w:val="21"/>
          <w:u w:val="single" w:color="auto"/>
          <w:color w:val="000000"/>
        </w:rPr>
        <w:t>Purchaser RWI Policy</w:t>
      </w:r>
      <w:r>
        <w:rPr>
          <w:rFonts w:ascii="Arial" w:cs="Arial" w:eastAsia="Arial" w:hAnsi="Arial"/>
          <w:sz w:val="21"/>
          <w:szCs w:val="21"/>
          <w:color w:val="000000"/>
        </w:rPr>
        <w:t>. Purchaser has provided to the Sellers’ Representative a true, correct and</w:t>
      </w:r>
      <w:r>
        <w:rPr>
          <w:rFonts w:ascii="Arial" w:cs="Arial" w:eastAsia="Arial" w:hAnsi="Arial"/>
          <w:sz w:val="21"/>
          <w:szCs w:val="21"/>
          <w:color w:val="010000"/>
        </w:rPr>
        <w:t xml:space="preserve"> </w:t>
      </w:r>
      <w:r>
        <w:rPr>
          <w:rFonts w:ascii="Arial" w:cs="Arial" w:eastAsia="Arial" w:hAnsi="Arial"/>
          <w:sz w:val="21"/>
          <w:szCs w:val="21"/>
          <w:color w:val="000000"/>
        </w:rPr>
        <w:t>complete copy of the binder agreement for, and the form of, the RWI Policy. The RWI Policy does not permit, and Purchaser and its Affiliates will not amend, waive or otherwise modify the RWI Policy in any manner that would allow the insurer thereunder or any other Person to subrogate or otherwise make or bring any action or proceedings against any Seller, the Sellers’ Representative or any of their respective Affiliates or any of their respective past, present or future direct or indirect equityholders, stockholders, parents, subsidiaries, trustees, beneficiaries, grantors, directors,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4" w:name="page115"/>
    <w:bookmarkEnd w:id="114"/>
    <w:p>
      <w:pPr>
        <w:jc w:val="both"/>
        <w:spacing w:after="0" w:line="249" w:lineRule="auto"/>
        <w:rPr>
          <w:sz w:val="20"/>
          <w:szCs w:val="20"/>
          <w:color w:val="auto"/>
        </w:rPr>
      </w:pPr>
      <w:r>
        <w:rPr>
          <w:rFonts w:ascii="Arial" w:cs="Arial" w:eastAsia="Arial" w:hAnsi="Arial"/>
          <w:sz w:val="21"/>
          <w:szCs w:val="21"/>
          <w:color w:val="auto"/>
        </w:rPr>
        <w:t>managers, officers, employees, agents, representatives, attorneys, advisors or partners (or the functional equivalent of any of the foregoing positions) of any of the foregoing based upon, arising out of, or related to this Agreement or the Transaction, or the negotiation, execution or performance of this Agreement or the Transactions, except in the case of Fraud by Seller(s). Promptly after the Closing, Purchaser shall provide to the Sellers’ Representative a true, correct and complete copy of the final RWI Policy.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010000"/>
        </w:rPr>
        <w:t xml:space="preserve">7.18 </w:t>
      </w:r>
      <w:r>
        <w:rPr>
          <w:rFonts w:ascii="Arial" w:cs="Arial" w:eastAsia="Arial" w:hAnsi="Arial"/>
          <w:sz w:val="19"/>
          <w:szCs w:val="19"/>
          <w:u w:val="single" w:color="auto"/>
          <w:color w:val="000000"/>
        </w:rPr>
        <w:t>Shareholder Guarantees</w:t>
      </w:r>
      <w:r>
        <w:rPr>
          <w:rFonts w:ascii="Arial" w:cs="Arial" w:eastAsia="Arial" w:hAnsi="Arial"/>
          <w:sz w:val="19"/>
          <w:szCs w:val="19"/>
          <w:color w:val="000000"/>
        </w:rPr>
        <w:t>(b) . At or before the Closing, Purchaser will use reasonable best efforts</w:t>
      </w:r>
      <w:r>
        <w:rPr>
          <w:rFonts w:ascii="Arial" w:cs="Arial" w:eastAsia="Arial" w:hAnsi="Arial"/>
          <w:sz w:val="19"/>
          <w:szCs w:val="19"/>
          <w:color w:val="010000"/>
        </w:rPr>
        <w:t xml:space="preserve"> </w:t>
      </w:r>
      <w:r>
        <w:rPr>
          <w:rFonts w:ascii="Arial" w:cs="Arial" w:eastAsia="Arial" w:hAnsi="Arial"/>
          <w:sz w:val="19"/>
          <w:szCs w:val="19"/>
          <w:color w:val="000000"/>
        </w:rPr>
        <w:t xml:space="preserve">to, and Sellers’ Representative shall reasonably cooperate with Purchaser to, arrange for substitute letters of credit, purchaser guarantees and other obligations to replace any letters of credit, guarantees or other obligations outstanding as of the date hereof that are set forth on </w:t>
      </w:r>
      <w:r>
        <w:rPr>
          <w:rFonts w:ascii="Arial" w:cs="Arial" w:eastAsia="Arial" w:hAnsi="Arial"/>
          <w:sz w:val="19"/>
          <w:szCs w:val="19"/>
          <w:u w:val="single" w:color="auto"/>
          <w:color w:val="000000"/>
        </w:rPr>
        <w:t>Schedule 7.18</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Shareholder Guarantees</w:t>
      </w:r>
      <w:r>
        <w:rPr>
          <w:rFonts w:ascii="Arial" w:cs="Arial" w:eastAsia="Arial" w:hAnsi="Arial"/>
          <w:sz w:val="19"/>
          <w:szCs w:val="19"/>
          <w:color w:val="000000"/>
        </w:rPr>
        <w:t>”) and Purchaser shall use its reasonable best efforts to obtain from the creditor, beneficiary, landlord or other counterparty a full release (in a form satisfactory to Sellers’ Representative) of any Shareholder or their respective Affiliates (other than the Company) liable, directly or indirectly, for reimbursement to the creditor or fulfillment of other obligations to a beneficiary, landlord or counterparty in connection with amounts drawn under or paid such Shareholder Guarantees (collectively, the “</w:t>
      </w:r>
      <w:r>
        <w:rPr>
          <w:rFonts w:ascii="Arial" w:cs="Arial" w:eastAsia="Arial" w:hAnsi="Arial"/>
          <w:sz w:val="19"/>
          <w:szCs w:val="19"/>
          <w:u w:val="single" w:color="auto"/>
          <w:color w:val="000000"/>
        </w:rPr>
        <w:t>Guaranteed Obligations</w:t>
      </w:r>
      <w:r>
        <w:rPr>
          <w:rFonts w:ascii="Arial" w:cs="Arial" w:eastAsia="Arial" w:hAnsi="Arial"/>
          <w:sz w:val="19"/>
          <w:szCs w:val="19"/>
          <w:color w:val="000000"/>
        </w:rPr>
        <w:t xml:space="preserve">”). To the extent any Guaranteed Obligations are not fully released at or prior to Closing, effective from and after the Closing Date, Purchaser will, and will cause each of its Affiliates (including the Company after the Closing) to, (i) indemnify, defend and hold harmless Shareholders and their Affiliates against, and reimburse Shareholders and their Affiliates for, any Guaranteed Obligations arising after the Closing Date, including costs or expenses arising after the Closing Date, in connection with such Shareholder Guarantees, including Shareholders’ and their Affiliates’ expenses in maintaining such Shareholder Guarantees after the Closing Date, whether or not any such Shareholder Guarantee is drawn upon or required to be performed, and will in any event promptly reimburse the Shareholders and their Affiliates to the extent any Shareholder Guarantee is called upon and the Shareholders or their Affiliates make any payment or are obligated to reimburse the party issuing such Shareholder Guarantee for any such Guaranteed Obligations, costs or expenses arising after the Closing Date and (ii) not, without the Sellers’ Representatives’ prior written consent, amend in any manner adverse to Sellers or any of their Affiliates, or extend (or permit the extension of), any Shareholder Guarantee or any obligation supported by any Shareholder Guarantee (including any Real Property Lease). Sellers’ Representative shall in good faith cooperate with Purchaser and provide Purchaser all information reasonably requested by Purchaser to facilitate the performance of its obligations under this </w:t>
      </w:r>
      <w:r>
        <w:rPr>
          <w:rFonts w:ascii="Arial" w:cs="Arial" w:eastAsia="Arial" w:hAnsi="Arial"/>
          <w:sz w:val="19"/>
          <w:szCs w:val="19"/>
          <w:u w:val="single" w:color="auto"/>
          <w:color w:val="000000"/>
        </w:rPr>
        <w:t>Section 7.18</w:t>
      </w:r>
      <w:r>
        <w:rPr>
          <w:rFonts w:ascii="Arial" w:cs="Arial" w:eastAsia="Arial" w:hAnsi="Arial"/>
          <w:sz w:val="19"/>
          <w:szCs w:val="19"/>
          <w:color w:val="000000"/>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u w:val="single" w:color="auto"/>
          <w:color w:val="000000"/>
        </w:rPr>
        <w:t>Conditions Precedent to Obligation of the Parties</w:t>
      </w:r>
      <w:r>
        <w:rPr>
          <w:rFonts w:ascii="Arial" w:cs="Arial" w:eastAsia="Arial" w:hAnsi="Arial"/>
          <w:sz w:val="22"/>
          <w:szCs w:val="22"/>
          <w:color w:val="000000"/>
        </w:rPr>
        <w:t>. The respective obligation of each Party to</w:t>
      </w:r>
      <w:r>
        <w:rPr>
          <w:rFonts w:ascii="Arial" w:cs="Arial" w:eastAsia="Arial" w:hAnsi="Arial"/>
          <w:sz w:val="22"/>
          <w:szCs w:val="22"/>
          <w:color w:val="010000"/>
        </w:rPr>
        <w:t xml:space="preserve"> </w:t>
      </w:r>
      <w:r>
        <w:rPr>
          <w:rFonts w:ascii="Arial" w:cs="Arial" w:eastAsia="Arial" w:hAnsi="Arial"/>
          <w:sz w:val="22"/>
          <w:szCs w:val="22"/>
          <w:color w:val="000000"/>
        </w:rPr>
        <w:t>consummate the Transaction is subject to the satisfaction or waiver, in writing, on or prior to the Closing Date of the following conditions:</w:t>
      </w:r>
    </w:p>
    <w:p>
      <w:pPr>
        <w:spacing w:after="0" w:line="186" w:lineRule="exact"/>
        <w:rPr>
          <w:sz w:val="20"/>
          <w:szCs w:val="20"/>
          <w:color w:val="auto"/>
        </w:rPr>
      </w:pPr>
    </w:p>
    <w:p>
      <w:pPr>
        <w:jc w:val="both"/>
        <w:ind w:firstLine="1304"/>
        <w:spacing w:after="0" w:line="236" w:lineRule="auto"/>
        <w:tabs>
          <w:tab w:leader="none" w:pos="216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there shall not be in effect any Order by a U.S. Governmental Authority of competent jurisdiction restraining, enjoining or otherwise prohibiting the consummation of the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a Party shall not be entitled to rely on the failure of this condition to be satisfied if such Order was initiated by such Party or an Affiliate of such Party and (ii) prior to asserting the failure of this condition the Party asserting such failure shall have used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commercially reasonable efforts to have such Order vacated; and</w:t>
      </w:r>
    </w:p>
    <w:p>
      <w:pPr>
        <w:spacing w:after="0" w:line="206" w:lineRule="exact"/>
        <w:rPr>
          <w:sz w:val="20"/>
          <w:szCs w:val="20"/>
          <w:color w:val="auto"/>
        </w:rPr>
      </w:pPr>
    </w:p>
    <w:p>
      <w:pPr>
        <w:ind w:firstLine="1304"/>
        <w:spacing w:after="0" w:line="250" w:lineRule="auto"/>
        <w:tabs>
          <w:tab w:leader="none" w:pos="209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all waiting periods and other approvals applicable to the Transaction under the HSR Act shall have expired or been earlier terminated.</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Conditions Precedent to Obligation of Purchaser</w:t>
      </w:r>
      <w:r>
        <w:rPr>
          <w:rFonts w:ascii="Arial" w:cs="Arial" w:eastAsia="Arial" w:hAnsi="Arial"/>
          <w:sz w:val="22"/>
          <w:szCs w:val="22"/>
          <w:color w:val="000000"/>
        </w:rPr>
        <w:t>. The obligation of Purchaser to consummate the</w:t>
      </w:r>
      <w:r>
        <w:rPr>
          <w:rFonts w:ascii="Arial" w:cs="Arial" w:eastAsia="Arial" w:hAnsi="Arial"/>
          <w:sz w:val="22"/>
          <w:szCs w:val="22"/>
          <w:color w:val="010000"/>
        </w:rPr>
        <w:t xml:space="preserve"> </w:t>
      </w:r>
      <w:r>
        <w:rPr>
          <w:rFonts w:ascii="Arial" w:cs="Arial" w:eastAsia="Arial" w:hAnsi="Arial"/>
          <w:sz w:val="22"/>
          <w:szCs w:val="22"/>
          <w:color w:val="000000"/>
        </w:rPr>
        <w:t>Transaction is further subject to the satisfaction or waiver, in writing, on or prior to the Closing Date of the following conditions:</w:t>
      </w:r>
    </w:p>
    <w:p>
      <w:pPr>
        <w:spacing w:after="0" w:line="186" w:lineRule="exact"/>
        <w:rPr>
          <w:sz w:val="20"/>
          <w:szCs w:val="20"/>
          <w:color w:val="auto"/>
        </w:rPr>
      </w:pPr>
    </w:p>
    <w:p>
      <w:pPr>
        <w:jc w:val="both"/>
        <w:ind w:left="340" w:firstLine="1288"/>
        <w:spacing w:after="0" w:line="272" w:lineRule="auto"/>
        <w:tabs>
          <w:tab w:leader="none" w:pos="2402"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 xml:space="preserve">(i) other than the representations and warranties of the Company set forth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3.2(a)</w:t>
      </w:r>
      <w:r>
        <w:rPr>
          <w:rFonts w:ascii="Arial" w:cs="Arial" w:eastAsia="Arial" w:hAnsi="Arial"/>
          <w:sz w:val="19"/>
          <w:szCs w:val="19"/>
          <w:color w:val="auto"/>
        </w:rPr>
        <w:t xml:space="preserve">, </w:t>
      </w:r>
      <w:r>
        <w:rPr>
          <w:rFonts w:ascii="Arial" w:cs="Arial" w:eastAsia="Arial" w:hAnsi="Arial"/>
          <w:sz w:val="19"/>
          <w:szCs w:val="19"/>
          <w:u w:val="single" w:color="auto"/>
          <w:color w:val="auto"/>
        </w:rPr>
        <w:t>3.2(b)(i)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3.20</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Company Fundamental Representations</w:t>
      </w:r>
      <w:r>
        <w:rPr>
          <w:rFonts w:ascii="Arial" w:cs="Arial" w:eastAsia="Arial" w:hAnsi="Arial"/>
          <w:sz w:val="19"/>
          <w:szCs w:val="19"/>
          <w:color w:val="auto"/>
        </w:rPr>
        <w:t xml:space="preserve">”), the representations and warranties of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be true and correct (disregarding all qualifications or limitations as to “materiality,” “Company Material Adverse Effect” and words of similar import set forth therein, except with respect to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and except for the terms “Material Contract”, “Material Customer” and “Material Vendor”) as of the Closing Date with the same force and effect as if made on and as of the Closing Date (other than those representations and warranties which address matters only as of a particular date, which shall have been true and correct only as of such particular date), except in each case where the failure of such representations and warranties to be so true and correct would not have, individually or in the aggregate, a Company Material Adverse Effect, and (ii) the Company Fundamental Representations shall be true and correct as of the Closing Date in all respects, other than de minimis inaccuracies, with the same force and effect as if made on and as of the Closing Date, and Purchaser shall have received a certificate signed by an executive officer of the Company, dated as of the Closing Date, to the foregoing effect;</w:t>
      </w:r>
    </w:p>
    <w:p>
      <w:pPr>
        <w:spacing w:after="0" w:line="155" w:lineRule="exact"/>
        <w:rPr>
          <w:rFonts w:ascii="Arial" w:cs="Arial" w:eastAsia="Arial" w:hAnsi="Arial"/>
          <w:sz w:val="19"/>
          <w:szCs w:val="19"/>
          <w:color w:val="010000"/>
        </w:rPr>
      </w:pPr>
    </w:p>
    <w:p>
      <w:pPr>
        <w:jc w:val="both"/>
        <w:ind w:left="340" w:firstLine="1288"/>
        <w:spacing w:after="0" w:line="244" w:lineRule="auto"/>
        <w:tabs>
          <w:tab w:leader="none" w:pos="2495"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 xml:space="preserve">(i) other than with respect to the representation and warranties in </w:t>
      </w:r>
      <w:r>
        <w:rPr>
          <w:rFonts w:ascii="Arial" w:cs="Arial" w:eastAsia="Arial" w:hAnsi="Arial"/>
          <w:sz w:val="21"/>
          <w:szCs w:val="21"/>
          <w:u w:val="single" w:color="auto"/>
          <w:color w:val="auto"/>
        </w:rPr>
        <w:t>Sections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u w:val="single" w:color="auto"/>
          <w:color w:val="auto"/>
        </w:rPr>
        <w:t>4.3(a)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4.5</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Seller Fundamental Representations</w:t>
      </w:r>
      <w:r>
        <w:rPr>
          <w:rFonts w:ascii="Arial" w:cs="Arial" w:eastAsia="Arial" w:hAnsi="Arial"/>
          <w:sz w:val="21"/>
          <w:szCs w:val="21"/>
          <w:color w:val="auto"/>
        </w:rPr>
        <w:t xml:space="preserve">”), the representations and warranties of each Seller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shall be true and correct in all material respects (disregarding all qualifications or limitations as to “materiality,” “Company Material Adverse Effect” and words of similar import set forth therein) as of the Closing Date with the same force and effect as if made on and as of the Closing Date (other than those representations and warranties which address matters only as of a particular date, which shall have been true and correct in all material respects only as of such particular date) and (ii) the Seller Fundamental Representations shall be true and correct in all respects, other than de minimis inaccuracies, as of the Closing Date with the same force and effect as if made on and as of the Closing Date, and Purchaser shall have received a certificate signed by the Sellers’ Representative (on behalf of each Seller), dated as of the Closing Date, to the foregoing effect;</w:t>
      </w:r>
    </w:p>
    <w:p>
      <w:pPr>
        <w:spacing w:after="0" w:line="188" w:lineRule="exact"/>
        <w:rPr>
          <w:rFonts w:ascii="Arial" w:cs="Arial" w:eastAsia="Arial" w:hAnsi="Arial"/>
          <w:sz w:val="21"/>
          <w:szCs w:val="21"/>
          <w:color w:val="010000"/>
        </w:rPr>
      </w:pPr>
    </w:p>
    <w:p>
      <w:pPr>
        <w:jc w:val="both"/>
        <w:ind w:left="340" w:firstLine="1288"/>
        <w:spacing w:after="0" w:line="252" w:lineRule="auto"/>
        <w:tabs>
          <w:tab w:leader="none" w:pos="2564"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the Company shall have performed and complied in all material respects with all agreements and covenants required by this Agreement to be performed or complied with by the Company on or prior to the Closing Date, and Purchaser shall have received a certificate signed by an executive officer of the Company, dated as of the Closing Date, to the foregoing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16" w:name="page117"/>
    <w:bookmarkEnd w:id="116"/>
    <w:p>
      <w:pPr>
        <w:jc w:val="both"/>
        <w:ind w:left="340" w:firstLine="1288"/>
        <w:spacing w:after="0" w:line="252" w:lineRule="auto"/>
        <w:tabs>
          <w:tab w:leader="none" w:pos="2644" w:val="left"/>
        </w:tabs>
        <w:numPr>
          <w:ilvl w:val="0"/>
          <w:numId w:val="109"/>
        </w:numPr>
        <w:rPr>
          <w:rFonts w:ascii="Arial" w:cs="Arial" w:eastAsia="Arial" w:hAnsi="Arial"/>
          <w:sz w:val="21"/>
          <w:szCs w:val="21"/>
          <w:color w:val="010000"/>
        </w:rPr>
      </w:pPr>
      <w:r>
        <w:rPr>
          <w:rFonts w:ascii="Arial" w:cs="Arial" w:eastAsia="Arial" w:hAnsi="Arial"/>
          <w:sz w:val="21"/>
          <w:szCs w:val="21"/>
          <w:color w:val="auto"/>
        </w:rPr>
        <w:t>each Seller shall have performed and complied in all material respects with all agreements and covenants required by this Agreement to be performed or complied with by Sellers on or prior to the Closing Date, and Purchaser shall have received a certificate signed by the Sellers’ Representative (on behalf of each Seller), dated as of the Closing Date, to the foregoing effect; and</w:t>
      </w:r>
    </w:p>
    <w:p>
      <w:pPr>
        <w:spacing w:after="0" w:line="173" w:lineRule="exact"/>
        <w:rPr>
          <w:rFonts w:ascii="Arial" w:cs="Arial" w:eastAsia="Arial" w:hAnsi="Arial"/>
          <w:sz w:val="21"/>
          <w:szCs w:val="21"/>
          <w:color w:val="010000"/>
        </w:rPr>
      </w:pPr>
    </w:p>
    <w:p>
      <w:pPr>
        <w:ind w:left="2620" w:hanging="992"/>
        <w:spacing w:after="0"/>
        <w:tabs>
          <w:tab w:leader="none" w:pos="2620" w:val="left"/>
        </w:tabs>
        <w:numPr>
          <w:ilvl w:val="0"/>
          <w:numId w:val="109"/>
        </w:numPr>
        <w:rPr>
          <w:rFonts w:ascii="Arial" w:cs="Arial" w:eastAsia="Arial" w:hAnsi="Arial"/>
          <w:sz w:val="21"/>
          <w:szCs w:val="21"/>
          <w:color w:val="010000"/>
        </w:rPr>
      </w:pPr>
      <w:r>
        <w:rPr>
          <w:rFonts w:ascii="Arial" w:cs="Arial" w:eastAsia="Arial" w:hAnsi="Arial"/>
          <w:sz w:val="21"/>
          <w:szCs w:val="21"/>
          <w:color w:val="auto"/>
        </w:rPr>
        <w:t>no Company Material Adverse Effect shall have occurred since the date of this</w:t>
      </w:r>
    </w:p>
    <w:p>
      <w:pPr>
        <w:spacing w:after="0" w:line="19" w:lineRule="exact"/>
        <w:rPr>
          <w:rFonts w:ascii="Arial" w:cs="Arial" w:eastAsia="Arial" w:hAnsi="Arial"/>
          <w:sz w:val="21"/>
          <w:szCs w:val="21"/>
          <w:color w:val="010000"/>
        </w:rPr>
      </w:pPr>
    </w:p>
    <w:p>
      <w:pPr>
        <w:ind w:left="340"/>
        <w:spacing w:after="0"/>
        <w:rPr>
          <w:rFonts w:ascii="Arial" w:cs="Arial" w:eastAsia="Arial" w:hAnsi="Arial"/>
          <w:sz w:val="21"/>
          <w:szCs w:val="21"/>
          <w:color w:val="010000"/>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8.3 </w:t>
      </w:r>
      <w:r>
        <w:rPr>
          <w:rFonts w:ascii="Arial" w:cs="Arial" w:eastAsia="Arial" w:hAnsi="Arial"/>
          <w:sz w:val="22"/>
          <w:szCs w:val="22"/>
          <w:u w:val="single" w:color="auto"/>
          <w:color w:val="000000"/>
        </w:rPr>
        <w:t>Conditions Precedent to Obligation of Sellers</w:t>
      </w:r>
      <w:r>
        <w:rPr>
          <w:rFonts w:ascii="Arial" w:cs="Arial" w:eastAsia="Arial" w:hAnsi="Arial"/>
          <w:sz w:val="22"/>
          <w:szCs w:val="22"/>
          <w:color w:val="000000"/>
        </w:rPr>
        <w:t>. The obligation of each Seller to consummate the</w:t>
      </w:r>
      <w:r>
        <w:rPr>
          <w:rFonts w:ascii="Arial" w:cs="Arial" w:eastAsia="Arial" w:hAnsi="Arial"/>
          <w:sz w:val="22"/>
          <w:szCs w:val="22"/>
          <w:color w:val="010000"/>
        </w:rPr>
        <w:t xml:space="preserve"> </w:t>
      </w:r>
      <w:r>
        <w:rPr>
          <w:rFonts w:ascii="Arial" w:cs="Arial" w:eastAsia="Arial" w:hAnsi="Arial"/>
          <w:sz w:val="22"/>
          <w:szCs w:val="22"/>
          <w:color w:val="000000"/>
        </w:rPr>
        <w:t>Transaction is further subject to the satisfaction or waiver, in writing, on or prior to the Closing Date of the following conditions:</w:t>
      </w:r>
    </w:p>
    <w:p>
      <w:pPr>
        <w:spacing w:after="0" w:line="186" w:lineRule="exact"/>
        <w:rPr>
          <w:sz w:val="20"/>
          <w:szCs w:val="20"/>
          <w:color w:val="auto"/>
        </w:rPr>
      </w:pPr>
    </w:p>
    <w:p>
      <w:pPr>
        <w:jc w:val="both"/>
        <w:ind w:left="340" w:firstLine="1288"/>
        <w:spacing w:after="0" w:line="275" w:lineRule="auto"/>
        <w:tabs>
          <w:tab w:leader="none" w:pos="2375"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 xml:space="preserve">the representations and warranties of Purchaser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true and correct (disregarding all qualifications or limitations as to “materiality,” “Purchaser Material Adverse Effect” and words of similar import set forth therein) as of the Closing Date with the same force and effect as if made on and as of the Closing Date (other than those representations and warranties which address matters only as of a particular date, which shall have been true and correct only as of such particular date), except in each case where the failure of such representations and warranties to be so true and correct would not have, individually or in the aggregate, a Purchaser Material Adverse Effect, and the Sellers’ Representative shall have received a certificate signed by an authorized officer of Purchaser, dated as of the Closing Date, to the foregoing effect;</w:t>
      </w:r>
    </w:p>
    <w:p>
      <w:pPr>
        <w:spacing w:after="0" w:line="157" w:lineRule="exact"/>
        <w:rPr>
          <w:rFonts w:ascii="Arial" w:cs="Arial" w:eastAsia="Arial" w:hAnsi="Arial"/>
          <w:sz w:val="19"/>
          <w:szCs w:val="19"/>
          <w:color w:val="010000"/>
        </w:rPr>
      </w:pPr>
    </w:p>
    <w:p>
      <w:pPr>
        <w:jc w:val="both"/>
        <w:ind w:left="340" w:firstLine="1288"/>
        <w:spacing w:after="0" w:line="287" w:lineRule="auto"/>
        <w:tabs>
          <w:tab w:leader="none" w:pos="2320"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Purchaser shall have performed and complied in all material respects with all covenants and agreements required by this Agreement to be performed or complied with by Purchaser on or prior to the Closing Date, and the Sellers’ Representative shall have received a certificate signed by an authorized executive officer of Purchaser, dated as of the Closing Date, to the foregoing effect; and</w:t>
      </w:r>
    </w:p>
    <w:p>
      <w:pPr>
        <w:spacing w:after="0" w:line="142" w:lineRule="exact"/>
        <w:rPr>
          <w:rFonts w:ascii="Arial" w:cs="Arial" w:eastAsia="Arial" w:hAnsi="Arial"/>
          <w:sz w:val="19"/>
          <w:szCs w:val="19"/>
          <w:color w:val="010000"/>
        </w:rPr>
      </w:pPr>
    </w:p>
    <w:p>
      <w:pPr>
        <w:ind w:left="2320" w:hanging="692"/>
        <w:spacing w:after="0"/>
        <w:tabs>
          <w:tab w:leader="none" w:pos="2320"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 xml:space="preserve">Purchaser shall have paid the Closing Payments due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w:t>
      </w:r>
    </w:p>
    <w:p>
      <w:pPr>
        <w:spacing w:after="0" w:line="42" w:lineRule="exact"/>
        <w:rPr>
          <w:rFonts w:ascii="Arial" w:cs="Arial" w:eastAsia="Arial" w:hAnsi="Arial"/>
          <w:sz w:val="19"/>
          <w:szCs w:val="19"/>
          <w:color w:val="010000"/>
        </w:rPr>
      </w:pPr>
    </w:p>
    <w:p>
      <w:pPr>
        <w:ind w:left="340"/>
        <w:spacing w:after="0"/>
        <w:rPr>
          <w:rFonts w:ascii="Arial" w:cs="Arial" w:eastAsia="Arial" w:hAnsi="Arial"/>
          <w:sz w:val="19"/>
          <w:szCs w:val="19"/>
          <w:color w:val="010000"/>
        </w:rPr>
      </w:pP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prior to the Closing as follows:</w:t>
      </w:r>
    </w:p>
    <w:p>
      <w:pPr>
        <w:spacing w:after="0" w:line="206" w:lineRule="exact"/>
        <w:rPr>
          <w:sz w:val="20"/>
          <w:szCs w:val="20"/>
          <w:color w:val="auto"/>
        </w:rPr>
      </w:pPr>
    </w:p>
    <w:p>
      <w:pPr>
        <w:ind w:left="2500" w:hanging="872"/>
        <w:spacing w:after="0"/>
        <w:tabs>
          <w:tab w:leader="none" w:pos="2500" w:val="left"/>
        </w:tabs>
        <w:numPr>
          <w:ilvl w:val="0"/>
          <w:numId w:val="111"/>
        </w:numPr>
        <w:rPr>
          <w:rFonts w:ascii="Arial" w:cs="Arial" w:eastAsia="Arial" w:hAnsi="Arial"/>
          <w:sz w:val="19"/>
          <w:szCs w:val="19"/>
          <w:color w:val="010000"/>
        </w:rPr>
      </w:pPr>
      <w:r>
        <w:rPr>
          <w:rFonts w:ascii="Arial" w:cs="Arial" w:eastAsia="Arial" w:hAnsi="Arial"/>
          <w:sz w:val="19"/>
          <w:szCs w:val="19"/>
          <w:color w:val="auto"/>
        </w:rPr>
        <w:t>by mutual written consent of the Sellers’ Representative (on behalf of Sellers) and</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Purchaser;</w:t>
      </w:r>
    </w:p>
    <w:p>
      <w:pPr>
        <w:spacing w:after="0" w:line="188" w:lineRule="exact"/>
        <w:rPr>
          <w:sz w:val="20"/>
          <w:szCs w:val="20"/>
          <w:color w:val="auto"/>
        </w:rPr>
      </w:pPr>
    </w:p>
    <w:p>
      <w:pPr>
        <w:jc w:val="both"/>
        <w:ind w:left="340" w:firstLine="1288"/>
        <w:spacing w:after="0" w:line="235" w:lineRule="auto"/>
        <w:tabs>
          <w:tab w:leader="none" w:pos="2414"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at the election of the Sellers’ Representative (on behalf of Sellers) or Purchaser on or after the date that is sixty (60) days after the date hereof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if the Closing shall not have occurred by the close of business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if the Closing shall not have occurred because the condition set forth in </w:t>
      </w:r>
      <w:r>
        <w:rPr>
          <w:rFonts w:ascii="Arial" w:cs="Arial" w:eastAsia="Arial" w:hAnsi="Arial"/>
          <w:sz w:val="22"/>
          <w:szCs w:val="22"/>
          <w:u w:val="single" w:color="auto"/>
          <w:color w:val="auto"/>
        </w:rPr>
        <w:t>Section 8.1(b)</w:t>
      </w:r>
      <w:r>
        <w:rPr>
          <w:rFonts w:ascii="Arial" w:cs="Arial" w:eastAsia="Arial" w:hAnsi="Arial"/>
          <w:sz w:val="22"/>
          <w:szCs w:val="22"/>
          <w:color w:val="auto"/>
        </w:rPr>
        <w:t xml:space="preserve"> has not been fulfilled and (ii) all of the other conditions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have been satisfied or waived (other than those conditions that can by their terms only be satisfied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17" w:name="page118"/>
    <w:bookmarkEnd w:id="117"/>
    <w:p>
      <w:pPr>
        <w:jc w:val="both"/>
        <w:ind w:left="340"/>
        <w:spacing w:after="0" w:line="235" w:lineRule="auto"/>
        <w:rPr>
          <w:sz w:val="20"/>
          <w:szCs w:val="20"/>
          <w:color w:val="auto"/>
        </w:rPr>
      </w:pPr>
      <w:r>
        <w:rPr>
          <w:rFonts w:ascii="Arial" w:cs="Arial" w:eastAsia="Arial" w:hAnsi="Arial"/>
          <w:sz w:val="22"/>
          <w:szCs w:val="22"/>
          <w:color w:val="auto"/>
        </w:rPr>
        <w:t xml:space="preserve">the Closing, provided that such conditions are not incapable of being performed at the Closing), then the Outside Date shall be the date that is one hundred eighty (180) days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further, that the right to terminate this Agreement under this </w:t>
      </w:r>
      <w:r>
        <w:rPr>
          <w:rFonts w:ascii="Arial" w:cs="Arial" w:eastAsia="Arial" w:hAnsi="Arial"/>
          <w:sz w:val="22"/>
          <w:szCs w:val="22"/>
          <w:u w:val="single" w:color="auto"/>
          <w:color w:val="auto"/>
        </w:rPr>
        <w:t>Section 9.1(b)</w:t>
      </w:r>
      <w:r>
        <w:rPr>
          <w:rFonts w:ascii="Arial" w:cs="Arial" w:eastAsia="Arial" w:hAnsi="Arial"/>
          <w:sz w:val="22"/>
          <w:szCs w:val="22"/>
          <w:color w:val="auto"/>
        </w:rPr>
        <w:t xml:space="preserve"> shall not be available to a Party if such Party is in material breach of any of its covenants or agreements under this Agreement or to any Party whose breach of this Agreement has been the primary cause of the failure of the Closing to have occurred by the Outside Date;</w:t>
      </w:r>
    </w:p>
    <w:p>
      <w:pPr>
        <w:spacing w:after="0" w:line="188" w:lineRule="exact"/>
        <w:rPr>
          <w:sz w:val="20"/>
          <w:szCs w:val="20"/>
          <w:color w:val="auto"/>
        </w:rPr>
      </w:pPr>
    </w:p>
    <w:p>
      <w:pPr>
        <w:jc w:val="both"/>
        <w:ind w:left="340" w:firstLine="1288"/>
        <w:spacing w:after="0" w:line="282" w:lineRule="auto"/>
        <w:tabs>
          <w:tab w:leader="none" w:pos="2443" w:val="left"/>
        </w:tabs>
        <w:numPr>
          <w:ilvl w:val="0"/>
          <w:numId w:val="113"/>
        </w:numPr>
        <w:rPr>
          <w:rFonts w:ascii="Arial" w:cs="Arial" w:eastAsia="Arial" w:hAnsi="Arial"/>
          <w:sz w:val="19"/>
          <w:szCs w:val="19"/>
          <w:color w:val="010000"/>
        </w:rPr>
      </w:pPr>
      <w:r>
        <w:rPr>
          <w:rFonts w:ascii="Arial" w:cs="Arial" w:eastAsia="Arial" w:hAnsi="Arial"/>
          <w:sz w:val="19"/>
          <w:szCs w:val="19"/>
          <w:color w:val="auto"/>
        </w:rPr>
        <w:t xml:space="preserve">by the Sellers’ Representative (on behalf of Sellers) or Purchaser if there shall be in effect a final, nonappealable Order of a Governmental Authority of competent jurisdiction restraining, enjoining or otherwise prohibiting the consummation of the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shall not be available to a Party if such Order was primarily due to the failure of such Party to perform any of its covenants or agreements under this Agreement;</w:t>
      </w:r>
    </w:p>
    <w:p>
      <w:pPr>
        <w:spacing w:after="0" w:line="147" w:lineRule="exact"/>
        <w:rPr>
          <w:rFonts w:ascii="Arial" w:cs="Arial" w:eastAsia="Arial" w:hAnsi="Arial"/>
          <w:sz w:val="19"/>
          <w:szCs w:val="19"/>
          <w:color w:val="010000"/>
        </w:rPr>
      </w:pPr>
    </w:p>
    <w:p>
      <w:pPr>
        <w:jc w:val="both"/>
        <w:ind w:left="340" w:firstLine="1288"/>
        <w:spacing w:after="0" w:line="245" w:lineRule="auto"/>
        <w:tabs>
          <w:tab w:leader="none" w:pos="2333" w:val="left"/>
        </w:tabs>
        <w:numPr>
          <w:ilvl w:val="0"/>
          <w:numId w:val="113"/>
        </w:numPr>
        <w:rPr>
          <w:rFonts w:ascii="Arial" w:cs="Arial" w:eastAsia="Arial" w:hAnsi="Arial"/>
          <w:sz w:val="21"/>
          <w:szCs w:val="21"/>
          <w:color w:val="010000"/>
        </w:rPr>
      </w:pPr>
      <w:r>
        <w:rPr>
          <w:rFonts w:ascii="Arial" w:cs="Arial" w:eastAsia="Arial" w:hAnsi="Arial"/>
          <w:sz w:val="21"/>
          <w:szCs w:val="21"/>
          <w:color w:val="auto"/>
        </w:rPr>
        <w:t xml:space="preserve">by Purchaser, if any Seller and/or the Company shall have breached any representation, warranty, covenant or other agreement contained in this Agreement that would give rise to the failure of a condition set forth in </w:t>
      </w:r>
      <w:r>
        <w:rPr>
          <w:rFonts w:ascii="Arial" w:cs="Arial" w:eastAsia="Arial" w:hAnsi="Arial"/>
          <w:sz w:val="21"/>
          <w:szCs w:val="21"/>
          <w:u w:val="single" w:color="auto"/>
          <w:color w:val="auto"/>
        </w:rPr>
        <w:t>Section 8.2(a)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8.2(b)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8.2(c)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8.2(d)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8.2(e)</w:t>
      </w:r>
      <w:r>
        <w:rPr>
          <w:rFonts w:ascii="Arial" w:cs="Arial" w:eastAsia="Arial" w:hAnsi="Arial"/>
          <w:sz w:val="21"/>
          <w:szCs w:val="21"/>
          <w:color w:val="auto"/>
        </w:rPr>
        <w:t xml:space="preserve">, which breach either (i) is not cured within thirty (30) days following Sellers’ Representative’s receipt of written notice of such breach from Purchaser, (ii) by its nature, cannot be cured prior to the Outside Date or (iii) by its nature, is incapable of being cured;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9.1(d)</w:t>
      </w:r>
      <w:r>
        <w:rPr>
          <w:rFonts w:ascii="Arial" w:cs="Arial" w:eastAsia="Arial" w:hAnsi="Arial"/>
          <w:sz w:val="21"/>
          <w:szCs w:val="21"/>
          <w:color w:val="auto"/>
        </w:rPr>
        <w:t xml:space="preserve"> shall not be available to Purchaser if Purchaser (x) is in material breach of any representation, warranty, covenant or other agreement contained in this Agreement or (y) fails to exercise such termination right within ten (10) days following the expiration of the thirty (30)-day period described in clause (i) above; or</w:t>
      </w:r>
    </w:p>
    <w:p>
      <w:pPr>
        <w:spacing w:after="0" w:line="180" w:lineRule="exact"/>
        <w:rPr>
          <w:rFonts w:ascii="Arial" w:cs="Arial" w:eastAsia="Arial" w:hAnsi="Arial"/>
          <w:sz w:val="21"/>
          <w:szCs w:val="21"/>
          <w:color w:val="010000"/>
        </w:rPr>
      </w:pPr>
    </w:p>
    <w:p>
      <w:pPr>
        <w:jc w:val="both"/>
        <w:ind w:left="340" w:firstLine="1288"/>
        <w:spacing w:after="0" w:line="245" w:lineRule="auto"/>
        <w:tabs>
          <w:tab w:leader="none" w:pos="2402" w:val="left"/>
        </w:tabs>
        <w:numPr>
          <w:ilvl w:val="0"/>
          <w:numId w:val="113"/>
        </w:numPr>
        <w:rPr>
          <w:rFonts w:ascii="Arial" w:cs="Arial" w:eastAsia="Arial" w:hAnsi="Arial"/>
          <w:sz w:val="21"/>
          <w:szCs w:val="21"/>
          <w:color w:val="010000"/>
        </w:rPr>
      </w:pPr>
      <w:r>
        <w:rPr>
          <w:rFonts w:ascii="Arial" w:cs="Arial" w:eastAsia="Arial" w:hAnsi="Arial"/>
          <w:sz w:val="21"/>
          <w:szCs w:val="21"/>
          <w:color w:val="auto"/>
        </w:rPr>
        <w:t xml:space="preserve">by the Sellers’ Representative (on behalf of Sellers), if Purchaser shall have breached any representation, warranty, covenant or other agreement contained in this Agreement that would give rise to the failure of a condition set forth in </w:t>
      </w:r>
      <w:r>
        <w:rPr>
          <w:rFonts w:ascii="Arial" w:cs="Arial" w:eastAsia="Arial" w:hAnsi="Arial"/>
          <w:sz w:val="21"/>
          <w:szCs w:val="21"/>
          <w:u w:val="single" w:color="auto"/>
          <w:color w:val="auto"/>
        </w:rPr>
        <w:t>Section 8.3(a)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8.3(b)</w:t>
      </w:r>
      <w:r>
        <w:rPr>
          <w:rFonts w:ascii="Arial" w:cs="Arial" w:eastAsia="Arial" w:hAnsi="Arial"/>
          <w:sz w:val="21"/>
          <w:szCs w:val="21"/>
          <w:color w:val="auto"/>
        </w:rPr>
        <w:t xml:space="preserve">, which breach either (i) is not cured within thirty (30) days following Purchaser’s receipt of written notice of such breach from the Sellers’ Representative, (ii) by its nature, cannot be cured prior to the Outside Date or (iii) by its nature, is incapable of being cured;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9.1(e)</w:t>
      </w:r>
      <w:r>
        <w:rPr>
          <w:rFonts w:ascii="Arial" w:cs="Arial" w:eastAsia="Arial" w:hAnsi="Arial"/>
          <w:sz w:val="21"/>
          <w:szCs w:val="21"/>
          <w:color w:val="auto"/>
        </w:rPr>
        <w:t xml:space="preserve"> shall not be available to the Sellers’ Representative if (x) any Seller or the Company is in material breach of any representation, warranty, covenant or other agreement contained in this Agreement or (y) the Sellers’ Representative fails to exercise such termination right within ten (10) days following the expiration of the thirty (30)-day period described in clause (i) above.</w:t>
      </w:r>
    </w:p>
    <w:p>
      <w:pPr>
        <w:spacing w:after="0" w:line="18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9.2 </w:t>
      </w:r>
      <w:r>
        <w:rPr>
          <w:rFonts w:ascii="Arial" w:cs="Arial" w:eastAsia="Arial" w:hAnsi="Arial"/>
          <w:sz w:val="22"/>
          <w:szCs w:val="22"/>
          <w:u w:val="single" w:color="auto"/>
          <w:color w:val="000000"/>
        </w:rPr>
        <w:t>Termination Procedure</w:t>
      </w:r>
      <w:r>
        <w:rPr>
          <w:rFonts w:ascii="Arial" w:cs="Arial" w:eastAsia="Arial" w:hAnsi="Arial"/>
          <w:sz w:val="22"/>
          <w:szCs w:val="22"/>
          <w:color w:val="000000"/>
        </w:rPr>
        <w:t>. In the event of the termination and abandonment of this Agreement by the</w:t>
      </w:r>
      <w:r>
        <w:rPr>
          <w:rFonts w:ascii="Arial" w:cs="Arial" w:eastAsia="Arial" w:hAnsi="Arial"/>
          <w:sz w:val="22"/>
          <w:szCs w:val="22"/>
          <w:color w:val="010000"/>
        </w:rPr>
        <w:t xml:space="preserve"> </w:t>
      </w:r>
      <w:r>
        <w:rPr>
          <w:rFonts w:ascii="Arial" w:cs="Arial" w:eastAsia="Arial" w:hAnsi="Arial"/>
          <w:sz w:val="22"/>
          <w:szCs w:val="22"/>
          <w:color w:val="000000"/>
        </w:rPr>
        <w:t xml:space="preserve">Sellers’ Representative or Purchaser pursuant to </w:t>
      </w:r>
      <w:r>
        <w:rPr>
          <w:rFonts w:ascii="Arial" w:cs="Arial" w:eastAsia="Arial" w:hAnsi="Arial"/>
          <w:sz w:val="22"/>
          <w:szCs w:val="22"/>
          <w:u w:val="single" w:color="auto"/>
          <w:color w:val="000000"/>
        </w:rPr>
        <w:t>Section 9.1</w:t>
      </w:r>
      <w:r>
        <w:rPr>
          <w:rFonts w:ascii="Arial" w:cs="Arial" w:eastAsia="Arial" w:hAnsi="Arial"/>
          <w:sz w:val="22"/>
          <w:szCs w:val="22"/>
          <w:color w:val="000000"/>
        </w:rPr>
        <w:t>, written notice thereof shall forthwith be given to the other Party, and this Agreement shall terminate, and the consummation of the Transaction shall be abandoned, without further action by Sellers, the Company, or Purchaser.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9.3 </w:t>
      </w:r>
      <w:r>
        <w:rPr>
          <w:rFonts w:ascii="Arial" w:cs="Arial" w:eastAsia="Arial" w:hAnsi="Arial"/>
          <w:sz w:val="22"/>
          <w:szCs w:val="22"/>
          <w:u w:val="single" w:color="auto"/>
          <w:color w:val="000000"/>
        </w:rPr>
        <w:t>Effect of Termination</w:t>
      </w:r>
      <w:r>
        <w:rPr>
          <w:rFonts w:ascii="Arial" w:cs="Arial" w:eastAsia="Arial" w:hAnsi="Arial"/>
          <w:sz w:val="22"/>
          <w:szCs w:val="22"/>
          <w:color w:val="000000"/>
        </w:rPr>
        <w:t>. If this Agreement is validly terminated pursuant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9.1</w:t>
      </w:r>
      <w:r>
        <w:rPr>
          <w:rFonts w:ascii="Arial" w:cs="Arial" w:eastAsia="Arial" w:hAnsi="Arial"/>
          <w:sz w:val="22"/>
          <w:szCs w:val="22"/>
          <w:color w:val="000000"/>
        </w:rPr>
        <w:t>, all further</w:t>
      </w:r>
      <w:r>
        <w:rPr>
          <w:rFonts w:ascii="Arial" w:cs="Arial" w:eastAsia="Arial" w:hAnsi="Arial"/>
          <w:sz w:val="22"/>
          <w:szCs w:val="22"/>
          <w:color w:val="010000"/>
        </w:rPr>
        <w:t xml:space="preserve"> </w:t>
      </w:r>
      <w:r>
        <w:rPr>
          <w:rFonts w:ascii="Arial" w:cs="Arial" w:eastAsia="Arial" w:hAnsi="Arial"/>
          <w:sz w:val="22"/>
          <w:szCs w:val="22"/>
          <w:color w:val="000000"/>
        </w:rPr>
        <w:t xml:space="preserve">obligations of the Parties under this Agreement shall terminate and such termination shall be without Liability to the Parties, except that (a) the obligations of the Parties under the Confidentiality Agreement, </w:t>
      </w:r>
      <w:r>
        <w:rPr>
          <w:rFonts w:ascii="Arial" w:cs="Arial" w:eastAsia="Arial" w:hAnsi="Arial"/>
          <w:sz w:val="22"/>
          <w:szCs w:val="22"/>
          <w:u w:val="single" w:color="auto"/>
          <w:color w:val="000000"/>
        </w:rPr>
        <w:t>Section 7.3</w:t>
      </w:r>
      <w:r>
        <w:rPr>
          <w:rFonts w:ascii="Arial" w:cs="Arial" w:eastAsia="Arial" w:hAnsi="Arial"/>
          <w:sz w:val="22"/>
          <w:szCs w:val="22"/>
          <w:color w:val="000000"/>
        </w:rPr>
        <w:t xml:space="preserve"> (Confidentiality), </w:t>
      </w:r>
      <w:r>
        <w:rPr>
          <w:rFonts w:ascii="Arial" w:cs="Arial" w:eastAsia="Arial" w:hAnsi="Arial"/>
          <w:sz w:val="22"/>
          <w:szCs w:val="22"/>
          <w:u w:val="single" w:color="auto"/>
          <w:color w:val="000000"/>
        </w:rPr>
        <w:t>Section 7.5</w:t>
      </w:r>
      <w:r>
        <w:rPr>
          <w:rFonts w:ascii="Arial" w:cs="Arial" w:eastAsia="Arial" w:hAnsi="Arial"/>
          <w:sz w:val="22"/>
          <w:szCs w:val="22"/>
          <w:color w:val="000000"/>
        </w:rPr>
        <w:t xml:space="preserve"> (Publicity), this </w:t>
      </w:r>
      <w:r>
        <w:rPr>
          <w:rFonts w:ascii="Arial" w:cs="Arial" w:eastAsia="Arial" w:hAnsi="Arial"/>
          <w:sz w:val="22"/>
          <w:szCs w:val="22"/>
          <w:u w:val="single" w:color="auto"/>
          <w:color w:val="000000"/>
        </w:rPr>
        <w:t>Section 9.3</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Article XI</w:t>
      </w:r>
      <w:r>
        <w:rPr>
          <w:rFonts w:ascii="Arial" w:cs="Arial" w:eastAsia="Arial" w:hAnsi="Arial"/>
          <w:sz w:val="22"/>
          <w:szCs w:val="22"/>
          <w:color w:val="000000"/>
        </w:rPr>
        <w:t>,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18" w:name="page119"/>
    <w:bookmarkEnd w:id="118"/>
    <w:p>
      <w:pPr>
        <w:jc w:val="both"/>
        <w:ind w:right="20"/>
        <w:spacing w:after="0"/>
        <w:rPr>
          <w:sz w:val="20"/>
          <w:szCs w:val="20"/>
          <w:color w:val="auto"/>
        </w:rPr>
      </w:pPr>
      <w:r>
        <w:rPr>
          <w:rFonts w:ascii="Arial" w:cs="Arial" w:eastAsia="Arial" w:hAnsi="Arial"/>
          <w:sz w:val="22"/>
          <w:szCs w:val="22"/>
          <w:color w:val="auto"/>
        </w:rPr>
        <w:t xml:space="preserve">related definitions in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shall survive such termination and not be affected thereby and (b) no such termination shall relieve any Party from Liability for any willful breach of any covenant or agreement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010000"/>
        </w:rPr>
        <w:t xml:space="preserve">10.1 </w:t>
      </w:r>
      <w:r>
        <w:rPr>
          <w:rFonts w:ascii="Arial" w:cs="Arial" w:eastAsia="Arial" w:hAnsi="Arial"/>
          <w:sz w:val="19"/>
          <w:szCs w:val="19"/>
          <w:u w:val="single" w:color="auto"/>
          <w:color w:val="000000"/>
        </w:rPr>
        <w:t>Survival of Representations, Warranties, Covenants and Agreements</w:t>
      </w:r>
      <w:r>
        <w:rPr>
          <w:rFonts w:ascii="Arial" w:cs="Arial" w:eastAsia="Arial" w:hAnsi="Arial"/>
          <w:sz w:val="19"/>
          <w:szCs w:val="19"/>
          <w:color w:val="000000"/>
        </w:rPr>
        <w:t>. The (x) representations and</w:t>
      </w:r>
      <w:r>
        <w:rPr>
          <w:rFonts w:ascii="Arial" w:cs="Arial" w:eastAsia="Arial" w:hAnsi="Arial"/>
          <w:sz w:val="19"/>
          <w:szCs w:val="19"/>
          <w:color w:val="010000"/>
        </w:rPr>
        <w:t xml:space="preserve"> </w:t>
      </w:r>
      <w:r>
        <w:rPr>
          <w:rFonts w:ascii="Arial" w:cs="Arial" w:eastAsia="Arial" w:hAnsi="Arial"/>
          <w:sz w:val="19"/>
          <w:szCs w:val="19"/>
          <w:color w:val="000000"/>
        </w:rPr>
        <w:t xml:space="preserve">warranties made in this Agreement, and (y) indemnification obligations of Sellers set forth in </w:t>
      </w:r>
      <w:r>
        <w:rPr>
          <w:rFonts w:ascii="Arial" w:cs="Arial" w:eastAsia="Arial" w:hAnsi="Arial"/>
          <w:sz w:val="19"/>
          <w:szCs w:val="19"/>
          <w:u w:val="single" w:color="auto"/>
          <w:color w:val="000000"/>
        </w:rPr>
        <w:t>Section 10.2(a)(ii)</w:t>
      </w:r>
      <w:r>
        <w:rPr>
          <w:rFonts w:ascii="Arial" w:cs="Arial" w:eastAsia="Arial" w:hAnsi="Arial"/>
          <w:sz w:val="19"/>
          <w:szCs w:val="19"/>
          <w:color w:val="000000"/>
        </w:rPr>
        <w:t>, shall in each case survive the Closing and remain in full force and effect until the twelve (12)-month anniversary of the Closing Date (the “</w:t>
      </w:r>
      <w:r>
        <w:rPr>
          <w:rFonts w:ascii="Arial" w:cs="Arial" w:eastAsia="Arial" w:hAnsi="Arial"/>
          <w:sz w:val="19"/>
          <w:szCs w:val="19"/>
          <w:u w:val="single" w:color="auto"/>
          <w:color w:val="000000"/>
        </w:rPr>
        <w:t>General Survival Date</w:t>
      </w:r>
      <w:r>
        <w:rPr>
          <w:rFonts w:ascii="Arial" w:cs="Arial" w:eastAsia="Arial" w:hAnsi="Arial"/>
          <w:sz w:val="19"/>
          <w:szCs w:val="19"/>
          <w:color w:val="000000"/>
        </w:rPr>
        <w:t xml:space="preserve">”), and the indemnification obligations of Sellers set forth in </w:t>
      </w:r>
      <w:r>
        <w:rPr>
          <w:rFonts w:ascii="Arial" w:cs="Arial" w:eastAsia="Arial" w:hAnsi="Arial"/>
          <w:sz w:val="19"/>
          <w:szCs w:val="19"/>
          <w:u w:val="single" w:color="auto"/>
          <w:color w:val="000000"/>
        </w:rPr>
        <w:t>Section 10.2(a)(v)</w:t>
      </w:r>
      <w:r>
        <w:rPr>
          <w:rFonts w:ascii="Arial" w:cs="Arial" w:eastAsia="Arial" w:hAnsi="Arial"/>
          <w:sz w:val="19"/>
          <w:szCs w:val="19"/>
          <w:color w:val="000000"/>
        </w:rPr>
        <w:t xml:space="preserve"> shall survive the Closing and remain in full force and effect until September 30, 2025. Notwithstanding the foregoing or any applicable statute of limitations, all representations and warranties related to any claim asserted on or before the General Survival Date in accordance with </w:t>
      </w:r>
      <w:r>
        <w:rPr>
          <w:rFonts w:ascii="Arial" w:cs="Arial" w:eastAsia="Arial" w:hAnsi="Arial"/>
          <w:sz w:val="19"/>
          <w:szCs w:val="19"/>
          <w:u w:val="single" w:color="auto"/>
          <w:color w:val="000000"/>
        </w:rPr>
        <w:t>Section 10.5</w:t>
      </w:r>
      <w:r>
        <w:rPr>
          <w:rFonts w:ascii="Arial" w:cs="Arial" w:eastAsia="Arial" w:hAnsi="Arial"/>
          <w:sz w:val="19"/>
          <w:szCs w:val="19"/>
          <w:color w:val="000000"/>
        </w:rPr>
        <w:t xml:space="preserve"> shall survive (and any applicable statute of limitations shall be tolled) until all such claims shall have been finally resolved and payment in respect thereof, if any is required to be made, shall have been made. The covenants and agreements contained in this Agreement and requiring performance prior to Closing shall expire on the Closing Date. The covenants and agreements contained in this Agreement or any other agreement or certificate delivered in connection with the transactions contemplated hereby to be performed in whole or in part after the Closing shall survive the Closing and continue in full force and effect until such covenants or agreements are performed in accordance with the terms of this Agreement or any other agreement or certificate delivered in connection with the Transaction (other than the covenant and agreement to indemnify pursuant to </w:t>
      </w:r>
      <w:r>
        <w:rPr>
          <w:rFonts w:ascii="Arial" w:cs="Arial" w:eastAsia="Arial" w:hAnsi="Arial"/>
          <w:sz w:val="19"/>
          <w:szCs w:val="19"/>
          <w:u w:val="single" w:color="auto"/>
          <w:color w:val="000000"/>
        </w:rPr>
        <w:t>Section 10.2(a)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10.2(b)(i)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10.2(b)(iii)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10.2(c)(i)</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10.2(c)(iii)</w:t>
      </w:r>
      <w:r>
        <w:rPr>
          <w:rFonts w:ascii="Arial" w:cs="Arial" w:eastAsia="Arial" w:hAnsi="Arial"/>
          <w:sz w:val="19"/>
          <w:szCs w:val="19"/>
          <w:color w:val="000000"/>
        </w:rPr>
        <w:t xml:space="preserve">, which shall each survive only for the applicable period set forth in this </w:t>
      </w:r>
      <w:r>
        <w:rPr>
          <w:rFonts w:ascii="Arial" w:cs="Arial" w:eastAsia="Arial" w:hAnsi="Arial"/>
          <w:sz w:val="19"/>
          <w:szCs w:val="19"/>
          <w:u w:val="single" w:color="auto"/>
          <w:color w:val="000000"/>
        </w:rPr>
        <w:t>Section 10.1</w:t>
      </w:r>
      <w:r>
        <w:rPr>
          <w:rFonts w:ascii="Arial" w:cs="Arial" w:eastAsia="Arial" w:hAnsi="Arial"/>
          <w:sz w:val="19"/>
          <w:szCs w:val="19"/>
          <w:color w:val="000000"/>
        </w:rPr>
        <w:t xml:space="preserve">). Claims in respect of Fraud shall survive for the applicable statute of limitations for Fraud. Indemnification obligations of Sellers set forth in </w:t>
      </w:r>
      <w:r>
        <w:rPr>
          <w:rFonts w:ascii="Arial" w:cs="Arial" w:eastAsia="Arial" w:hAnsi="Arial"/>
          <w:sz w:val="19"/>
          <w:szCs w:val="19"/>
          <w:u w:val="single" w:color="auto"/>
          <w:color w:val="000000"/>
        </w:rPr>
        <w:t>Section 10.2(a)(iii)</w:t>
      </w:r>
      <w:r>
        <w:rPr>
          <w:rFonts w:ascii="Arial" w:cs="Arial" w:eastAsia="Arial" w:hAnsi="Arial"/>
          <w:sz w:val="19"/>
          <w:szCs w:val="19"/>
          <w:color w:val="000000"/>
        </w:rPr>
        <w:t xml:space="preserve"> shall survive the Closing and remain in full force and effect until the three (3)-year anniversary of the Closing Date. No claim for indemnification for breach of any representation, warranty, covenant or agreement contained in this Agreement may be asserted pursuant to this Agreement unless on or before the time period for survival of such claim set forth in this </w:t>
      </w:r>
      <w:r>
        <w:rPr>
          <w:rFonts w:ascii="Arial" w:cs="Arial" w:eastAsia="Arial" w:hAnsi="Arial"/>
          <w:sz w:val="19"/>
          <w:szCs w:val="19"/>
          <w:u w:val="single" w:color="auto"/>
          <w:color w:val="000000"/>
        </w:rPr>
        <w:t>Section 10.1</w:t>
      </w:r>
      <w:r>
        <w:rPr>
          <w:rFonts w:ascii="Arial" w:cs="Arial" w:eastAsia="Arial" w:hAnsi="Arial"/>
          <w:sz w:val="19"/>
          <w:szCs w:val="19"/>
          <w:color w:val="000000"/>
        </w:rPr>
        <w:t xml:space="preserve">, such claim is asserted by written notice pursuant to this </w:t>
      </w:r>
      <w:r>
        <w:rPr>
          <w:rFonts w:ascii="Arial" w:cs="Arial" w:eastAsia="Arial" w:hAnsi="Arial"/>
          <w:sz w:val="19"/>
          <w:szCs w:val="19"/>
          <w:u w:val="single" w:color="auto"/>
          <w:color w:val="000000"/>
        </w:rPr>
        <w:t>Article X</w:t>
      </w:r>
      <w:r>
        <w:rPr>
          <w:rFonts w:ascii="Arial" w:cs="Arial" w:eastAsia="Arial" w:hAnsi="Arial"/>
          <w:sz w:val="19"/>
          <w:szCs w:val="19"/>
          <w:color w:val="000000"/>
        </w:rPr>
        <w:t>.</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010000"/>
        </w:rPr>
        <w:t>10.2</w:t>
      </w:r>
      <w:r>
        <w:rPr>
          <w:sz w:val="20"/>
          <w:szCs w:val="20"/>
          <w:color w:val="auto"/>
        </w:rPr>
        <w:tab/>
      </w:r>
      <w:r>
        <w:rPr>
          <w:rFonts w:ascii="Arial" w:cs="Arial" w:eastAsia="Arial" w:hAnsi="Arial"/>
          <w:sz w:val="19"/>
          <w:szCs w:val="19"/>
          <w:u w:val="single" w:color="auto"/>
          <w:color w:val="auto"/>
        </w:rPr>
        <w:t>General Indemnification</w:t>
      </w:r>
      <w:r>
        <w:rPr>
          <w:rFonts w:ascii="Arial" w:cs="Arial" w:eastAsia="Arial" w:hAnsi="Arial"/>
          <w:sz w:val="19"/>
          <w:szCs w:val="19"/>
          <w:color w:val="auto"/>
        </w:rPr>
        <w:t>. Subject to the limitations set forth in this</w:t>
      </w:r>
      <w:r>
        <w:rPr>
          <w:rFonts w:ascii="Arial" w:cs="Arial" w:eastAsia="Arial" w:hAnsi="Arial"/>
          <w:sz w:val="19"/>
          <w:szCs w:val="19"/>
          <w:u w:val="single" w:color="auto"/>
          <w:color w:val="auto"/>
        </w:rPr>
        <w:t xml:space="preserve"> Article X</w:t>
      </w:r>
      <w:r>
        <w:rPr>
          <w:rFonts w:ascii="Arial" w:cs="Arial" w:eastAsia="Arial" w:hAnsi="Arial"/>
          <w:sz w:val="19"/>
          <w:szCs w:val="19"/>
          <w:color w:val="auto"/>
        </w:rPr>
        <w:t>, from and after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Closing:</w:t>
      </w:r>
    </w:p>
    <w:p>
      <w:pPr>
        <w:spacing w:after="0" w:line="188" w:lineRule="exact"/>
        <w:rPr>
          <w:sz w:val="20"/>
          <w:szCs w:val="20"/>
          <w:color w:val="auto"/>
        </w:rPr>
      </w:pPr>
    </w:p>
    <w:p>
      <w:pPr>
        <w:jc w:val="both"/>
        <w:ind w:left="340" w:firstLine="1288"/>
        <w:spacing w:after="0" w:line="277" w:lineRule="auto"/>
        <w:tabs>
          <w:tab w:leader="none" w:pos="2456"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Each Seller, on a joint and several basis with respect to the Indemnification Escrow Amount, and with respect to any indemnifiable amount outside of the Indemnification Escrow Amount, on a several but not joint basis (pro rata based on each Seller’s Pro Rata Percentage), shall indemnify Purchaser, the Company, and their respective Affiliates, and each of their respective officers, directors, equityholders, employees, agents, representatives, heirs, successors, and permitted assigns (collectively, the “</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and hold each of them harmless from and against any and all Losses incurred or suffered directly or indirectly by such Purchaser Indemnified Parties arising out of, relating to, or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9" w:name="page120"/>
    <w:bookmarkEnd w:id="119"/>
    <w:p>
      <w:pPr>
        <w:jc w:val="both"/>
        <w:ind w:left="340" w:firstLine="1936"/>
        <w:spacing w:after="0" w:line="277" w:lineRule="auto"/>
        <w:tabs>
          <w:tab w:leader="none" w:pos="3082"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 xml:space="preserve">any inaccuracy in, or breach of, the representations or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made by the Company in any certificate delivered by the Company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this clause (i), except with respect to the representations and warranties of the Company set forth in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and except for the terms “Material Contract”, “Material Customer” and “Material Vendor”, qualifications as to materiality, Company Material Adverse Effect, or other qualifiers of similar import contained in such representations and warranties shall be disregarded for purposes of determining whether any such failure occurred and in calculating any Losses resulting therefrom;</w:t>
      </w:r>
    </w:p>
    <w:p>
      <w:pPr>
        <w:spacing w:after="0" w:line="151" w:lineRule="exact"/>
        <w:rPr>
          <w:rFonts w:ascii="Arial" w:cs="Arial" w:eastAsia="Arial" w:hAnsi="Arial"/>
          <w:sz w:val="19"/>
          <w:szCs w:val="19"/>
          <w:color w:val="010000"/>
        </w:rPr>
      </w:pPr>
    </w:p>
    <w:p>
      <w:pPr>
        <w:ind w:left="2920" w:hanging="644"/>
        <w:spacing w:after="0"/>
        <w:tabs>
          <w:tab w:leader="none" w:pos="2920"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all Indemnified Taxes;</w:t>
      </w:r>
    </w:p>
    <w:p>
      <w:pPr>
        <w:spacing w:after="0" w:line="206" w:lineRule="exact"/>
        <w:rPr>
          <w:rFonts w:ascii="Arial" w:cs="Arial" w:eastAsia="Arial" w:hAnsi="Arial"/>
          <w:sz w:val="22"/>
          <w:szCs w:val="22"/>
          <w:color w:val="010000"/>
        </w:rPr>
      </w:pPr>
    </w:p>
    <w:p>
      <w:pPr>
        <w:ind w:left="2920" w:hanging="644"/>
        <w:spacing w:after="0"/>
        <w:tabs>
          <w:tab w:leader="none" w:pos="2920"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 xml:space="preserve">the matters set forth on </w:t>
      </w:r>
      <w:r>
        <w:rPr>
          <w:rFonts w:ascii="Arial" w:cs="Arial" w:eastAsia="Arial" w:hAnsi="Arial"/>
          <w:sz w:val="22"/>
          <w:szCs w:val="22"/>
          <w:u w:val="single" w:color="auto"/>
          <w:color w:val="auto"/>
        </w:rPr>
        <w:t>Schedule 10.2(a)(iii)</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2960" w:hanging="684"/>
        <w:spacing w:after="0"/>
        <w:tabs>
          <w:tab w:leader="none" w:pos="2960"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Fraud of the Company; and/or</w:t>
      </w:r>
    </w:p>
    <w:p>
      <w:pPr>
        <w:spacing w:after="0" w:line="206" w:lineRule="exact"/>
        <w:rPr>
          <w:rFonts w:ascii="Arial" w:cs="Arial" w:eastAsia="Arial" w:hAnsi="Arial"/>
          <w:sz w:val="22"/>
          <w:szCs w:val="22"/>
          <w:color w:val="010000"/>
        </w:rPr>
      </w:pPr>
    </w:p>
    <w:p>
      <w:pPr>
        <w:ind w:left="2960" w:hanging="684"/>
        <w:spacing w:after="0"/>
        <w:tabs>
          <w:tab w:leader="none" w:pos="2960"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 xml:space="preserve">the Taxes set forth on </w:t>
      </w:r>
      <w:r>
        <w:rPr>
          <w:rFonts w:ascii="Arial" w:cs="Arial" w:eastAsia="Arial" w:hAnsi="Arial"/>
          <w:sz w:val="22"/>
          <w:szCs w:val="22"/>
          <w:u w:val="single" w:color="auto"/>
          <w:color w:val="auto"/>
        </w:rPr>
        <w:t>Schedule 10.2(a)(v)</w:t>
      </w:r>
      <w:r>
        <w:rPr>
          <w:rFonts w:ascii="Arial" w:cs="Arial" w:eastAsia="Arial" w:hAnsi="Arial"/>
          <w:sz w:val="22"/>
          <w:szCs w:val="22"/>
          <w:color w:val="auto"/>
        </w:rPr>
        <w:t xml:space="preserve"> (“</w:t>
      </w:r>
      <w:r>
        <w:rPr>
          <w:rFonts w:ascii="Arial" w:cs="Arial" w:eastAsia="Arial" w:hAnsi="Arial"/>
          <w:sz w:val="22"/>
          <w:szCs w:val="22"/>
          <w:u w:val="single" w:color="auto"/>
          <w:color w:val="auto"/>
        </w:rPr>
        <w:t>Specified Taxes</w:t>
      </w:r>
      <w:r>
        <w:rPr>
          <w:rFonts w:ascii="Arial" w:cs="Arial" w:eastAsia="Arial" w:hAnsi="Arial"/>
          <w:sz w:val="22"/>
          <w:szCs w:val="22"/>
          <w:color w:val="auto"/>
        </w:rPr>
        <w:t>”).</w:t>
      </w:r>
    </w:p>
    <w:p>
      <w:pPr>
        <w:spacing w:after="0" w:line="206"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Notwithstanding anything to the contrary in this Agreement, no Seller shall have any liability or responsibility hereunder for any Tax imposed on or with respect to the Company with respect to any Tax period or portion thereof that is subsequent to the Closing Date.</w:t>
      </w:r>
    </w:p>
    <w:p>
      <w:pPr>
        <w:spacing w:after="0" w:line="78" w:lineRule="exact"/>
        <w:rPr>
          <w:sz w:val="20"/>
          <w:szCs w:val="20"/>
          <w:color w:val="auto"/>
        </w:rPr>
      </w:pPr>
    </w:p>
    <w:p>
      <w:pPr>
        <w:jc w:val="both"/>
        <w:ind w:left="340" w:firstLine="1288"/>
        <w:spacing w:after="0" w:line="249" w:lineRule="auto"/>
        <w:tabs>
          <w:tab w:leader="none" w:pos="2563" w:val="left"/>
        </w:tabs>
        <w:numPr>
          <w:ilvl w:val="0"/>
          <w:numId w:val="116"/>
        </w:numPr>
        <w:rPr>
          <w:rFonts w:ascii="Arial" w:cs="Arial" w:eastAsia="Arial" w:hAnsi="Arial"/>
          <w:sz w:val="21"/>
          <w:szCs w:val="21"/>
          <w:color w:val="010000"/>
        </w:rPr>
      </w:pPr>
      <w:r>
        <w:rPr>
          <w:rFonts w:ascii="Arial" w:cs="Arial" w:eastAsia="Arial" w:hAnsi="Arial"/>
          <w:sz w:val="21"/>
          <w:szCs w:val="21"/>
          <w:color w:val="auto"/>
        </w:rPr>
        <w:t>Each Seller shall, on a joint and several basis with respect to the Indemnification Escrow Amount, and with respect to any indemnifiable amount outside of the Indemnification Escrow Amount, on a several but not joint basis, indemnify the Purchaser Indemnified Parties from and hold each of them harmless from and against any and all Losses incurred or suffered directly or indirectly by such Purchaser Indemnified Parties arising out of, relating to, or resulting from:</w:t>
      </w:r>
    </w:p>
    <w:p>
      <w:pPr>
        <w:spacing w:after="0" w:line="178" w:lineRule="exact"/>
        <w:rPr>
          <w:rFonts w:ascii="Arial" w:cs="Arial" w:eastAsia="Arial" w:hAnsi="Arial"/>
          <w:sz w:val="21"/>
          <w:szCs w:val="21"/>
          <w:color w:val="010000"/>
        </w:rPr>
      </w:pPr>
    </w:p>
    <w:p>
      <w:pPr>
        <w:jc w:val="both"/>
        <w:ind w:left="340" w:firstLine="1936"/>
        <w:spacing w:after="0" w:line="282" w:lineRule="auto"/>
        <w:tabs>
          <w:tab w:leader="none" w:pos="3028" w:val="left"/>
        </w:tabs>
        <w:numPr>
          <w:ilvl w:val="1"/>
          <w:numId w:val="116"/>
        </w:numPr>
        <w:rPr>
          <w:rFonts w:ascii="Arial" w:cs="Arial" w:eastAsia="Arial" w:hAnsi="Arial"/>
          <w:sz w:val="19"/>
          <w:szCs w:val="19"/>
          <w:color w:val="010000"/>
        </w:rPr>
      </w:pPr>
      <w:r>
        <w:rPr>
          <w:rFonts w:ascii="Arial" w:cs="Arial" w:eastAsia="Arial" w:hAnsi="Arial"/>
          <w:sz w:val="19"/>
          <w:szCs w:val="19"/>
          <w:color w:val="auto"/>
        </w:rPr>
        <w:t xml:space="preserve">any inaccuracy in, or breach of the representations or warranties by such Seller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in any certificate delivered by, or on behalf of, such Seller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clause (i), qualifications as to materiality, material adverse effect, or other qualifiers of similar import contained in such representations and warranties shall be disregarded for purposes of determining whether any such failure occurred and in calculating any Losses resulting therefrom;</w:t>
      </w:r>
    </w:p>
    <w:p>
      <w:pPr>
        <w:spacing w:after="0" w:line="147" w:lineRule="exact"/>
        <w:rPr>
          <w:rFonts w:ascii="Arial" w:cs="Arial" w:eastAsia="Arial" w:hAnsi="Arial"/>
          <w:sz w:val="19"/>
          <w:szCs w:val="19"/>
          <w:color w:val="010000"/>
        </w:rPr>
      </w:pPr>
    </w:p>
    <w:p>
      <w:pPr>
        <w:jc w:val="both"/>
        <w:ind w:left="340" w:firstLine="1936"/>
        <w:spacing w:after="0"/>
        <w:tabs>
          <w:tab w:leader="none" w:pos="2993" w:val="left"/>
        </w:tabs>
        <w:numPr>
          <w:ilvl w:val="1"/>
          <w:numId w:val="116"/>
        </w:numPr>
        <w:rPr>
          <w:rFonts w:ascii="Arial" w:cs="Arial" w:eastAsia="Arial" w:hAnsi="Arial"/>
          <w:sz w:val="22"/>
          <w:szCs w:val="22"/>
          <w:color w:val="010000"/>
        </w:rPr>
      </w:pPr>
      <w:r>
        <w:rPr>
          <w:rFonts w:ascii="Arial" w:cs="Arial" w:eastAsia="Arial" w:hAnsi="Arial"/>
          <w:sz w:val="22"/>
          <w:szCs w:val="22"/>
          <w:color w:val="auto"/>
        </w:rPr>
        <w:t>breach of any covenant or other agreement required to be performed following Closing by such Seller contained in this Agreement or in any other Transaction Agreement to which such Seller is party; and/or</w:t>
      </w:r>
    </w:p>
    <w:p>
      <w:pPr>
        <w:spacing w:after="0" w:line="186" w:lineRule="exact"/>
        <w:rPr>
          <w:rFonts w:ascii="Arial" w:cs="Arial" w:eastAsia="Arial" w:hAnsi="Arial"/>
          <w:sz w:val="22"/>
          <w:szCs w:val="22"/>
          <w:color w:val="010000"/>
        </w:rPr>
      </w:pPr>
    </w:p>
    <w:p>
      <w:pPr>
        <w:ind w:left="2920" w:hanging="644"/>
        <w:spacing w:after="0"/>
        <w:tabs>
          <w:tab w:leader="none" w:pos="2920" w:val="left"/>
        </w:tabs>
        <w:numPr>
          <w:ilvl w:val="1"/>
          <w:numId w:val="116"/>
        </w:numPr>
        <w:rPr>
          <w:rFonts w:ascii="Arial" w:cs="Arial" w:eastAsia="Arial" w:hAnsi="Arial"/>
          <w:sz w:val="22"/>
          <w:szCs w:val="22"/>
          <w:color w:val="010000"/>
        </w:rPr>
      </w:pPr>
      <w:r>
        <w:rPr>
          <w:rFonts w:ascii="Arial" w:cs="Arial" w:eastAsia="Arial" w:hAnsi="Arial"/>
          <w:sz w:val="22"/>
          <w:szCs w:val="22"/>
          <w:color w:val="auto"/>
        </w:rPr>
        <w:t>Fraud of such Seller.</w:t>
      </w:r>
    </w:p>
    <w:p>
      <w:pPr>
        <w:spacing w:after="0" w:line="206" w:lineRule="exact"/>
        <w:rPr>
          <w:rFonts w:ascii="Arial" w:cs="Arial" w:eastAsia="Arial" w:hAnsi="Arial"/>
          <w:sz w:val="22"/>
          <w:szCs w:val="22"/>
          <w:color w:val="010000"/>
        </w:rPr>
      </w:pPr>
    </w:p>
    <w:p>
      <w:pPr>
        <w:jc w:val="both"/>
        <w:ind w:left="340" w:firstLine="1288"/>
        <w:spacing w:after="0" w:line="235" w:lineRule="auto"/>
        <w:tabs>
          <w:tab w:leader="none" w:pos="2591"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 xml:space="preserve">Subject to the limitations set forth in this </w:t>
      </w:r>
      <w:r>
        <w:rPr>
          <w:rFonts w:ascii="Arial" w:cs="Arial" w:eastAsia="Arial" w:hAnsi="Arial"/>
          <w:sz w:val="22"/>
          <w:szCs w:val="22"/>
          <w:u w:val="single" w:color="auto"/>
          <w:color w:val="auto"/>
        </w:rPr>
        <w:t>Article X</w:t>
      </w:r>
      <w:r>
        <w:rPr>
          <w:rFonts w:ascii="Arial" w:cs="Arial" w:eastAsia="Arial" w:hAnsi="Arial"/>
          <w:sz w:val="22"/>
          <w:szCs w:val="22"/>
          <w:color w:val="auto"/>
        </w:rPr>
        <w:t>, from and after the Closing, Purchaser shall indemnify each Seller and their respective Affiliates, and each of their respective officers, directors, equityholders, employees, agents, representatives, heirs, successors, and permitted assigns (collectively, the “</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and hold each of them harmless from and against any and all Losses incurred or suffered directly or indirectly by such Seller Indemnified Parties arising out of, relating to, or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0" w:name="page121"/>
    <w:bookmarkEnd w:id="120"/>
    <w:p>
      <w:pPr>
        <w:ind w:right="20" w:firstLine="1936"/>
        <w:spacing w:after="0" w:line="328" w:lineRule="auto"/>
        <w:tabs>
          <w:tab w:leader="none" w:pos="2742"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 xml:space="preserve">any inaccuracy in, or breach of, the representations or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made by Purchaser in any certificate delivered by Purchaser pursuant to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04" w:lineRule="exact"/>
        <w:rPr>
          <w:rFonts w:ascii="Arial" w:cs="Arial" w:eastAsia="Arial" w:hAnsi="Arial"/>
          <w:sz w:val="19"/>
          <w:szCs w:val="19"/>
          <w:color w:val="010000"/>
        </w:rPr>
      </w:pPr>
    </w:p>
    <w:p>
      <w:pPr>
        <w:jc w:val="both"/>
        <w:ind w:firstLine="1936"/>
        <w:spacing w:after="0"/>
        <w:tabs>
          <w:tab w:leader="none" w:pos="2869" w:val="left"/>
        </w:tabs>
        <w:numPr>
          <w:ilvl w:val="0"/>
          <w:numId w:val="117"/>
        </w:numPr>
        <w:rPr>
          <w:rFonts w:ascii="Arial" w:cs="Arial" w:eastAsia="Arial" w:hAnsi="Arial"/>
          <w:sz w:val="22"/>
          <w:szCs w:val="22"/>
          <w:color w:val="010000"/>
        </w:rPr>
      </w:pPr>
      <w:r>
        <w:rPr>
          <w:rFonts w:ascii="Arial" w:cs="Arial" w:eastAsia="Arial" w:hAnsi="Arial"/>
          <w:sz w:val="22"/>
          <w:szCs w:val="22"/>
          <w:color w:val="auto"/>
        </w:rPr>
        <w:t>any breach of any covenant or other agreement required to be performed following Closing by Purchaser or the Company contained in this Agreement or in any other Transaction Agreement to which Purchaser or the Company is party; and/or</w:t>
      </w:r>
    </w:p>
    <w:p>
      <w:pPr>
        <w:spacing w:after="0" w:line="186" w:lineRule="exact"/>
        <w:rPr>
          <w:rFonts w:ascii="Arial" w:cs="Arial" w:eastAsia="Arial" w:hAnsi="Arial"/>
          <w:sz w:val="22"/>
          <w:szCs w:val="22"/>
          <w:color w:val="010000"/>
        </w:rPr>
      </w:pPr>
    </w:p>
    <w:p>
      <w:pPr>
        <w:ind w:left="2580" w:hanging="644"/>
        <w:spacing w:after="0"/>
        <w:tabs>
          <w:tab w:leader="none" w:pos="2580" w:val="left"/>
        </w:tabs>
        <w:numPr>
          <w:ilvl w:val="0"/>
          <w:numId w:val="117"/>
        </w:numPr>
        <w:rPr>
          <w:rFonts w:ascii="Arial" w:cs="Arial" w:eastAsia="Arial" w:hAnsi="Arial"/>
          <w:sz w:val="22"/>
          <w:szCs w:val="22"/>
          <w:color w:val="010000"/>
        </w:rPr>
      </w:pPr>
      <w:r>
        <w:rPr>
          <w:rFonts w:ascii="Arial" w:cs="Arial" w:eastAsia="Arial" w:hAnsi="Arial"/>
          <w:sz w:val="22"/>
          <w:szCs w:val="22"/>
          <w:color w:val="auto"/>
        </w:rPr>
        <w:t>Fraud of Purchaser.</w:t>
      </w:r>
    </w:p>
    <w:p>
      <w:pPr>
        <w:spacing w:after="0" w:line="20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19"/>
          <w:szCs w:val="19"/>
          <w:u w:val="single" w:color="auto"/>
          <w:color w:val="auto"/>
        </w:rPr>
        <w:t>Limitations on 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46" w:lineRule="auto"/>
        <w:tabs>
          <w:tab w:leader="none" w:pos="1779" w:val="left"/>
        </w:tabs>
        <w:numPr>
          <w:ilvl w:val="0"/>
          <w:numId w:val="118"/>
        </w:numPr>
        <w:rPr>
          <w:rFonts w:ascii="Arial" w:cs="Arial" w:eastAsia="Arial" w:hAnsi="Arial"/>
          <w:sz w:val="21"/>
          <w:szCs w:val="21"/>
          <w:color w:val="010000"/>
        </w:rPr>
      </w:pPr>
      <w:r>
        <w:rPr>
          <w:rFonts w:ascii="Arial" w:cs="Arial" w:eastAsia="Arial" w:hAnsi="Arial"/>
          <w:sz w:val="21"/>
          <w:szCs w:val="21"/>
          <w:color w:val="auto"/>
        </w:rPr>
        <w:t xml:space="preserve">Sellers shall not be required to indemnify any Purchaser Indemnified Party under </w:t>
      </w:r>
      <w:r>
        <w:rPr>
          <w:rFonts w:ascii="Arial" w:cs="Arial" w:eastAsia="Arial" w:hAnsi="Arial"/>
          <w:sz w:val="21"/>
          <w:szCs w:val="21"/>
          <w:u w:val="single" w:color="auto"/>
          <w:color w:val="auto"/>
        </w:rPr>
        <w:t>Section 10.2(a)(i)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10.2(a)(ii)</w:t>
      </w:r>
      <w:r>
        <w:rPr>
          <w:rFonts w:ascii="Arial" w:cs="Arial" w:eastAsia="Arial" w:hAnsi="Arial"/>
          <w:sz w:val="21"/>
          <w:szCs w:val="21"/>
          <w:color w:val="auto"/>
        </w:rPr>
        <w:t xml:space="preserve"> and/or </w:t>
      </w:r>
      <w:r>
        <w:rPr>
          <w:rFonts w:ascii="Arial" w:cs="Arial" w:eastAsia="Arial" w:hAnsi="Arial"/>
          <w:sz w:val="21"/>
          <w:szCs w:val="21"/>
          <w:u w:val="single" w:color="auto"/>
          <w:color w:val="auto"/>
        </w:rPr>
        <w:t>Section 10.2(b)(i)</w:t>
      </w:r>
      <w:r>
        <w:rPr>
          <w:rFonts w:ascii="Arial" w:cs="Arial" w:eastAsia="Arial" w:hAnsi="Arial"/>
          <w:sz w:val="21"/>
          <w:szCs w:val="21"/>
          <w:color w:val="auto"/>
        </w:rPr>
        <w:t xml:space="preserve"> unless and until the aggregate amount of Losses that the Purchaser Indemnified Parties are entitled to recover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exceeds One Million Eight Hundred Twenty-Two Thousand Five Hundred Dollars ($1,822,500) (the “</w:t>
      </w:r>
      <w:r>
        <w:rPr>
          <w:rFonts w:ascii="Arial" w:cs="Arial" w:eastAsia="Arial" w:hAnsi="Arial"/>
          <w:sz w:val="21"/>
          <w:szCs w:val="21"/>
          <w:u w:val="single" w:color="auto"/>
          <w:color w:val="auto"/>
        </w:rPr>
        <w:t>Deductible</w:t>
      </w:r>
      <w:r>
        <w:rPr>
          <w:rFonts w:ascii="Arial" w:cs="Arial" w:eastAsia="Arial" w:hAnsi="Arial"/>
          <w:sz w:val="21"/>
          <w:szCs w:val="21"/>
          <w:color w:val="auto"/>
        </w:rPr>
        <w:t xml:space="preserve">”) and then Sellers shall be required to indemnify the applicable Purchaser Indemnified Parties, subject to the other limitations contained herein, solely for the amount of such Losses in excess of the Deductible;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the Deductible shall not apply to Losses arising from Fraud.</w:t>
      </w:r>
    </w:p>
    <w:p>
      <w:pPr>
        <w:spacing w:after="0" w:line="184" w:lineRule="exact"/>
        <w:rPr>
          <w:rFonts w:ascii="Arial" w:cs="Arial" w:eastAsia="Arial" w:hAnsi="Arial"/>
          <w:sz w:val="21"/>
          <w:szCs w:val="21"/>
          <w:color w:val="010000"/>
        </w:rPr>
      </w:pPr>
    </w:p>
    <w:p>
      <w:pPr>
        <w:jc w:val="both"/>
        <w:ind w:firstLine="1288"/>
        <w:spacing w:after="0" w:line="272" w:lineRule="auto"/>
        <w:tabs>
          <w:tab w:leader="none" w:pos="1669"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 xml:space="preserve">The maximum amount of Losses on a collective basis that may be recovered or asserted in any claim(s) by the Purchaser Indemnified Parties under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10.2(b)(i)</w:t>
      </w:r>
      <w:r>
        <w:rPr>
          <w:rFonts w:ascii="Arial" w:cs="Arial" w:eastAsia="Arial" w:hAnsi="Arial"/>
          <w:sz w:val="19"/>
          <w:szCs w:val="19"/>
          <w:color w:val="auto"/>
        </w:rPr>
        <w:t xml:space="preserve"> (other than with respect to Fraud) shall be limited to and shall in no event exceed the Indemnification Escrow Amount, which together with the RWI Policy (subject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be the sole and exclusive source of recovery for such Losses. Sellers shall have no obligation to directly satisfy any claim by a Purchaser Indemnified Party for indemnification under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(other than with respect to Fraud, subject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The maximum amount of Losses on a collective basis that may be recovered or asserted in any claim(s) by the Purchaser Indemnified Parties under </w:t>
      </w:r>
      <w:r>
        <w:rPr>
          <w:rFonts w:ascii="Arial" w:cs="Arial" w:eastAsia="Arial" w:hAnsi="Arial"/>
          <w:sz w:val="19"/>
          <w:szCs w:val="19"/>
          <w:u w:val="single" w:color="auto"/>
          <w:color w:val="auto"/>
        </w:rPr>
        <w:t>Section 10.2(a)(v)</w:t>
      </w:r>
      <w:r>
        <w:rPr>
          <w:rFonts w:ascii="Arial" w:cs="Arial" w:eastAsia="Arial" w:hAnsi="Arial"/>
          <w:sz w:val="19"/>
          <w:szCs w:val="19"/>
          <w:color w:val="auto"/>
        </w:rPr>
        <w:t xml:space="preserve"> shall be limited to and shall in no event exceed the Specified Taxes Cap (as defined in </w:t>
      </w:r>
      <w:r>
        <w:rPr>
          <w:rFonts w:ascii="Arial" w:cs="Arial" w:eastAsia="Arial" w:hAnsi="Arial"/>
          <w:sz w:val="19"/>
          <w:szCs w:val="19"/>
          <w:u w:val="single" w:color="auto"/>
          <w:color w:val="auto"/>
        </w:rPr>
        <w:t>Schedule 10.2(a)(v)</w:t>
      </w:r>
      <w:r>
        <w:rPr>
          <w:rFonts w:ascii="Arial" w:cs="Arial" w:eastAsia="Arial" w:hAnsi="Arial"/>
          <w:sz w:val="19"/>
          <w:szCs w:val="19"/>
          <w:color w:val="auto"/>
        </w:rPr>
        <w:t xml:space="preserve">). With respect to claims for indemnification under Sections </w:t>
      </w:r>
      <w:r>
        <w:rPr>
          <w:rFonts w:ascii="Arial" w:cs="Arial" w:eastAsia="Arial" w:hAnsi="Arial"/>
          <w:sz w:val="19"/>
          <w:szCs w:val="19"/>
          <w:u w:val="single" w:color="auto"/>
          <w:color w:val="auto"/>
        </w:rPr>
        <w:t>10.2(a)(iii)-(v)</w:t>
      </w:r>
      <w:r>
        <w:rPr>
          <w:rFonts w:ascii="Arial" w:cs="Arial" w:eastAsia="Arial" w:hAnsi="Arial"/>
          <w:sz w:val="19"/>
          <w:szCs w:val="19"/>
          <w:color w:val="auto"/>
        </w:rPr>
        <w:t>, subject to the preceding sentence, the maximum liability of any Seller to the Purchaser Indemnified Parties shall be such Seller’s Pro Rata Percentage of such Losses. The maximum liability of any Seller to the Purchaser Indemnified Parties shall not in the aggregate exceed the proceeds actually received by such Seller.</w:t>
      </w:r>
    </w:p>
    <w:p>
      <w:pPr>
        <w:spacing w:after="0" w:line="155" w:lineRule="exact"/>
        <w:rPr>
          <w:rFonts w:ascii="Arial" w:cs="Arial" w:eastAsia="Arial" w:hAnsi="Arial"/>
          <w:sz w:val="19"/>
          <w:szCs w:val="19"/>
          <w:color w:val="010000"/>
        </w:rPr>
      </w:pPr>
    </w:p>
    <w:p>
      <w:pPr>
        <w:jc w:val="both"/>
        <w:ind w:firstLine="1288"/>
        <w:spacing w:after="0" w:line="275" w:lineRule="auto"/>
        <w:tabs>
          <w:tab w:leader="none" w:pos="1671"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 xml:space="preserve">The amount of any Losses for which indemnification is provided for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(without giving effect to limitations) shall be calculated net of any insurance proceeds or other amounts actually received by the Indemnitee from third parties with respect to such Losses, in each case, net of the present value of any increases in premiums, any costs of collection or deductibles resulting therewith;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Purchaser or any other Purchaser Indemnified Party be required to initiate litigation to recover any such amounts. If an Indemnitee collects an amount in discharge of a claim of a Loss reimbursed by an Indemnitor, and such Indemnitee subsequently recovers from a third party (including under the RWI Policy) (such excess recovery, the “</w:t>
      </w:r>
      <w:r>
        <w:rPr>
          <w:rFonts w:ascii="Arial" w:cs="Arial" w:eastAsia="Arial" w:hAnsi="Arial"/>
          <w:sz w:val="19"/>
          <w:szCs w:val="19"/>
          <w:u w:val="single" w:color="auto"/>
          <w:color w:val="auto"/>
        </w:rPr>
        <w:t>Excess Recovery</w:t>
      </w:r>
      <w:r>
        <w:rPr>
          <w:rFonts w:ascii="Arial" w:cs="Arial" w:eastAsia="Arial" w:hAnsi="Arial"/>
          <w:sz w:val="19"/>
          <w:szCs w:val="19"/>
          <w:color w:val="auto"/>
        </w:rPr>
        <w:t>”), such Indemnitee shall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361" w:right="999" w:bottom="1440" w:gutter="0" w:footer="0" w:header="0"/>
        </w:sectPr>
      </w:pPr>
    </w:p>
    <w:bookmarkStart w:id="121" w:name="page122"/>
    <w:bookmarkEnd w:id="121"/>
    <w:p>
      <w:pPr>
        <w:jc w:val="both"/>
        <w:ind w:left="340"/>
        <w:spacing w:after="0" w:line="275" w:lineRule="auto"/>
        <w:rPr>
          <w:sz w:val="20"/>
          <w:szCs w:val="20"/>
          <w:color w:val="auto"/>
        </w:rPr>
      </w:pPr>
      <w:r>
        <w:rPr>
          <w:rFonts w:ascii="Arial" w:cs="Arial" w:eastAsia="Arial" w:hAnsi="Arial"/>
          <w:sz w:val="19"/>
          <w:szCs w:val="19"/>
          <w:color w:val="auto"/>
        </w:rPr>
        <w:t xml:space="preserve">to the Indemnitor an amount equal to the Excess Recovery less any costs or expenses incurred or suffered by the Indemnitee in procuring the Excess Recovery including the present value of any increases in premiums and any costs of collection or deductibles resulting therewith. Any Losses for which any Indemnitee is entitled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determined without duplication of recovery by reason of the state of facts giving rise to such Losses constituting a breach of more than one representation, warranty, covenant, or agreement. No Party will be entitled to be indemnified for an amount pertaining to any Loss to the extent that such amount pertaining to such Loss was included or taken into account in the calculation of the Purchase Price as finally adjudicated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57" w:lineRule="exact"/>
        <w:rPr>
          <w:sz w:val="20"/>
          <w:szCs w:val="20"/>
          <w:color w:val="auto"/>
        </w:rPr>
      </w:pPr>
    </w:p>
    <w:p>
      <w:pPr>
        <w:jc w:val="both"/>
        <w:ind w:left="340" w:firstLine="1288"/>
        <w:spacing w:after="0" w:line="273" w:lineRule="auto"/>
        <w:tabs>
          <w:tab w:leader="none" w:pos="2036"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No Seller shall have any right of contribution, subrogation, or other recourse against the Company or its directors, managers, officers, employees, Affiliates, agents, attorneys, stockholders, members, representatives, assigns, or successors in respect of any claims asserted by any Purchaser Indemnified Parties, it being acknowledged and agreed that the covenants, agreements, and obligations of the Company are solely for the benefit of the Purchaser Indemnified Parties. Except to the extent prohibited by Law, upon and after becoming aware of any event which could reasonably be expected to give rise to any indemnifiable Losses hereunder, the Indemnitee shall take and cause its Affiliates to take, or cooperate with the Indemnitor if so requested by the Indemnitor in order to take, all commercially reasonable measures to mitigate the indemnifiable Losses based upon, arising out of or incurred as a result of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Indemnitee be required to initiate litigation in respect of such efforts.</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010000"/>
        </w:rPr>
        <w:t>10.4</w:t>
      </w:r>
      <w:r>
        <w:rPr>
          <w:sz w:val="20"/>
          <w:szCs w:val="20"/>
          <w:color w:val="auto"/>
        </w:rPr>
        <w:tab/>
      </w:r>
      <w:r>
        <w:rPr>
          <w:rFonts w:ascii="Arial" w:cs="Arial" w:eastAsia="Arial" w:hAnsi="Arial"/>
          <w:sz w:val="19"/>
          <w:szCs w:val="19"/>
          <w:u w:val="single" w:color="auto"/>
          <w:color w:val="auto"/>
        </w:rPr>
        <w:t>Manner of Payment</w:t>
      </w:r>
      <w:r>
        <w:rPr>
          <w:rFonts w:ascii="Arial" w:cs="Arial" w:eastAsia="Arial" w:hAnsi="Arial"/>
          <w:sz w:val="19"/>
          <w:szCs w:val="19"/>
          <w:color w:val="auto"/>
        </w:rPr>
        <w:t>. After giving effect to, and otherwise subject to, the limitations set forth 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88" w:lineRule="exact"/>
        <w:rPr>
          <w:sz w:val="20"/>
          <w:szCs w:val="20"/>
          <w:color w:val="auto"/>
        </w:rPr>
      </w:pPr>
    </w:p>
    <w:p>
      <w:pPr>
        <w:jc w:val="both"/>
        <w:ind w:left="340" w:firstLine="1288"/>
        <w:spacing w:after="0" w:line="270" w:lineRule="auto"/>
        <w:tabs>
          <w:tab w:leader="none" w:pos="2024"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 xml:space="preserve">With respect to Losses incurred pursuant to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other than any Losses arising out of, relating to, or resulting from, Fraud, the Purchaser Indemnified Parties shall be entitled to recover such Losses, first, from the then-remaining Indemnification Escrow Funds pursuant to the terms of the Escrow Agreement, and only after the Indemnification Escrow Amount is exhausted, the Purchaser Indemnified Parties shall be entitled to recover such Losses, second, from the RWI Policy. With respect to Losses arising out of, relating to, or resulting from, claims in respect of </w:t>
      </w:r>
      <w:r>
        <w:rPr>
          <w:rFonts w:ascii="Arial" w:cs="Arial" w:eastAsia="Arial" w:hAnsi="Arial"/>
          <w:sz w:val="19"/>
          <w:szCs w:val="19"/>
          <w:u w:val="single" w:color="auto"/>
          <w:color w:val="auto"/>
        </w:rPr>
        <w:t>Section 10.2(a)(iv)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10.2(b)(iii)</w:t>
      </w:r>
      <w:r>
        <w:rPr>
          <w:rFonts w:ascii="Arial" w:cs="Arial" w:eastAsia="Arial" w:hAnsi="Arial"/>
          <w:sz w:val="19"/>
          <w:szCs w:val="19"/>
          <w:color w:val="auto"/>
        </w:rPr>
        <w:t xml:space="preserve">, the Purchaser Indemnified Parties shall be entitled to recover such Losses, first, from the then-remaining Indemnification Escrow Funds pursuant to the terms of the Escrow Agreement, and, only after the Indemnification Escrow Amount is exhausted, the Purchaser Indemnified Parties shall be entitled to recover such Losses, second, directly from (x) Sellers on a several but not joint basis (pro rata based on each Seller’s Pro Rata Percentage) if indemnifiable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or (y) the breaching Seller, if indemnifiable under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in each case, until the retention amount under the RWI Policy has been eroded, third, from the RWI Policy, to the extent the RWI Policy covers such claim and the underwriter responds in satisfaction with respect to such claim, and, if the RWI Policy is exhausted or the RWI Policy does not cover such claim or the underwriter does not respond in satisfaction with respect to such claims, the Purchaser Indemnified Parties shall be entitled to recover such Losses, fourth, directly from (x) Sellers on a several but not joint basis (pro rata based on each Seller’s Pro Rata Percentage), if indemnifiable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or (y) the breaching Seller, if indemnifiable under </w:t>
      </w:r>
      <w:r>
        <w:rPr>
          <w:rFonts w:ascii="Arial" w:cs="Arial" w:eastAsia="Arial" w:hAnsi="Arial"/>
          <w:sz w:val="19"/>
          <w:szCs w:val="19"/>
          <w:u w:val="single" w:color="auto"/>
          <w:color w:val="auto"/>
        </w:rPr>
        <w:t>Section 10.2(b)</w:t>
      </w:r>
      <w:r>
        <w:rPr>
          <w:rFonts w:ascii="Arial" w:cs="Arial" w:eastAsia="Arial" w:hAnsi="Arial"/>
          <w:sz w:val="19"/>
          <w:szCs w:val="19"/>
          <w:color w:val="auto"/>
        </w:rPr>
        <w: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2" w:name="page123"/>
    <w:bookmarkEnd w:id="122"/>
    <w:p>
      <w:pPr>
        <w:jc w:val="both"/>
        <w:spacing w:after="0" w:line="287" w:lineRule="auto"/>
        <w:rPr>
          <w:sz w:val="20"/>
          <w:szCs w:val="20"/>
          <w:color w:val="auto"/>
        </w:rPr>
      </w:pPr>
      <w:r>
        <w:rPr>
          <w:rFonts w:ascii="Arial" w:cs="Arial" w:eastAsia="Arial" w:hAnsi="Arial"/>
          <w:sz w:val="19"/>
          <w:szCs w:val="19"/>
          <w:color w:val="auto"/>
        </w:rPr>
        <w:t xml:space="preserve">Losses arising out of, relating to, or resulting from, claims in respect of </w:t>
      </w:r>
      <w:r>
        <w:rPr>
          <w:rFonts w:ascii="Arial" w:cs="Arial" w:eastAsia="Arial" w:hAnsi="Arial"/>
          <w:sz w:val="19"/>
          <w:szCs w:val="19"/>
          <w:u w:val="single" w:color="auto"/>
          <w:color w:val="auto"/>
        </w:rPr>
        <w:t>Section 10.2(a)(iii)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10.2(b)(ii)</w:t>
      </w:r>
      <w:r>
        <w:rPr>
          <w:rFonts w:ascii="Arial" w:cs="Arial" w:eastAsia="Arial" w:hAnsi="Arial"/>
          <w:sz w:val="19"/>
          <w:szCs w:val="19"/>
          <w:color w:val="auto"/>
        </w:rPr>
        <w:t xml:space="preserve">, the Purchaser Indemnified Parties shall be entitled to recover such Losses directly from (x) Sellers on a several but not joint basis (pro rata based on each Seller’s Pro Rata Percentage) if indemnifiable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or (y) the breaching Seller, if indemnifiable under </w:t>
      </w:r>
      <w:r>
        <w:rPr>
          <w:rFonts w:ascii="Arial" w:cs="Arial" w:eastAsia="Arial" w:hAnsi="Arial"/>
          <w:sz w:val="19"/>
          <w:szCs w:val="19"/>
          <w:u w:val="single" w:color="auto"/>
          <w:color w:val="auto"/>
        </w:rPr>
        <w:t>Section 10.2(b)</w:t>
      </w:r>
      <w:r>
        <w:rPr>
          <w:rFonts w:ascii="Arial" w:cs="Arial" w:eastAsia="Arial" w:hAnsi="Arial"/>
          <w:sz w:val="19"/>
          <w:szCs w:val="19"/>
          <w:color w:val="auto"/>
        </w:rPr>
        <w:t>.</w:t>
      </w:r>
    </w:p>
    <w:p>
      <w:pPr>
        <w:spacing w:after="0" w:line="143" w:lineRule="exact"/>
        <w:rPr>
          <w:sz w:val="20"/>
          <w:szCs w:val="20"/>
          <w:color w:val="auto"/>
        </w:rPr>
      </w:pPr>
    </w:p>
    <w:p>
      <w:pPr>
        <w:jc w:val="both"/>
        <w:ind w:firstLine="1288"/>
        <w:spacing w:after="0" w:line="279" w:lineRule="auto"/>
        <w:tabs>
          <w:tab w:leader="none" w:pos="1710"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Subject to the limitations in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any direct indemnification obligations of any Indemnitor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(which for the avoidance of doubt, shall not include any claims with respect to Losses incurred pursuant to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other than any Losses arising out of, relating to, or resulting from, Fraud) shall be paid to the Indemnitee, by wire transfer of immediately available funds, within five (5) Business Days following the final determination of Losses for the applicable indemnification claim,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11.1(e)</w:t>
      </w:r>
      <w:r>
        <w:rPr>
          <w:rFonts w:ascii="Arial" w:cs="Arial" w:eastAsia="Arial" w:hAnsi="Arial"/>
          <w:sz w:val="19"/>
          <w:szCs w:val="19"/>
          <w:color w:val="auto"/>
        </w:rPr>
        <w:t>, as applicable.</w:t>
      </w:r>
    </w:p>
    <w:p>
      <w:pPr>
        <w:spacing w:after="0" w:line="150"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010000"/>
        </w:rPr>
        <w:t>10.5</w:t>
      </w:r>
      <w:r>
        <w:rPr>
          <w:sz w:val="20"/>
          <w:szCs w:val="20"/>
          <w:color w:val="auto"/>
        </w:rPr>
        <w:tab/>
      </w:r>
      <w:r>
        <w:rPr>
          <w:rFonts w:ascii="Arial" w:cs="Arial" w:eastAsia="Arial" w:hAnsi="Arial"/>
          <w:sz w:val="19"/>
          <w:szCs w:val="19"/>
          <w:u w:val="single" w:color="auto"/>
          <w:color w:val="auto"/>
        </w:rPr>
        <w:t>Claims Procedures</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70" w:lineRule="auto"/>
        <w:tabs>
          <w:tab w:leader="none" w:pos="1671" w:val="left"/>
        </w:tabs>
        <w:numPr>
          <w:ilvl w:val="0"/>
          <w:numId w:val="122"/>
        </w:numPr>
        <w:rPr>
          <w:rFonts w:ascii="Arial" w:cs="Arial" w:eastAsia="Arial" w:hAnsi="Arial"/>
          <w:sz w:val="19"/>
          <w:szCs w:val="19"/>
          <w:color w:val="010000"/>
        </w:rPr>
      </w:pPr>
      <w:r>
        <w:rPr>
          <w:rFonts w:ascii="Arial" w:cs="Arial" w:eastAsia="Arial" w:hAnsi="Arial"/>
          <w:sz w:val="19"/>
          <w:szCs w:val="19"/>
          <w:u w:val="single" w:color="auto"/>
          <w:color w:val="auto"/>
        </w:rPr>
        <w:t>Direct Claims</w:t>
      </w:r>
      <w:r>
        <w:rPr>
          <w:rFonts w:ascii="Arial" w:cs="Arial" w:eastAsia="Arial" w:hAnsi="Arial"/>
          <w:sz w:val="19"/>
          <w:szCs w:val="19"/>
          <w:color w:val="auto"/>
        </w:rPr>
        <w:t>. In the event any Purchaser Indemnified Party or Seller Indemnified Party (each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shall claim indemnification hereunder for any claim (other than a Third-Party Claim) for which indemnification is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above, the Indemnitee shall reasonably promptly after it becomes aware of facts that such Indemnitee reasonably believes may give rise to the basis for such claim, give written notice (a “</w:t>
      </w:r>
      <w:r>
        <w:rPr>
          <w:rFonts w:ascii="Arial" w:cs="Arial" w:eastAsia="Arial" w:hAnsi="Arial"/>
          <w:sz w:val="19"/>
          <w:szCs w:val="19"/>
          <w:u w:val="single" w:color="auto"/>
          <w:color w:val="auto"/>
        </w:rPr>
        <w:t>Direct Claim Notice</w:t>
      </w:r>
      <w:r>
        <w:rPr>
          <w:rFonts w:ascii="Arial" w:cs="Arial" w:eastAsia="Arial" w:hAnsi="Arial"/>
          <w:sz w:val="19"/>
          <w:szCs w:val="19"/>
          <w:color w:val="auto"/>
        </w:rPr>
        <w:t>”) to the party from whom indemnity is sought (each, an “</w:t>
      </w:r>
      <w:r>
        <w:rPr>
          <w:rFonts w:ascii="Arial" w:cs="Arial" w:eastAsia="Arial" w:hAnsi="Arial"/>
          <w:sz w:val="19"/>
          <w:szCs w:val="19"/>
          <w:u w:val="single" w:color="auto"/>
          <w:color w:val="auto"/>
        </w:rPr>
        <w:t>Indemnitor</w:t>
      </w:r>
      <w:r>
        <w:rPr>
          <w:rFonts w:ascii="Arial" w:cs="Arial" w:eastAsia="Arial" w:hAnsi="Arial"/>
          <w:sz w:val="19"/>
          <w:szCs w:val="19"/>
          <w:color w:val="auto"/>
        </w:rPr>
        <w:t xml:space="preserve">”) setting forth the basis for such claim and the nature and estimated amount of such claim, all in reasonable detail and to the extent available;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such Direct Claim Notice is given within the applicable time period described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failure to reasonably promptly provide such notice shall not affect the rights of such Indemnitee to indemnification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except and only to the extent that the Indemnitor shall have been actually prejudiced thereby. If the applicable Indemnitor disputes any claim set forth in the Direct Claim Notice, it shall promptly, and in any event within thirty (30) days after receipt of the Direct Claim Notice, deliver to the Indemnitee that has given the Direct Claim Notice a written notice indicating its dispute of such Direct Claim Notice and its basis for such dispute, and the applicable parties shall attempt in good faith for a period of thirty (30) days following the delivery of such written notice to agree upon the rights of the respective parties with respect to such Direct Claim Notice. If no such agreement can be reached after good faith negotiation during such thirty (30)-day period, the parties may pursue all other remedies available to them at Law or equity in accordance with this Agreement.</w:t>
      </w:r>
    </w:p>
    <w:p>
      <w:pPr>
        <w:spacing w:after="0" w:line="168" w:lineRule="exact"/>
        <w:rPr>
          <w:rFonts w:ascii="Arial" w:cs="Arial" w:eastAsia="Arial" w:hAnsi="Arial"/>
          <w:sz w:val="19"/>
          <w:szCs w:val="19"/>
          <w:color w:val="010000"/>
        </w:rPr>
      </w:pPr>
    </w:p>
    <w:p>
      <w:pPr>
        <w:jc w:val="both"/>
        <w:ind w:firstLine="1288"/>
        <w:spacing w:after="0" w:line="274" w:lineRule="auto"/>
        <w:tabs>
          <w:tab w:leader="none" w:pos="1656" w:val="left"/>
        </w:tabs>
        <w:numPr>
          <w:ilvl w:val="0"/>
          <w:numId w:val="122"/>
        </w:numPr>
        <w:rPr>
          <w:rFonts w:ascii="Arial" w:cs="Arial" w:eastAsia="Arial" w:hAnsi="Arial"/>
          <w:sz w:val="19"/>
          <w:szCs w:val="19"/>
          <w:color w:val="010000"/>
        </w:rPr>
      </w:pPr>
      <w:r>
        <w:rPr>
          <w:rFonts w:ascii="Arial" w:cs="Arial" w:eastAsia="Arial" w:hAnsi="Arial"/>
          <w:sz w:val="19"/>
          <w:szCs w:val="19"/>
          <w:u w:val="single" w:color="auto"/>
          <w:color w:val="auto"/>
        </w:rPr>
        <w:t>Third-Party Claims</w:t>
      </w:r>
      <w:r>
        <w:rPr>
          <w:rFonts w:ascii="Arial" w:cs="Arial" w:eastAsia="Arial" w:hAnsi="Arial"/>
          <w:sz w:val="19"/>
          <w:szCs w:val="19"/>
          <w:color w:val="auto"/>
        </w:rPr>
        <w:t xml:space="preserve">. In the event any Indemnitee shall claim indemnification hereunder for any claim asserted by any third party, other than a claim relating to Taxes, which shall be controlled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11.1(e)</w:t>
      </w:r>
      <w:r>
        <w:rPr>
          <w:rFonts w:ascii="Arial" w:cs="Arial" w:eastAsia="Arial" w:hAnsi="Arial"/>
          <w:sz w:val="19"/>
          <w:szCs w:val="19"/>
          <w:color w:val="auto"/>
        </w:rPr>
        <w:t xml:space="preserve">, for which indemnification is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 “</w:t>
      </w:r>
      <w:r>
        <w:rPr>
          <w:rFonts w:ascii="Arial" w:cs="Arial" w:eastAsia="Arial" w:hAnsi="Arial"/>
          <w:sz w:val="19"/>
          <w:szCs w:val="19"/>
          <w:u w:val="single" w:color="auto"/>
          <w:color w:val="auto"/>
        </w:rPr>
        <w:t>Third-Party Claim</w:t>
      </w:r>
      <w:r>
        <w:rPr>
          <w:rFonts w:ascii="Arial" w:cs="Arial" w:eastAsia="Arial" w:hAnsi="Arial"/>
          <w:sz w:val="19"/>
          <w:szCs w:val="19"/>
          <w:color w:val="auto"/>
        </w:rPr>
        <w:t>”), the Indemnitee shall, reasonably promptly after the assertion of such Third-Party Claim, give written notice (a “</w:t>
      </w:r>
      <w:r>
        <w:rPr>
          <w:rFonts w:ascii="Arial" w:cs="Arial" w:eastAsia="Arial" w:hAnsi="Arial"/>
          <w:sz w:val="19"/>
          <w:szCs w:val="19"/>
          <w:u w:val="single" w:color="auto"/>
          <w:color w:val="auto"/>
        </w:rPr>
        <w:t>Third-Party Claim</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to the applicable Indemnitor setting forth, to the extent known, the basis for such claim and the nature and estimated amount of the claim, all in reasonable detail, together with copies of all notices and documents (including court papers) served on, or received by, such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such Third-Party Claim Notice is given within the applicable time period described in </w:t>
      </w:r>
      <w:r>
        <w:rPr>
          <w:rFonts w:ascii="Arial" w:cs="Arial" w:eastAsia="Arial" w:hAnsi="Arial"/>
          <w:sz w:val="19"/>
          <w:szCs w:val="19"/>
          <w:u w:val="single" w:color="auto"/>
          <w:color w:val="auto"/>
        </w:rPr>
        <w:t>Section 10.1</w:t>
      </w:r>
      <w:r>
        <w:rPr>
          <w:rFonts w:ascii="Arial" w:cs="Arial" w:eastAsia="Arial" w:hAnsi="Arial"/>
          <w:sz w:val="19"/>
          <w:szCs w:val="19"/>
          <w:color w:val="auto"/>
        </w:rPr>
        <w:t>, the failure to reasonably promptly provide such notice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361" w:right="999" w:bottom="1440" w:gutter="0" w:footer="0" w:header="0"/>
        </w:sectPr>
      </w:pPr>
    </w:p>
    <w:bookmarkStart w:id="123" w:name="page124"/>
    <w:bookmarkEnd w:id="123"/>
    <w:p>
      <w:pPr>
        <w:jc w:val="both"/>
        <w:ind w:left="8"/>
        <w:spacing w:after="0" w:line="267" w:lineRule="auto"/>
        <w:rPr>
          <w:sz w:val="20"/>
          <w:szCs w:val="20"/>
          <w:color w:val="auto"/>
        </w:rPr>
      </w:pPr>
      <w:r>
        <w:rPr>
          <w:rFonts w:ascii="Arial" w:cs="Arial" w:eastAsia="Arial" w:hAnsi="Arial"/>
          <w:sz w:val="19"/>
          <w:szCs w:val="19"/>
          <w:color w:val="auto"/>
        </w:rPr>
        <w:t xml:space="preserve">relieve the Indemnitor of its obligations hereunder except and only to the extent that the Indemnitor shall have been actually prejudiced by such failure to so notify. The Indemnitor, upon notice to the Indemnitee within the thirty (30)-day period after receiving a Third-Party Claim Notice, shall have the right, at its sole discretion, to assume the defense of any claim set forth in such Third-Party Claim Notice, at its own cost through reputable counsel of its own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Indemnitor assuming control of such defense, such Indemnitor shall agree in writing to be fully responsible for any indemnified Losses that may be asserted against the Indemnitee in such Third-Party Claim (subject to the limitations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Indemnitor shall not be entitled to assume control of such defense if (1) such Third-Party Claim relates to, or arises in connection with, any criminal, civil, or administrative action, investigation, or other proceeding instituted by a Governmental Authority, (2) such Third-Party Claim seeks an injunction or other equitable relief against the Indemnitee, (3) a conflict of interest exists between the Indemnitor and the Indemnitee, or (4) with respect to any claims with respect to Losses incurred pursuant to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the amount in controversy under such Third-Party Claim is greater than one hundred percent (100%) of the remaining balance of the Indemnification Escrow Funds;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Purchaser Indemnified Party has the option,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to be indemnified with respect to such Third-Party Claim pursuant to </w:t>
      </w:r>
      <w:r>
        <w:rPr>
          <w:rFonts w:ascii="Arial" w:cs="Arial" w:eastAsia="Arial" w:hAnsi="Arial"/>
          <w:sz w:val="19"/>
          <w:szCs w:val="19"/>
          <w:u w:val="single" w:color="auto"/>
          <w:color w:val="auto"/>
        </w:rPr>
        <w:t>Section 10.2(a)(iii)</w:t>
      </w:r>
      <w:r>
        <w:rPr>
          <w:rFonts w:ascii="Arial" w:cs="Arial" w:eastAsia="Arial" w:hAnsi="Arial"/>
          <w:sz w:val="19"/>
          <w:szCs w:val="19"/>
          <w:color w:val="auto"/>
        </w:rPr>
        <w:t xml:space="preserve">, then the limitation in this clause (4) shall not apply. Subject to the foregoing, if the Indemnitor assumes control of the defense of any Third-Party Claim, the Indemnitor shall diligently defend such Third-Party Claim and obtain the prior written consent of the Indemnitee (which shall not be unreasonably withheld, conditioned or delayed) before entering into any settlement, compromise, or discharge of such Third-Party Claim unless (x) none of clauses (1) through (4) of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above, as applicable, are satisfied with respect to such Third-Party Claim,</w:t>
      </w:r>
    </w:p>
    <w:p>
      <w:pPr>
        <w:spacing w:after="0" w:line="17" w:lineRule="exact"/>
        <w:rPr>
          <w:sz w:val="20"/>
          <w:szCs w:val="20"/>
          <w:color w:val="auto"/>
        </w:rPr>
      </w:pPr>
    </w:p>
    <w:p>
      <w:pPr>
        <w:jc w:val="both"/>
        <w:ind w:left="8" w:hanging="8"/>
        <w:spacing w:after="0" w:line="266" w:lineRule="auto"/>
        <w:tabs>
          <w:tab w:leader="none" w:pos="33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such settlement or compromise includes only the payment of monetary damages (which are fully paid at the time of such settlement or compromise out of funds available in the Indemnification Escrow Funds), and</w:t>
      </w:r>
    </w:p>
    <w:p>
      <w:pPr>
        <w:spacing w:after="0" w:line="1" w:lineRule="exact"/>
        <w:rPr>
          <w:rFonts w:ascii="Arial" w:cs="Arial" w:eastAsia="Arial" w:hAnsi="Arial"/>
          <w:sz w:val="19"/>
          <w:szCs w:val="19"/>
          <w:color w:val="auto"/>
        </w:rPr>
      </w:pPr>
    </w:p>
    <w:p>
      <w:pPr>
        <w:jc w:val="both"/>
        <w:ind w:left="8" w:hanging="8"/>
        <w:spacing w:after="0" w:line="269" w:lineRule="auto"/>
        <w:tabs>
          <w:tab w:leader="none" w:pos="32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such settlement or compromise releases the Indemnitor completely in connection with such Third-Party Claim, with no statement as to or an admission of fault by or on behalf of the Indemnitee or any of its Affiliates and no monetary or nonmonetary relief granted by or imposed upon the Indemnitee or any of its Affiliates. If the Indemnitor assumes control of the defense of any Third-Party Claim, (i) the Indemnitor shall periodically apprise the Indemnitee of the status of the claim, Liability, or expense and any resulting suit, proceeding, or enforcement action, and shall furnish the Indemnitee with all such documents and information in connection with such claim, Liability, or expense as the Indemnitee may reasonably request and (ii) the Indemnitee shall reasonably cooperate and provide reasonable assistance to the Indemnitor in defense of such Third-Party Claim. If the Indemnitor does not timely and affirmatively assume the defense of a Third-Party Claim or does not have the right to assume the defense of such Third-Party Claim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10.5(b)</w:t>
      </w:r>
      <w:r>
        <w:rPr>
          <w:rFonts w:ascii="Arial" w:cs="Arial" w:eastAsia="Arial" w:hAnsi="Arial"/>
          <w:sz w:val="19"/>
          <w:szCs w:val="19"/>
          <w:color w:val="auto"/>
        </w:rPr>
        <w:t xml:space="preserve">, the Indemnitee may, diligently defend such Third-Party Claim and recover indemnifiable Losses associated therewith from Indemnitor (subject to the limitations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shall not settle, compromise or offer to settle or compromise any such Third-Party Claim unless (1) the Indemnitor provides prior written consent, which consent will not be unreasonably withheld, conditioned or delayed, or (2) no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is sought by any Indemnitee in connection with the Third-Party Claim covered by the settlement. If the Indemnitee assumes control of the defense of any Third-Party Claim, (i) such Indemnitee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504190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361" w:right="999" w:bottom="1440" w:gutter="0" w:footer="0" w:header="0"/>
        </w:sectPr>
      </w:pPr>
    </w:p>
    <w:bookmarkStart w:id="124" w:name="page125"/>
    <w:bookmarkEnd w:id="124"/>
    <w:p>
      <w:pPr>
        <w:jc w:val="both"/>
        <w:ind w:left="340"/>
        <w:spacing w:after="0" w:line="273" w:lineRule="auto"/>
        <w:rPr>
          <w:sz w:val="20"/>
          <w:szCs w:val="20"/>
          <w:color w:val="auto"/>
        </w:rPr>
      </w:pPr>
      <w:r>
        <w:rPr>
          <w:rFonts w:ascii="Arial" w:cs="Arial" w:eastAsia="Arial" w:hAnsi="Arial"/>
          <w:sz w:val="19"/>
          <w:szCs w:val="19"/>
          <w:color w:val="auto"/>
        </w:rPr>
        <w:t xml:space="preserve">do so through reputable counsel of its own choosing;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claim for indemnification under </w:t>
      </w:r>
      <w:r>
        <w:rPr>
          <w:rFonts w:ascii="Arial" w:cs="Arial" w:eastAsia="Arial" w:hAnsi="Arial"/>
          <w:sz w:val="19"/>
          <w:szCs w:val="19"/>
          <w:u w:val="single" w:color="auto"/>
          <w:color w:val="auto"/>
        </w:rPr>
        <w:t>Section 10.2(a)(iii)</w:t>
      </w:r>
      <w:r>
        <w:rPr>
          <w:rFonts w:ascii="Arial" w:cs="Arial" w:eastAsia="Arial" w:hAnsi="Arial"/>
          <w:sz w:val="19"/>
          <w:szCs w:val="19"/>
          <w:color w:val="auto"/>
        </w:rPr>
        <w:t xml:space="preserve">, such counsel shall be reasonably acceptable to Sellers’ Representative, (ii) the Indemnitee shall periodically apprise the Indemnitor of the status of the claim, Liability, or expense and any resulting suit, proceeding, or enforcement action, and shall furnish the Indemnitor with all such documents and information in connection with such claim, Liability, or expense as the Indemnitor may reasonably request and (iii) the Indemnitor shall cooperate and provide reasonable assistance to the Indemnitee in defense of such Third-Party Claim. Notwithstanding anything herein to the contrary, the Indemnitee or the Indemnitor, as applicable, who has not assumed the defense of the Third-Party Claim pursuant to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shall at all times have the right to participate fully in such defense at its own expense directly or through one counsel of its choice. For the avoidance of doubt,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shall not apply to Tax Contests, which shall be governed exclusively by </w:t>
      </w:r>
      <w:r>
        <w:rPr>
          <w:rFonts w:ascii="Arial" w:cs="Arial" w:eastAsia="Arial" w:hAnsi="Arial"/>
          <w:sz w:val="19"/>
          <w:szCs w:val="19"/>
          <w:u w:val="single" w:color="auto"/>
          <w:color w:val="auto"/>
        </w:rPr>
        <w:t>Section 11.1(e)</w:t>
      </w:r>
      <w:r>
        <w:rPr>
          <w:rFonts w:ascii="Arial" w:cs="Arial" w:eastAsia="Arial" w:hAnsi="Arial"/>
          <w:sz w:val="19"/>
          <w:szCs w:val="19"/>
          <w:color w:val="auto"/>
        </w:rPr>
        <w:t>.</w:t>
      </w:r>
    </w:p>
    <w:p>
      <w:pPr>
        <w:spacing w:after="0" w:line="15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010000"/>
        </w:rPr>
        <w:t xml:space="preserve">10.6 </w:t>
      </w:r>
      <w:r>
        <w:rPr>
          <w:rFonts w:ascii="Arial" w:cs="Arial" w:eastAsia="Arial" w:hAnsi="Arial"/>
          <w:sz w:val="19"/>
          <w:szCs w:val="19"/>
          <w:u w:val="single" w:color="auto"/>
          <w:color w:val="000000"/>
        </w:rPr>
        <w:t>Final Purchase Price Adjustment</w:t>
      </w:r>
      <w:r>
        <w:rPr>
          <w:rFonts w:ascii="Arial" w:cs="Arial" w:eastAsia="Arial" w:hAnsi="Arial"/>
          <w:sz w:val="19"/>
          <w:szCs w:val="19"/>
          <w:color w:val="000000"/>
        </w:rPr>
        <w:t>. All indemnification payments under this Agreement shall be</w:t>
      </w:r>
      <w:r>
        <w:rPr>
          <w:rFonts w:ascii="Arial" w:cs="Arial" w:eastAsia="Arial" w:hAnsi="Arial"/>
          <w:sz w:val="19"/>
          <w:szCs w:val="19"/>
          <w:color w:val="010000"/>
        </w:rPr>
        <w:t xml:space="preserve"> </w:t>
      </w:r>
      <w:r>
        <w:rPr>
          <w:rFonts w:ascii="Arial" w:cs="Arial" w:eastAsia="Arial" w:hAnsi="Arial"/>
          <w:sz w:val="19"/>
          <w:szCs w:val="19"/>
          <w:color w:val="000000"/>
        </w:rPr>
        <w:t>deemed adjustments to the final Purchase Price for all Tax purposes, unless otherwise required by applicable Law.</w:t>
      </w:r>
    </w:p>
    <w:p>
      <w:pPr>
        <w:spacing w:after="0" w:line="1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010000"/>
        </w:rPr>
        <w:t xml:space="preserve">10.7 </w:t>
      </w:r>
      <w:r>
        <w:rPr>
          <w:rFonts w:ascii="Arial" w:cs="Arial" w:eastAsia="Arial" w:hAnsi="Arial"/>
          <w:sz w:val="19"/>
          <w:szCs w:val="19"/>
          <w:u w:val="single" w:color="auto"/>
          <w:color w:val="000000"/>
        </w:rPr>
        <w:t>Release of Indemnification Escrow Funds</w:t>
      </w:r>
      <w:r>
        <w:rPr>
          <w:rFonts w:ascii="Arial" w:cs="Arial" w:eastAsia="Arial" w:hAnsi="Arial"/>
          <w:sz w:val="19"/>
          <w:szCs w:val="19"/>
          <w:color w:val="000000"/>
        </w:rPr>
        <w:t>. Within five (5) Business Days following the General</w:t>
      </w:r>
      <w:r>
        <w:rPr>
          <w:rFonts w:ascii="Arial" w:cs="Arial" w:eastAsia="Arial" w:hAnsi="Arial"/>
          <w:sz w:val="19"/>
          <w:szCs w:val="19"/>
          <w:color w:val="010000"/>
        </w:rPr>
        <w:t xml:space="preserve"> </w:t>
      </w:r>
      <w:r>
        <w:rPr>
          <w:rFonts w:ascii="Arial" w:cs="Arial" w:eastAsia="Arial" w:hAnsi="Arial"/>
          <w:sz w:val="19"/>
          <w:szCs w:val="19"/>
          <w:color w:val="000000"/>
        </w:rPr>
        <w:t xml:space="preserve">Survival Date, Purchaser and the Sellers’ Representative shall jointly instruct the Escrow Agent to pay to (x) each Seller such Seller’s Pro Rata Percentage of an amount equal to the Initial Indemnity Release Amount </w:t>
      </w:r>
      <w:r>
        <w:rPr>
          <w:rFonts w:ascii="Arial" w:cs="Arial" w:eastAsia="Arial" w:hAnsi="Arial"/>
          <w:sz w:val="19"/>
          <w:szCs w:val="19"/>
          <w:i w:val="1"/>
          <w:iCs w:val="1"/>
          <w:color w:val="000000"/>
        </w:rPr>
        <w:t>less</w:t>
      </w:r>
      <w:r>
        <w:rPr>
          <w:rFonts w:ascii="Arial" w:cs="Arial" w:eastAsia="Arial" w:hAnsi="Arial"/>
          <w:sz w:val="19"/>
          <w:szCs w:val="19"/>
          <w:color w:val="000000"/>
        </w:rPr>
        <w:t xml:space="preserve"> the Transaction Bonus Portion of the Initial Indemnity Release Amount and (y) the Company the Transaction Bonus Portion of the Initial Indemnity Release Amount for further distribution in accordance with the applicable Honored Agreements pursuant to </w:t>
      </w:r>
      <w:r>
        <w:rPr>
          <w:rFonts w:ascii="Arial" w:cs="Arial" w:eastAsia="Arial" w:hAnsi="Arial"/>
          <w:sz w:val="19"/>
          <w:szCs w:val="19"/>
          <w:u w:val="single" w:color="auto"/>
          <w:color w:val="000000"/>
        </w:rPr>
        <w:t>Section 7.7(h)</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notwithstanding anything herein to the contrary, any portion of such Initial Release Amount (including any Transaction Bonus Portion of such Initial Release Amount) for which compensatory Tax withholding is required by Law shall be paid via an applicable payroll system). For purposes hereof, “</w:t>
      </w:r>
      <w:r>
        <w:rPr>
          <w:rFonts w:ascii="Arial" w:cs="Arial" w:eastAsia="Arial" w:hAnsi="Arial"/>
          <w:sz w:val="19"/>
          <w:szCs w:val="19"/>
          <w:u w:val="single" w:color="auto"/>
          <w:color w:val="000000"/>
        </w:rPr>
        <w:t>Initial Indemnity Release Amount</w:t>
      </w:r>
      <w:r>
        <w:rPr>
          <w:rFonts w:ascii="Arial" w:cs="Arial" w:eastAsia="Arial" w:hAnsi="Arial"/>
          <w:sz w:val="19"/>
          <w:szCs w:val="19"/>
          <w:color w:val="000000"/>
        </w:rPr>
        <w:t>” means an amount equal to (a) the then-remaining Indemnification Escrow Funds, less (b) any portion of the Indemnification Escrow Funds subject to a claim for indemnification pursuant to a Claim Notice given by a Purchaser Indemnified Party that has been submitted on or prior to the General Survival Date (each, an “</w:t>
      </w:r>
      <w:r>
        <w:rPr>
          <w:rFonts w:ascii="Arial" w:cs="Arial" w:eastAsia="Arial" w:hAnsi="Arial"/>
          <w:sz w:val="19"/>
          <w:szCs w:val="19"/>
          <w:u w:val="single" w:color="auto"/>
          <w:color w:val="000000"/>
        </w:rPr>
        <w:t>Outstanding Claim</w:t>
      </w:r>
      <w:r>
        <w:rPr>
          <w:rFonts w:ascii="Arial" w:cs="Arial" w:eastAsia="Arial" w:hAnsi="Arial"/>
          <w:sz w:val="19"/>
          <w:szCs w:val="19"/>
          <w:color w:val="000000"/>
        </w:rPr>
        <w:t xml:space="preserve">”), which portion shall continue to be retained until final settlement between the Purchaser Indemnified Party and the Sellers’ Representative or final non-appealable resolution of all such Outstanding Claims (or until any such portion of such amounts is determined pursuant to </w:t>
      </w:r>
      <w:r>
        <w:rPr>
          <w:rFonts w:ascii="Arial" w:cs="Arial" w:eastAsia="Arial" w:hAnsi="Arial"/>
          <w:sz w:val="19"/>
          <w:szCs w:val="19"/>
          <w:u w:val="single" w:color="auto"/>
          <w:color w:val="000000"/>
        </w:rPr>
        <w:t>Section 10.5</w:t>
      </w:r>
      <w:r>
        <w:rPr>
          <w:rFonts w:ascii="Arial" w:cs="Arial" w:eastAsia="Arial" w:hAnsi="Arial"/>
          <w:sz w:val="19"/>
          <w:szCs w:val="19"/>
          <w:color w:val="000000"/>
        </w:rPr>
        <w:t xml:space="preserve">). As soon as all such claims for indemnification have been resolved or any such portion of such amounts is determined pursuant to </w:t>
      </w:r>
      <w:r>
        <w:rPr>
          <w:rFonts w:ascii="Arial" w:cs="Arial" w:eastAsia="Arial" w:hAnsi="Arial"/>
          <w:sz w:val="19"/>
          <w:szCs w:val="19"/>
          <w:u w:val="single" w:color="auto"/>
          <w:color w:val="000000"/>
        </w:rPr>
        <w:t>Section 10.5</w:t>
      </w:r>
      <w:r>
        <w:rPr>
          <w:rFonts w:ascii="Arial" w:cs="Arial" w:eastAsia="Arial" w:hAnsi="Arial"/>
          <w:sz w:val="19"/>
          <w:szCs w:val="19"/>
          <w:color w:val="000000"/>
        </w:rPr>
        <w:t xml:space="preserve"> to be no longer necessary to satisfy such claims for indemnification, the Escrow Agent shall deliver the remaining portion of such undistributed amount, if any, to be released in accordance with such settlement or resolution or not required to satisfy such claims for indemnification (“</w:t>
      </w:r>
      <w:r>
        <w:rPr>
          <w:rFonts w:ascii="Arial" w:cs="Arial" w:eastAsia="Arial" w:hAnsi="Arial"/>
          <w:sz w:val="19"/>
          <w:szCs w:val="19"/>
          <w:u w:val="single" w:color="auto"/>
          <w:color w:val="000000"/>
        </w:rPr>
        <w:t>Resolved Amount</w:t>
      </w:r>
      <w:r>
        <w:rPr>
          <w:rFonts w:ascii="Arial" w:cs="Arial" w:eastAsia="Arial" w:hAnsi="Arial"/>
          <w:sz w:val="19"/>
          <w:szCs w:val="19"/>
          <w:color w:val="000000"/>
        </w:rPr>
        <w:t xml:space="preserve">”) to (x) each Seller such Seller’s Pro Rata Percentage of an amount equal to the Resolved Amount </w:t>
      </w:r>
      <w:r>
        <w:rPr>
          <w:rFonts w:ascii="Arial" w:cs="Arial" w:eastAsia="Arial" w:hAnsi="Arial"/>
          <w:sz w:val="19"/>
          <w:szCs w:val="19"/>
          <w:i w:val="1"/>
          <w:iCs w:val="1"/>
          <w:color w:val="000000"/>
        </w:rPr>
        <w:t>less</w:t>
      </w:r>
      <w:r>
        <w:rPr>
          <w:rFonts w:ascii="Arial" w:cs="Arial" w:eastAsia="Arial" w:hAnsi="Arial"/>
          <w:sz w:val="19"/>
          <w:szCs w:val="19"/>
          <w:color w:val="000000"/>
        </w:rPr>
        <w:t xml:space="preserve"> the Transaction Bonus Portion of such Resolved Amount and (y) the Company the Transaction Bonus Portion of such Resolved Amount for further distribution in accordance with the applicable Honored Agreements pursuant to </w:t>
      </w:r>
      <w:r>
        <w:rPr>
          <w:rFonts w:ascii="Arial" w:cs="Arial" w:eastAsia="Arial" w:hAnsi="Arial"/>
          <w:sz w:val="19"/>
          <w:szCs w:val="19"/>
          <w:u w:val="single" w:color="auto"/>
          <w:color w:val="000000"/>
        </w:rPr>
        <w:t>Section 7.7(h</w:t>
      </w:r>
      <w:r>
        <w:rPr>
          <w:rFonts w:ascii="Arial" w:cs="Arial" w:eastAsia="Arial" w:hAnsi="Arial"/>
          <w:sz w:val="19"/>
          <w:szCs w:val="19"/>
          <w:color w:val="000000"/>
        </w:rPr>
        <w:t xml:space="preserve">) (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notwithstanding anything herein to the contrary, any portion of such Resolved Amount (including any Transaction Bonus Portion of such Resolved Amount) for which compensatory Tax withholding is required by Law shall be paid via an applicable payroll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5" w:name="page126"/>
    <w:bookmarkEnd w:id="125"/>
    <w:p>
      <w:pPr>
        <w:jc w:val="both"/>
        <w:ind w:firstLine="648"/>
        <w:spacing w:after="0" w:line="274" w:lineRule="auto"/>
        <w:rPr>
          <w:sz w:val="20"/>
          <w:szCs w:val="20"/>
          <w:color w:val="auto"/>
        </w:rPr>
      </w:pPr>
      <w:r>
        <w:rPr>
          <w:rFonts w:ascii="Arial" w:cs="Arial" w:eastAsia="Arial" w:hAnsi="Arial"/>
          <w:sz w:val="19"/>
          <w:szCs w:val="19"/>
          <w:color w:val="010000"/>
        </w:rPr>
        <w:t xml:space="preserve">10.8 </w:t>
      </w:r>
      <w:r>
        <w:rPr>
          <w:rFonts w:ascii="Arial" w:cs="Arial" w:eastAsia="Arial" w:hAnsi="Arial"/>
          <w:sz w:val="19"/>
          <w:szCs w:val="19"/>
          <w:u w:val="single" w:color="auto"/>
          <w:color w:val="000000"/>
        </w:rPr>
        <w:t>Effect of Knowledge</w:t>
      </w:r>
      <w:r>
        <w:rPr>
          <w:rFonts w:ascii="Arial" w:cs="Arial" w:eastAsia="Arial" w:hAnsi="Arial"/>
          <w:sz w:val="19"/>
          <w:szCs w:val="19"/>
          <w:color w:val="000000"/>
        </w:rPr>
        <w:t>. Subject to the limitations set forth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7.11(c)</w:t>
      </w:r>
      <w:r>
        <w:rPr>
          <w:rFonts w:ascii="Arial" w:cs="Arial" w:eastAsia="Arial" w:hAnsi="Arial"/>
          <w:sz w:val="19"/>
          <w:szCs w:val="19"/>
          <w:color w:val="000000"/>
        </w:rPr>
        <w:t>, rights of the</w:t>
      </w:r>
      <w:r>
        <w:rPr>
          <w:rFonts w:ascii="Arial" w:cs="Arial" w:eastAsia="Arial" w:hAnsi="Arial"/>
          <w:sz w:val="19"/>
          <w:szCs w:val="19"/>
          <w:color w:val="010000"/>
        </w:rPr>
        <w:t xml:space="preserve"> </w:t>
      </w:r>
      <w:r>
        <w:rPr>
          <w:rFonts w:ascii="Arial" w:cs="Arial" w:eastAsia="Arial" w:hAnsi="Arial"/>
          <w:sz w:val="19"/>
          <w:szCs w:val="19"/>
          <w:color w:val="000000"/>
        </w:rPr>
        <w:t>Indemnitees to indemnification for the representations, warranties, covenants, and agreements set forth herein are part of the basis of the bargain contemplated by this Agreement, and their rights to indemnification shall not be affected or waived by virtue of (and Purchaser shall be deemed to have relied upon the representations, warranties, covenants, and agreements set forth herein notwithstanding) any knowledge on the part of Purchaser or any other Indemnitee of any untruth of any such representation or warranty or breach of any covenant or agreement set forth in this Agreement, regardless of whether such knowledge was obtained through the investigation by Purchaser or any other Indemnitee or through disclosure by any Seller, the Company, or any other Person, and regardless of whether such knowledge was obtained before, at, or after the Closing.</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10.9 </w:t>
      </w:r>
      <w:r>
        <w:rPr>
          <w:rFonts w:ascii="Arial" w:cs="Arial" w:eastAsia="Arial" w:hAnsi="Arial"/>
          <w:sz w:val="21"/>
          <w:szCs w:val="21"/>
          <w:u w:val="single" w:color="auto"/>
          <w:color w:val="000000"/>
        </w:rPr>
        <w:t>Sole Remedy</w:t>
      </w:r>
      <w:r>
        <w:rPr>
          <w:rFonts w:ascii="Arial" w:cs="Arial" w:eastAsia="Arial" w:hAnsi="Arial"/>
          <w:sz w:val="21"/>
          <w:szCs w:val="21"/>
          <w:color w:val="000000"/>
        </w:rPr>
        <w:t>. The Parties agree that, notwithstanding anything to the contrary set forth in this</w:t>
      </w:r>
      <w:r>
        <w:rPr>
          <w:rFonts w:ascii="Arial" w:cs="Arial" w:eastAsia="Arial" w:hAnsi="Arial"/>
          <w:sz w:val="21"/>
          <w:szCs w:val="21"/>
          <w:color w:val="010000"/>
        </w:rPr>
        <w:t xml:space="preserve"> </w:t>
      </w:r>
      <w:r>
        <w:rPr>
          <w:rFonts w:ascii="Arial" w:cs="Arial" w:eastAsia="Arial" w:hAnsi="Arial"/>
          <w:sz w:val="21"/>
          <w:szCs w:val="21"/>
          <w:color w:val="000000"/>
        </w:rPr>
        <w:t xml:space="preserve">Agreement or otherwise, from and after the Closing, except with respect to (a) the enforcement of any determination of the Accounting Referee pursuant to </w:t>
      </w:r>
      <w:r>
        <w:rPr>
          <w:rFonts w:ascii="Arial" w:cs="Arial" w:eastAsia="Arial" w:hAnsi="Arial"/>
          <w:sz w:val="21"/>
          <w:szCs w:val="21"/>
          <w:u w:val="single" w:color="auto"/>
          <w:color w:val="000000"/>
        </w:rPr>
        <w:t>Section 1.4</w:t>
      </w:r>
      <w:r>
        <w:rPr>
          <w:rFonts w:ascii="Arial" w:cs="Arial" w:eastAsia="Arial" w:hAnsi="Arial"/>
          <w:sz w:val="21"/>
          <w:szCs w:val="21"/>
          <w:color w:val="000000"/>
        </w:rPr>
        <w:t xml:space="preserve">, (b) Fraud, (c) matters addressed in the Side Letter (solely with respect to the parties thereto), and/or (d) the rights of any Party to seek injunctive relief or specific performance as provided in this Agreement, the rights of the Indemnitees to indemnification relating to this Agreement and the transactions contemplated hereby shall be strictly limited to those contained in this </w:t>
      </w:r>
      <w:r>
        <w:rPr>
          <w:rFonts w:ascii="Arial" w:cs="Arial" w:eastAsia="Arial" w:hAnsi="Arial"/>
          <w:sz w:val="21"/>
          <w:szCs w:val="21"/>
          <w:u w:val="single" w:color="auto"/>
          <w:color w:val="000000"/>
        </w:rPr>
        <w:t>Article</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X</w:t>
      </w:r>
      <w:r>
        <w:rPr>
          <w:rFonts w:ascii="Arial" w:cs="Arial" w:eastAsia="Arial" w:hAnsi="Arial"/>
          <w:sz w:val="21"/>
          <w:szCs w:val="21"/>
          <w:color w:val="000000"/>
        </w:rPr>
        <w:t xml:space="preserve">, and such indemnification rights set forth in this </w:t>
      </w:r>
      <w:r>
        <w:rPr>
          <w:rFonts w:ascii="Arial" w:cs="Arial" w:eastAsia="Arial" w:hAnsi="Arial"/>
          <w:sz w:val="21"/>
          <w:szCs w:val="21"/>
          <w:u w:val="single" w:color="auto"/>
          <w:color w:val="000000"/>
        </w:rPr>
        <w:t>Article X</w:t>
      </w:r>
      <w:r>
        <w:rPr>
          <w:rFonts w:ascii="Arial" w:cs="Arial" w:eastAsia="Arial" w:hAnsi="Arial"/>
          <w:sz w:val="21"/>
          <w:szCs w:val="21"/>
          <w:color w:val="000000"/>
        </w:rPr>
        <w:t xml:space="preserve"> shall be the sole and exclusive remedies of the Indemnitees for Losses subsequent to the Closing Date with respect to any matter in any way relating to the matters set forth in this Agreement or arising in connection herewith. Notwithstanding anything to the contrary in this Agreement, the provisions of this </w:t>
      </w:r>
      <w:r>
        <w:rPr>
          <w:rFonts w:ascii="Arial" w:cs="Arial" w:eastAsia="Arial" w:hAnsi="Arial"/>
          <w:sz w:val="21"/>
          <w:szCs w:val="21"/>
          <w:u w:val="single" w:color="auto"/>
          <w:color w:val="000000"/>
        </w:rPr>
        <w:t>Article X</w:t>
      </w:r>
      <w:r>
        <w:rPr>
          <w:rFonts w:ascii="Arial" w:cs="Arial" w:eastAsia="Arial" w:hAnsi="Arial"/>
          <w:sz w:val="21"/>
          <w:szCs w:val="21"/>
          <w:color w:val="000000"/>
        </w:rPr>
        <w:t xml:space="preserve"> shall not affect or otherwise operate to limit the rights of any insured to recover under the RWI Policy.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jc w:val="both"/>
        <w:ind w:left="340" w:firstLine="1288"/>
        <w:spacing w:after="0" w:line="271" w:lineRule="auto"/>
        <w:tabs>
          <w:tab w:leader="none" w:pos="2416"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 xml:space="preserve">Purchaser will prepare and file, or cause to be prepared and filed, all Tax Returns for the Company required to be filed after the Closing Date for all Pre-Closing Tax Periods (including the pre-Closing portion of any Straddle Period), and all such Tax Returns will be prepared in a manner consistent with the past practice of the Company, except to the extent otherwise required by applicable Law. Purchaser shall provide any such Tax Returns which are Income Tax Returns at least thirty (30) days prior to their due date to the Sellers’ Representative for review and comment. The prior written consent of the Sellers’ Representative will be required before filing each Tax Return described in this </w:t>
      </w:r>
      <w:r>
        <w:rPr>
          <w:rFonts w:ascii="Arial" w:cs="Arial" w:eastAsia="Arial" w:hAnsi="Arial"/>
          <w:sz w:val="19"/>
          <w:szCs w:val="19"/>
          <w:u w:val="single" w:color="auto"/>
          <w:color w:val="auto"/>
        </w:rPr>
        <w:t>Section 11.1(a)</w:t>
      </w:r>
      <w:r>
        <w:rPr>
          <w:rFonts w:ascii="Arial" w:cs="Arial" w:eastAsia="Arial" w:hAnsi="Arial"/>
          <w:sz w:val="19"/>
          <w:szCs w:val="19"/>
          <w:color w:val="auto"/>
        </w:rPr>
        <w:t xml:space="preserve"> that reflects Indemnified Taxes for which Sellers are liable under this Agreement, which consent will not be unreasonably withheld, delayed, or conditioned. Each of Purchaser, the Company and the Sellers’ Representative shall cooperate fully, as and to the extent reasonably requested by another Party, in connection with preparing or filing any Tax Return of the Company and any audit or other proceeding with respect to Taxes. Such cooperation shall include the retention and (upon the other Party’s request) the provision of records and information that are reasonably relevant to any such audit or other proceeding and making employees available on a mutually convenient basis to provide additional information and explanation of any material provided hereunder. The obligations set forth in this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u w:val="single" w:color="auto"/>
          <w:color w:val="auto"/>
        </w:rPr>
        <w:t>11.1(a)</w:t>
      </w:r>
      <w:r>
        <w:rPr>
          <w:rFonts w:ascii="Arial" w:cs="Arial" w:eastAsia="Arial" w:hAnsi="Arial"/>
          <w:sz w:val="19"/>
          <w:szCs w:val="19"/>
          <w:color w:val="auto"/>
        </w:rPr>
        <w:t xml:space="preserve"> shall remain in effect for the statutory period during which the Taxes in question can be imposed.</w:t>
      </w:r>
    </w:p>
    <w:p>
      <w:pPr>
        <w:spacing w:after="0" w:line="241" w:lineRule="exact"/>
        <w:rPr>
          <w:sz w:val="20"/>
          <w:szCs w:val="20"/>
          <w:color w:val="auto"/>
        </w:rPr>
      </w:pPr>
    </w:p>
    <w:p>
      <w:pPr>
        <w:jc w:val="both"/>
        <w:ind w:firstLine="1288"/>
        <w:spacing w:after="0" w:line="246" w:lineRule="auto"/>
        <w:tabs>
          <w:tab w:leader="none" w:pos="2155" w:val="left"/>
        </w:tabs>
        <w:numPr>
          <w:ilvl w:val="0"/>
          <w:numId w:val="125"/>
        </w:numPr>
        <w:rPr>
          <w:rFonts w:ascii="Arial" w:cs="Arial" w:eastAsia="Arial" w:hAnsi="Arial"/>
          <w:sz w:val="21"/>
          <w:szCs w:val="21"/>
          <w:color w:val="010000"/>
        </w:rPr>
      </w:pPr>
      <w:r>
        <w:rPr>
          <w:rFonts w:ascii="Arial" w:cs="Arial" w:eastAsia="Arial" w:hAnsi="Arial"/>
          <w:sz w:val="21"/>
          <w:szCs w:val="21"/>
          <w:color w:val="auto"/>
        </w:rPr>
        <w:t xml:space="preserve">In the case of any Straddle Period, the amount of any Taxes other than property or similar </w:t>
      </w:r>
      <w:r>
        <w:rPr>
          <w:rFonts w:ascii="Arial" w:cs="Arial" w:eastAsia="Arial" w:hAnsi="Arial"/>
          <w:sz w:val="21"/>
          <w:szCs w:val="21"/>
          <w:i w:val="1"/>
          <w:iCs w:val="1"/>
          <w:color w:val="auto"/>
        </w:rPr>
        <w:t>ad valorem</w:t>
      </w:r>
      <w:r>
        <w:rPr>
          <w:rFonts w:ascii="Arial" w:cs="Arial" w:eastAsia="Arial" w:hAnsi="Arial"/>
          <w:sz w:val="21"/>
          <w:szCs w:val="21"/>
          <w:color w:val="auto"/>
        </w:rPr>
        <w:t xml:space="preserve"> Taxes for the Pre-Closing Tax Period shall be determined based on an interim closing of the Company’s books as of the close of business on the Closing Date and the amount of any property or similar </w:t>
      </w:r>
      <w:r>
        <w:rPr>
          <w:rFonts w:ascii="Arial" w:cs="Arial" w:eastAsia="Arial" w:hAnsi="Arial"/>
          <w:sz w:val="21"/>
          <w:szCs w:val="21"/>
          <w:i w:val="1"/>
          <w:iCs w:val="1"/>
          <w:color w:val="auto"/>
        </w:rPr>
        <w:t>ad valorem</w:t>
      </w:r>
      <w:r>
        <w:rPr>
          <w:rFonts w:ascii="Arial" w:cs="Arial" w:eastAsia="Arial" w:hAnsi="Arial"/>
          <w:sz w:val="21"/>
          <w:szCs w:val="21"/>
          <w:color w:val="auto"/>
        </w:rPr>
        <w:t xml:space="preserve"> Taxes for a Straddle Period that relate to the Pre-Closing Tax Period shall be deemed to be the amount of such Taxes payable during the entire taxable period multiplied by a fraction, the numerator of which is the number of days in the Straddle Period up to and ending on the Closing Date and the denominator of which is the total number of days in such Straddle Period.</w:t>
      </w:r>
    </w:p>
    <w:p>
      <w:pPr>
        <w:spacing w:after="0" w:line="184" w:lineRule="exact"/>
        <w:rPr>
          <w:rFonts w:ascii="Arial" w:cs="Arial" w:eastAsia="Arial" w:hAnsi="Arial"/>
          <w:sz w:val="21"/>
          <w:szCs w:val="21"/>
          <w:color w:val="010000"/>
        </w:rPr>
      </w:pPr>
    </w:p>
    <w:p>
      <w:pPr>
        <w:jc w:val="both"/>
        <w:ind w:firstLine="1288"/>
        <w:spacing w:after="0" w:line="234" w:lineRule="auto"/>
        <w:tabs>
          <w:tab w:leader="none" w:pos="2022"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 xml:space="preserve">Following the Closing, without the prior written consent of the Sellers’ Representative (not to be unreasonably withheld, conditioned, or delayed), Purchaser shall not cause or permit the Company to amend, refile, or otherwise modify, any Tax election or Tax Return with respect to any Pre-Closing Tax Period or, with respect to a Pre-Closing Tax Period, file any Tax Return (other than Tax Returns filed in accordance with </w:t>
      </w:r>
      <w:r>
        <w:rPr>
          <w:rFonts w:ascii="Arial" w:cs="Arial" w:eastAsia="Arial" w:hAnsi="Arial"/>
          <w:sz w:val="22"/>
          <w:szCs w:val="22"/>
          <w:u w:val="single" w:color="auto"/>
          <w:color w:val="auto"/>
        </w:rPr>
        <w:t>Section 11.1(a)</w:t>
      </w:r>
      <w:r>
        <w:rPr>
          <w:rFonts w:ascii="Arial" w:cs="Arial" w:eastAsia="Arial" w:hAnsi="Arial"/>
          <w:sz w:val="22"/>
          <w:szCs w:val="22"/>
          <w:color w:val="auto"/>
        </w:rPr>
        <w:t>) or initiate any voluntary disclosure process with respect to the Company in any jurisdiction in which such entity has not previously filed such type of Tax Return or paid such type of Taxes, in each case to the extent that taking such action would cause Sellers to have Liability under this Agreement.</w:t>
      </w:r>
    </w:p>
    <w:p>
      <w:pPr>
        <w:spacing w:after="0" w:line="186" w:lineRule="exact"/>
        <w:rPr>
          <w:rFonts w:ascii="Arial" w:cs="Arial" w:eastAsia="Arial" w:hAnsi="Arial"/>
          <w:sz w:val="22"/>
          <w:szCs w:val="22"/>
          <w:color w:val="010000"/>
        </w:rPr>
      </w:pPr>
    </w:p>
    <w:p>
      <w:pPr>
        <w:jc w:val="both"/>
        <w:ind w:firstLine="1288"/>
        <w:spacing w:after="0" w:line="270" w:lineRule="auto"/>
        <w:tabs>
          <w:tab w:leader="none" w:pos="2101"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Except to the extent reflected as an asset in the calculation of Closing Date Working Capital or otherwise having already been reflected in the calculation of the Purchase Price, any refunds for Taxes that are received by Purchaser or the Company, and any amounts credited against Taxes to which Purchaser or the Company become entitled (other than any such refunds or amounts credited resulting from the carryforward or carryback of any net operating loss (“</w:t>
      </w:r>
      <w:r>
        <w:rPr>
          <w:rFonts w:ascii="Arial" w:cs="Arial" w:eastAsia="Arial" w:hAnsi="Arial"/>
          <w:sz w:val="19"/>
          <w:szCs w:val="19"/>
          <w:u w:val="single" w:color="auto"/>
          <w:color w:val="auto"/>
        </w:rPr>
        <w:t>NOL</w:t>
      </w:r>
      <w:r>
        <w:rPr>
          <w:rFonts w:ascii="Arial" w:cs="Arial" w:eastAsia="Arial" w:hAnsi="Arial"/>
          <w:sz w:val="19"/>
          <w:szCs w:val="19"/>
          <w:color w:val="auto"/>
        </w:rPr>
        <w:t xml:space="preserve">”) of the Company), that relate to any Pre-Closing Tax Period shall be for the account of Sellers, and Purchaser shall pay (net of reasonable, out-of-pocket expenses incurred in connection with obtaining such refund or credit) over to (i) Sellers on a pro rata basis (based on Sellers’ respective Pro Rata Percentages), by wire transfer of immediately available funds to the accounts designated in writing by Sellers, an amount equal to (A) any such refund or the amount of any such credit </w:t>
      </w:r>
      <w:r>
        <w:rPr>
          <w:rFonts w:ascii="Arial" w:cs="Arial" w:eastAsia="Arial" w:hAnsi="Arial"/>
          <w:sz w:val="19"/>
          <w:szCs w:val="19"/>
          <w:i w:val="1"/>
          <w:iCs w:val="1"/>
          <w:color w:val="auto"/>
        </w:rPr>
        <w:t>less</w:t>
      </w:r>
      <w:r>
        <w:rPr>
          <w:rFonts w:ascii="Arial" w:cs="Arial" w:eastAsia="Arial" w:hAnsi="Arial"/>
          <w:sz w:val="19"/>
          <w:szCs w:val="19"/>
          <w:color w:val="auto"/>
        </w:rPr>
        <w:t xml:space="preserve"> (B) the Transaction Bonus Portion of any such refund or the amount of any such credit and (ii) the Company the Transaction Bonus Portion of any such refund or the amount of any such credit for further distribution in accordance with the applicable Honored Agreements pursuant to </w:t>
      </w:r>
      <w:r>
        <w:rPr>
          <w:rFonts w:ascii="Arial" w:cs="Arial" w:eastAsia="Arial" w:hAnsi="Arial"/>
          <w:sz w:val="19"/>
          <w:szCs w:val="19"/>
          <w:u w:val="single" w:color="auto"/>
          <w:color w:val="auto"/>
        </w:rPr>
        <w:t>Section 7.7(h</w:t>
      </w:r>
      <w:r>
        <w:rPr>
          <w:rFonts w:ascii="Arial" w:cs="Arial" w:eastAsia="Arial" w:hAnsi="Arial"/>
          <w:sz w:val="19"/>
          <w:szCs w:val="19"/>
          <w:color w:val="auto"/>
        </w:rPr>
        <w:t>) by wire transfer of immediately available funds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herein to the contrary, any such portion of any such refund or the amount of any such credit (including the Transaction Bonus Portion of any such refund or the amount of any such credit) for which compensatory Tax withholding is required by Law shall be paid via an applicable payroll system), in each case, within ten (10) Business Days after receipt thereof or the filing of the applicable Tax Return on which such credit is applied. Notwithstanding anything to the contrary herein, any refund for Taxes and any amounts credited against Taxes to which the Company, Purchaser or any Affiliate thereof becomes entitled on or after the date hereof as the result of the carryforward or carryback of an NOL of the Company shall be for Purchaser’s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127" w:name="page128"/>
    <w:bookmarkEnd w:id="127"/>
    <w:p>
      <w:pPr>
        <w:jc w:val="both"/>
        <w:ind w:firstLine="1288"/>
        <w:spacing w:after="0" w:line="269" w:lineRule="auto"/>
        <w:tabs>
          <w:tab w:leader="none" w:pos="2049"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Purchaser and the Sellers’ Representative will each promptly (but in any event within thirty (30) days following Purchaser’s or the Sellers’ Representative (as applicable) receipt of written notification of such Tax Contest) notify the other Party in writing of any Tax Contest relating to a Pre-Closing Tax Period (any such Tax Contest or portion thereof relating to a Pre-Closing Tax Period, a “</w:t>
      </w:r>
      <w:r>
        <w:rPr>
          <w:rFonts w:ascii="Arial" w:cs="Arial" w:eastAsia="Arial" w:hAnsi="Arial"/>
          <w:sz w:val="19"/>
          <w:szCs w:val="19"/>
          <w:u w:val="single" w:color="auto"/>
          <w:color w:val="auto"/>
        </w:rPr>
        <w:t>Pre-Closing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Contest</w:t>
      </w:r>
      <w:r>
        <w:rPr>
          <w:rFonts w:ascii="Arial" w:cs="Arial" w:eastAsia="Arial" w:hAnsi="Arial"/>
          <w:sz w:val="19"/>
          <w:szCs w:val="19"/>
          <w:color w:val="auto"/>
        </w:rPr>
        <w:t xml:space="preserve">”), and such notice will state the nature and basis of such Pre-Closing Tax Contest and the amount of Taxes relating thereto, in each case, to the extent known, and will include copies of any written correspondence provided to, or received from, the Governmental Authority with respect to such Pre-Closing Tax Contest. The Sellers’ Representative shall have the right to control, at the Sellers’ expense, any Pre-Closing Tax Contest for which they could have Liability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Sellers’ Representative (i) elects in writing delivered to Purchaser no later than fifteen (15) days of receiving notification of such Pre-Closing Tax Contest to exercise such right, (ii) diligently prosecutes such Pre-Closing Tax Contest in good faith, (iii) keeps Purchaser reasonably informed of the status of developments with respect to such Pre-Closing Tax Contest (and permits Purchaser to participate in such Pre-Closing Tax Contest at its sole cost and expense), and (iv) does not settle or concede such Pre-Closing Tax Contest without the prior written consent of Purchaser (which consent shall not be unreasonably withheld, delayed or conditioned). Notwithstanding the foregoing, and to the extent that a Pre-Closing Tax Contest does not relate to Specified Taxes or item two (2) set forth on </w:t>
      </w:r>
      <w:r>
        <w:rPr>
          <w:rFonts w:ascii="Arial" w:cs="Arial" w:eastAsia="Arial" w:hAnsi="Arial"/>
          <w:sz w:val="19"/>
          <w:szCs w:val="19"/>
          <w:u w:val="single" w:color="auto"/>
          <w:color w:val="auto"/>
        </w:rPr>
        <w:t>Schedule 10.2(a)(iii)</w:t>
      </w:r>
      <w:r>
        <w:rPr>
          <w:rFonts w:ascii="Arial" w:cs="Arial" w:eastAsia="Arial" w:hAnsi="Arial"/>
          <w:sz w:val="19"/>
          <w:szCs w:val="19"/>
          <w:color w:val="auto"/>
        </w:rPr>
        <w:t xml:space="preserve">, the Sellers’ Representative shall not be entitled to assume control of the defense of such Pre-Closing Tax Contest, and Sellers shall pay the reasonable fees and expenses of counsel retained by the Indemnitee (to the extent such fees and expenses constitute a Loss with respect to a matter for which the Indemnitee is entitled to indemnification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subject to the terms and conditions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if the amount of Indemnified Taxes at issue in such Pre-Closing Tax Contest exceeds one hundred percent (100%) of the amount of the then-remaining Indemnification Escrow Funds. If the Sellers’ Representative does not timely elect to control a Pre-Closing Tax Contest pursuant to this </w:t>
      </w:r>
      <w:r>
        <w:rPr>
          <w:rFonts w:ascii="Arial" w:cs="Arial" w:eastAsia="Arial" w:hAnsi="Arial"/>
          <w:sz w:val="19"/>
          <w:szCs w:val="19"/>
          <w:u w:val="single" w:color="auto"/>
          <w:color w:val="auto"/>
        </w:rPr>
        <w:t>Section 11.1(e)</w:t>
      </w:r>
      <w:r>
        <w:rPr>
          <w:rFonts w:ascii="Arial" w:cs="Arial" w:eastAsia="Arial" w:hAnsi="Arial"/>
          <w:sz w:val="19"/>
          <w:szCs w:val="19"/>
          <w:color w:val="auto"/>
        </w:rPr>
        <w:t>, or if Purchaser controls a Pre-Closing Tax Contest pursuant to the immediately preceding sentence, such Pre-Closing Tax Contest shall be controlled by Purchaser and Purchaser shall not settle or concede such Pre-Closing Tax Contest without the prior written consent of the Sellers’ Representative (not to be unreasonably withheld, conditioned, or delayed). With respect to a Pre-Closing Tax Contest for a Tax period in which the Company (then Arcturus UAV, LLC) was classified as a partnership for U.S. federal and applicable state and local Income Tax purposes, the Shareholders and Purchaser shall cooperate to cause the Company to have in effect an election under Section 6221(b) of the Code to elect out of the centralized partnership audit provisions of the Bipartisan Budget Act of the 2015.</w:t>
      </w:r>
    </w:p>
    <w:p>
      <w:pPr>
        <w:spacing w:after="0" w:line="200" w:lineRule="exact"/>
        <w:rPr>
          <w:rFonts w:ascii="Arial" w:cs="Arial" w:eastAsia="Arial" w:hAnsi="Arial"/>
          <w:sz w:val="19"/>
          <w:szCs w:val="19"/>
          <w:color w:val="010000"/>
        </w:rPr>
      </w:pPr>
    </w:p>
    <w:p>
      <w:pPr>
        <w:spacing w:after="0" w:line="202" w:lineRule="exact"/>
        <w:rPr>
          <w:rFonts w:ascii="Arial" w:cs="Arial" w:eastAsia="Arial" w:hAnsi="Arial"/>
          <w:sz w:val="19"/>
          <w:szCs w:val="19"/>
          <w:color w:val="010000"/>
        </w:rPr>
      </w:pPr>
    </w:p>
    <w:p>
      <w:pPr>
        <w:jc w:val="both"/>
        <w:ind w:firstLine="1288"/>
        <w:spacing w:after="0" w:line="248" w:lineRule="auto"/>
        <w:tabs>
          <w:tab w:leader="none" w:pos="1971" w:val="left"/>
        </w:tabs>
        <w:numPr>
          <w:ilvl w:val="0"/>
          <w:numId w:val="126"/>
        </w:numPr>
        <w:rPr>
          <w:rFonts w:ascii="Arial" w:cs="Arial" w:eastAsia="Arial" w:hAnsi="Arial"/>
          <w:sz w:val="21"/>
          <w:szCs w:val="21"/>
          <w:color w:val="010000"/>
        </w:rPr>
      </w:pPr>
      <w:r>
        <w:rPr>
          <w:rFonts w:ascii="Arial" w:cs="Arial" w:eastAsia="Arial" w:hAnsi="Arial"/>
          <w:sz w:val="21"/>
          <w:szCs w:val="21"/>
          <w:color w:val="auto"/>
        </w:rPr>
        <w:t>All transfer, sales, use, value added, excise, stamp, recording, documentary, registration and any and other similar Taxes and all conveyance fees, recording charges and other fees and charges (including any penalties and interest) that are imposed on any of the Parties by any Governmental Authority in connection with the Transaction shall be borne by Purchaser. Purchaser will duly and timely prepare any Tax Returns with respect to such Taxes, and the Sellers’ Representative will reasonably cooperate with Purchaser in the preparation and filing of such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469" w:right="999" w:bottom="1440" w:gutter="0" w:footer="0" w:header="0"/>
        </w:sectPr>
      </w:pPr>
    </w:p>
    <w:bookmarkStart w:id="128" w:name="page129"/>
    <w:bookmarkEnd w:id="128"/>
    <w:p>
      <w:pPr>
        <w:jc w:val="both"/>
        <w:ind w:firstLine="648"/>
        <w:spacing w:after="0" w:line="273"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u w:val="single" w:color="auto"/>
          <w:color w:val="000000"/>
        </w:rPr>
        <w:t>Expenses</w:t>
      </w:r>
      <w:r>
        <w:rPr>
          <w:rFonts w:ascii="Arial" w:cs="Arial" w:eastAsia="Arial" w:hAnsi="Arial"/>
          <w:sz w:val="19"/>
          <w:szCs w:val="19"/>
          <w:color w:val="000000"/>
        </w:rPr>
        <w:t>. Except as otherwise provided in this Agreement or the other Transaction Agreements,</w:t>
      </w:r>
      <w:r>
        <w:rPr>
          <w:rFonts w:ascii="Arial" w:cs="Arial" w:eastAsia="Arial" w:hAnsi="Arial"/>
          <w:sz w:val="19"/>
          <w:szCs w:val="19"/>
          <w:color w:val="010000"/>
        </w:rPr>
        <w:t xml:space="preserve"> </w:t>
      </w:r>
      <w:r>
        <w:rPr>
          <w:rFonts w:ascii="Arial" w:cs="Arial" w:eastAsia="Arial" w:hAnsi="Arial"/>
          <w:sz w:val="19"/>
          <w:szCs w:val="19"/>
          <w:color w:val="000000"/>
        </w:rPr>
        <w:t xml:space="preserve">each Party shall bear its own costs and expenses incurred in connection with the negotiation and execution of this Agreement and the other Transaction Agreements and each other agreement, document and instrument contemplated hereby or thereby and the Transaction, whether or not the Transaction is consummated. Purchaser shall be solely responsible for (i) all governmental fees and charges applicable to any requests for Governmental Approvals, including any such fees and charges incurred (including any filing fees) in connection with satisfying the requirements of the HSR Act and antitrust Laws of any other applicable jurisdiction, and any other Laws, (ii) the premium (together with any applicable Taxes thereon) in respect of the RWI Policy, the brokerage fee payable to the broker who arranges the RWI Policy and any other premiums, costs, expenses, fees or Taxes payable in order to put the RWI Policy in place and (iii), subject to </w:t>
      </w:r>
      <w:r>
        <w:rPr>
          <w:rFonts w:ascii="Arial" w:cs="Arial" w:eastAsia="Arial" w:hAnsi="Arial"/>
          <w:sz w:val="19"/>
          <w:szCs w:val="19"/>
          <w:u w:val="single" w:color="auto"/>
          <w:color w:val="000000"/>
        </w:rPr>
        <w:t>Article X</w:t>
      </w:r>
      <w:r>
        <w:rPr>
          <w:rFonts w:ascii="Arial" w:cs="Arial" w:eastAsia="Arial" w:hAnsi="Arial"/>
          <w:sz w:val="19"/>
          <w:szCs w:val="19"/>
          <w:color w:val="000000"/>
        </w:rPr>
        <w:t>, any deductibles or co-payments required to be made pursuant to the RWI Policy.</w:t>
      </w:r>
    </w:p>
    <w:p>
      <w:pPr>
        <w:spacing w:after="0" w:line="15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010000"/>
        </w:rPr>
        <w:t xml:space="preserve">11.3 </w:t>
      </w:r>
      <w:r>
        <w:rPr>
          <w:rFonts w:ascii="Arial" w:cs="Arial" w:eastAsia="Arial" w:hAnsi="Arial"/>
          <w:sz w:val="19"/>
          <w:szCs w:val="19"/>
          <w:u w:val="single" w:color="auto"/>
          <w:color w:val="000000"/>
        </w:rPr>
        <w:t>Governing Law</w:t>
      </w:r>
      <w:r>
        <w:rPr>
          <w:rFonts w:ascii="Arial" w:cs="Arial" w:eastAsia="Arial" w:hAnsi="Arial"/>
          <w:sz w:val="19"/>
          <w:szCs w:val="19"/>
          <w:color w:val="000000"/>
        </w:rPr>
        <w:t>. Except as otherwise provided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11.23</w:t>
      </w:r>
      <w:r>
        <w:rPr>
          <w:rFonts w:ascii="Arial" w:cs="Arial" w:eastAsia="Arial" w:hAnsi="Arial"/>
          <w:sz w:val="19"/>
          <w:szCs w:val="19"/>
          <w:color w:val="010000"/>
        </w:rPr>
        <w:t xml:space="preserve"> </w:t>
      </w:r>
      <w:r>
        <w:rPr>
          <w:rFonts w:ascii="Arial" w:cs="Arial" w:eastAsia="Arial" w:hAnsi="Arial"/>
          <w:sz w:val="19"/>
          <w:szCs w:val="19"/>
          <w:color w:val="000000"/>
        </w:rPr>
        <w:t>below, this Agreement and any</w:t>
      </w:r>
      <w:r>
        <w:rPr>
          <w:rFonts w:ascii="Arial" w:cs="Arial" w:eastAsia="Arial" w:hAnsi="Arial"/>
          <w:sz w:val="19"/>
          <w:szCs w:val="19"/>
          <w:color w:val="010000"/>
        </w:rPr>
        <w:t xml:space="preserve"> </w:t>
      </w:r>
      <w:r>
        <w:rPr>
          <w:rFonts w:ascii="Arial" w:cs="Arial" w:eastAsia="Arial" w:hAnsi="Arial"/>
          <w:sz w:val="19"/>
          <w:szCs w:val="19"/>
          <w:color w:val="000000"/>
        </w:rPr>
        <w:t>action arising out of or relating to the Transaction shall in all respects be governed by, and construed in accordance with, the Laws (excluding conflict of Laws rules and principles to the extent that to do so would result in the application of the Laws of another jurisdiction) of the State of Delaware applicable to agreements made and to be performed entirely within such State, including all matters of construction, validity and performance.</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010000"/>
        </w:rPr>
        <w:t xml:space="preserve">11.4 </w:t>
      </w:r>
      <w:r>
        <w:rPr>
          <w:rFonts w:ascii="Arial" w:cs="Arial" w:eastAsia="Arial" w:hAnsi="Arial"/>
          <w:sz w:val="19"/>
          <w:szCs w:val="19"/>
          <w:u w:val="single" w:color="auto"/>
          <w:color w:val="000000"/>
        </w:rPr>
        <w:t>Jurisdiction; Court Proceedings; Waiver of Jury Trial</w:t>
      </w:r>
      <w:r>
        <w:rPr>
          <w:rFonts w:ascii="Arial" w:cs="Arial" w:eastAsia="Arial" w:hAnsi="Arial"/>
          <w:sz w:val="19"/>
          <w:szCs w:val="19"/>
          <w:color w:val="000000"/>
        </w:rPr>
        <w:t>. Except as otherwise provided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11.23</w:t>
      </w:r>
      <w:r>
        <w:rPr>
          <w:rFonts w:ascii="Arial" w:cs="Arial" w:eastAsia="Arial" w:hAnsi="Arial"/>
          <w:sz w:val="19"/>
          <w:szCs w:val="19"/>
          <w:color w:val="000000"/>
        </w:rPr>
        <w:t xml:space="preserve"> below, any controversies, claims, actions, suits, or proceedings (“</w:t>
      </w:r>
      <w:r>
        <w:rPr>
          <w:rFonts w:ascii="Arial" w:cs="Arial" w:eastAsia="Arial" w:hAnsi="Arial"/>
          <w:sz w:val="19"/>
          <w:szCs w:val="19"/>
          <w:u w:val="single" w:color="auto"/>
          <w:color w:val="000000"/>
        </w:rPr>
        <w:t>Litigation</w:t>
      </w:r>
      <w:r>
        <w:rPr>
          <w:rFonts w:ascii="Arial" w:cs="Arial" w:eastAsia="Arial" w:hAnsi="Arial"/>
          <w:sz w:val="19"/>
          <w:szCs w:val="19"/>
          <w:color w:val="000000"/>
        </w:rPr>
        <w:t xml:space="preserve">”) against any Party arising out of or in any way relating to the Transaction or this Agreement shall be brought in the Delaware Court of Chancery (or, only if the Delaware Court of Chancery declines to accept jurisdiction over a particular matter, any state or federal court of the United States of America sitting in the State of Delaware), and appellate courts thereof, and each of the Parties hereby submits to the exclusive jurisdiction of such courts for the purpose of any such Litigation;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 final judgment in any such Litigation shall be conclusive and may be enforced in other jurisdictions by suit on the judgment or in any other manner provided by Law. Each Party irrevocably and unconditionally agrees not to assert (a) any objection which it may ever have to the laying of venue of any such Litigation in the Delaware Court of Chancery (or, only if the Delaware Court of Chancery declines to accept jurisdiction over a particular matter, any state or federal court of the United States of America sitting in the State of Delaware), and appellate courts thereof, (b) any claim that any such Litigation brought in any such court has been brought in an inconvenient forum and (c) any claim that such court does not have jurisdiction with respect to such Litigation. To the extent that such service of process is permitted by Law, each Party irrevocably consents to the service of process in any such Litigation in such courts by utilizing the notice provisions set forth in clauses (a), (c), or (d) of </w:t>
      </w:r>
      <w:r>
        <w:rPr>
          <w:rFonts w:ascii="Arial" w:cs="Arial" w:eastAsia="Arial" w:hAnsi="Arial"/>
          <w:sz w:val="19"/>
          <w:szCs w:val="19"/>
          <w:u w:val="single" w:color="auto"/>
          <w:color w:val="000000"/>
        </w:rPr>
        <w:t>Section 11.9</w:t>
      </w:r>
      <w:r>
        <w:rPr>
          <w:rFonts w:ascii="Arial" w:cs="Arial" w:eastAsia="Arial" w:hAnsi="Arial"/>
          <w:sz w:val="19"/>
          <w:szCs w:val="19"/>
          <w:color w:val="000000"/>
        </w:rPr>
        <w:t>. Each Party irrevocably and unconditionally waives any right to a trial by jury and agrees that any of them may file a copy of this paragraph with any court as written evidence of the knowing, voluntary and bargained-for agreement among the Parties irrevocably to waive their right to trial by jury in any Litigation.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11.5 </w:t>
      </w:r>
      <w:r>
        <w:rPr>
          <w:rFonts w:ascii="Arial" w:cs="Arial" w:eastAsia="Arial" w:hAnsi="Arial"/>
          <w:sz w:val="19"/>
          <w:szCs w:val="19"/>
          <w:u w:val="single" w:color="auto"/>
          <w:color w:val="000000"/>
        </w:rPr>
        <w:t>Further Assurances</w:t>
      </w:r>
      <w:r>
        <w:rPr>
          <w:rFonts w:ascii="Arial" w:cs="Arial" w:eastAsia="Arial" w:hAnsi="Arial"/>
          <w:sz w:val="19"/>
          <w:szCs w:val="19"/>
          <w:color w:val="000000"/>
        </w:rPr>
        <w:t>. After the Closing, each Party shall from time to time, at the reasonable request</w:t>
      </w:r>
      <w:r>
        <w:rPr>
          <w:rFonts w:ascii="Arial" w:cs="Arial" w:eastAsia="Arial" w:hAnsi="Arial"/>
          <w:sz w:val="19"/>
          <w:szCs w:val="19"/>
          <w:color w:val="010000"/>
        </w:rPr>
        <w:t xml:space="preserve"> </w:t>
      </w:r>
      <w:r>
        <w:rPr>
          <w:rFonts w:ascii="Arial" w:cs="Arial" w:eastAsia="Arial" w:hAnsi="Arial"/>
          <w:sz w:val="19"/>
          <w:szCs w:val="19"/>
          <w:color w:val="000000"/>
        </w:rPr>
        <w:t>of the other, execute and deliver such other instruments of conveyance and assumption and take such other actions as may reasonably be requested in order to more effectively consummate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29" w:name="page130"/>
    <w:bookmarkEnd w:id="129"/>
    <w:p>
      <w:pPr>
        <w:jc w:val="both"/>
        <w:ind w:firstLine="648"/>
        <w:spacing w:after="0" w:line="234" w:lineRule="auto"/>
        <w:rPr>
          <w:sz w:val="20"/>
          <w:szCs w:val="20"/>
          <w:color w:val="auto"/>
        </w:rPr>
      </w:pPr>
      <w:r>
        <w:rPr>
          <w:rFonts w:ascii="Arial" w:cs="Arial" w:eastAsia="Arial" w:hAnsi="Arial"/>
          <w:sz w:val="22"/>
          <w:szCs w:val="22"/>
          <w:color w:val="010000"/>
        </w:rPr>
        <w:t xml:space="preserve">11.6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(including the Schedules and Exhibits attached hereto or</w:t>
      </w:r>
      <w:r>
        <w:rPr>
          <w:rFonts w:ascii="Arial" w:cs="Arial" w:eastAsia="Arial" w:hAnsi="Arial"/>
          <w:sz w:val="22"/>
          <w:szCs w:val="22"/>
          <w:color w:val="010000"/>
        </w:rPr>
        <w:t xml:space="preserve"> </w:t>
      </w:r>
      <w:r>
        <w:rPr>
          <w:rFonts w:ascii="Arial" w:cs="Arial" w:eastAsia="Arial" w:hAnsi="Arial"/>
          <w:sz w:val="22"/>
          <w:szCs w:val="22"/>
          <w:color w:val="000000"/>
        </w:rPr>
        <w:t>delivered herewith), the other Transaction Agreements, and the Side Letter constitute the entire agreement of the Parties relating to the subject matter hereof and supersede all prior Contracts or agreements, whether oral or written. The Parties have voluntarily agreed to define their rights, Liabilities and obligations respecting the Transaction exclusively in Contract pursuant to the express terms and provisions of this Agreement, and the Parties expressly disclaim that they are owed any duties or are entitled to any remedies not expressly set forth in this Agreement.</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010000"/>
        </w:rPr>
        <w:t xml:space="preserve">11.7 </w:t>
      </w:r>
      <w:r>
        <w:rPr>
          <w:rFonts w:ascii="Arial" w:cs="Arial" w:eastAsia="Arial" w:hAnsi="Arial"/>
          <w:sz w:val="19"/>
          <w:szCs w:val="19"/>
          <w:u w:val="single" w:color="auto"/>
          <w:color w:val="000000"/>
        </w:rPr>
        <w:t>Amendment</w:t>
      </w:r>
      <w:r>
        <w:rPr>
          <w:rFonts w:ascii="Arial" w:cs="Arial" w:eastAsia="Arial" w:hAnsi="Arial"/>
          <w:sz w:val="19"/>
          <w:szCs w:val="19"/>
          <w:color w:val="000000"/>
        </w:rPr>
        <w:t>. Except as otherwise provided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11.23</w:t>
      </w:r>
      <w:r>
        <w:rPr>
          <w:rFonts w:ascii="Arial" w:cs="Arial" w:eastAsia="Arial" w:hAnsi="Arial"/>
          <w:sz w:val="19"/>
          <w:szCs w:val="19"/>
          <w:color w:val="010000"/>
        </w:rPr>
        <w:t xml:space="preserve"> </w:t>
      </w:r>
      <w:r>
        <w:rPr>
          <w:rFonts w:ascii="Arial" w:cs="Arial" w:eastAsia="Arial" w:hAnsi="Arial"/>
          <w:sz w:val="19"/>
          <w:szCs w:val="19"/>
          <w:color w:val="000000"/>
        </w:rPr>
        <w:t>below, neither this Agreement nor any</w:t>
      </w:r>
      <w:r>
        <w:rPr>
          <w:rFonts w:ascii="Arial" w:cs="Arial" w:eastAsia="Arial" w:hAnsi="Arial"/>
          <w:sz w:val="19"/>
          <w:szCs w:val="19"/>
          <w:color w:val="010000"/>
        </w:rPr>
        <w:t xml:space="preserve"> </w:t>
      </w:r>
      <w:r>
        <w:rPr>
          <w:rFonts w:ascii="Arial" w:cs="Arial" w:eastAsia="Arial" w:hAnsi="Arial"/>
          <w:sz w:val="19"/>
          <w:szCs w:val="19"/>
          <w:color w:val="000000"/>
        </w:rPr>
        <w:t xml:space="preserve">of the terms hereof may be terminated, amended, supplemented or modified orally, but only by written instrument making specific reference to this Agreement signed by Purchaser and the Sellers’ Representative (on behalf of Sellers); </w:t>
      </w:r>
      <w:r>
        <w:rPr>
          <w:rFonts w:ascii="Arial" w:cs="Arial" w:eastAsia="Arial" w:hAnsi="Arial"/>
          <w:sz w:val="19"/>
          <w:szCs w:val="19"/>
          <w:u w:val="single" w:color="auto"/>
          <w:color w:val="000000"/>
        </w:rPr>
        <w:t>provided</w:t>
      </w:r>
      <w:r>
        <w:rPr>
          <w:rFonts w:ascii="Arial" w:cs="Arial" w:eastAsia="Arial" w:hAnsi="Arial"/>
          <w:sz w:val="19"/>
          <w:szCs w:val="19"/>
          <w:color w:val="000000"/>
        </w:rPr>
        <w:t>, that the observance of any provision of this Agreement may be waived in writing by the Party that shall lose the benefit of such provision as a result of such waiver.</w:t>
      </w:r>
    </w:p>
    <w:p>
      <w:pPr>
        <w:spacing w:after="0" w:line="14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11.8 </w:t>
      </w:r>
      <w:r>
        <w:rPr>
          <w:rFonts w:ascii="Arial" w:cs="Arial" w:eastAsia="Arial" w:hAnsi="Arial"/>
          <w:sz w:val="21"/>
          <w:szCs w:val="21"/>
          <w:u w:val="single" w:color="auto"/>
          <w:color w:val="000000"/>
        </w:rPr>
        <w:t>Waivers</w:t>
      </w:r>
      <w:r>
        <w:rPr>
          <w:rFonts w:ascii="Arial" w:cs="Arial" w:eastAsia="Arial" w:hAnsi="Arial"/>
          <w:sz w:val="21"/>
          <w:szCs w:val="21"/>
          <w:color w:val="000000"/>
        </w:rPr>
        <w:t>. No waiver or consent, express or implied, by any Party to or of any breach or default by</w:t>
      </w:r>
      <w:r>
        <w:rPr>
          <w:rFonts w:ascii="Arial" w:cs="Arial" w:eastAsia="Arial" w:hAnsi="Arial"/>
          <w:sz w:val="21"/>
          <w:szCs w:val="21"/>
          <w:color w:val="010000"/>
        </w:rPr>
        <w:t xml:space="preserve"> </w:t>
      </w:r>
      <w:r>
        <w:rPr>
          <w:rFonts w:ascii="Arial" w:cs="Arial" w:eastAsia="Arial" w:hAnsi="Arial"/>
          <w:sz w:val="21"/>
          <w:szCs w:val="21"/>
          <w:color w:val="000000"/>
        </w:rPr>
        <w:t>any Party in the performance by such Party of its obligations hereunder shall be deemed or construed to be a consent to or waiver of any other breach or default in the performance by such Party of the same or any other obligations of such Party hereunder. No single or partial exercise of any right or power, or any abandonment or discontinuance of steps to enforce any right or power, shall preclude any other or further exercise thereof or the exercise of any other right or power. Failure on the part of a Party to complain of any act of any Party or to declare any Party in default, irrespective of how long such failure continues, shall not constitute a waiver by such Party of its rights hereunder until the applicable statute of limitation period has run. In the event any provision of any other Transaction Agreement shall in any way conflict with the provisions of this Agreement (except where a provision therein expressly provides that it is intended to take precedence over this Agreement), this Agreement shall control.</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11.9 </w:t>
      </w:r>
      <w:r>
        <w:rPr>
          <w:rFonts w:ascii="Arial" w:cs="Arial" w:eastAsia="Arial" w:hAnsi="Arial"/>
          <w:sz w:val="21"/>
          <w:szCs w:val="21"/>
          <w:u w:val="single" w:color="auto"/>
          <w:color w:val="000000"/>
        </w:rPr>
        <w:t>Notices</w:t>
      </w:r>
      <w:r>
        <w:rPr>
          <w:rFonts w:ascii="Arial" w:cs="Arial" w:eastAsia="Arial" w:hAnsi="Arial"/>
          <w:sz w:val="21"/>
          <w:szCs w:val="21"/>
          <w:color w:val="000000"/>
        </w:rPr>
        <w:t>. All notices and other communications given or made pursuant hereto shall be in writing</w:t>
      </w:r>
      <w:r>
        <w:rPr>
          <w:rFonts w:ascii="Arial" w:cs="Arial" w:eastAsia="Arial" w:hAnsi="Arial"/>
          <w:sz w:val="21"/>
          <w:szCs w:val="21"/>
          <w:color w:val="010000"/>
        </w:rPr>
        <w:t xml:space="preserve"> </w:t>
      </w:r>
      <w:r>
        <w:rPr>
          <w:rFonts w:ascii="Arial" w:cs="Arial" w:eastAsia="Arial" w:hAnsi="Arial"/>
          <w:sz w:val="21"/>
          <w:szCs w:val="21"/>
          <w:color w:val="000000"/>
        </w:rPr>
        <w:t>and shall be deemed to have been duly given or made (a) as of the date delivered, if delivered personally, (b) on the date the delivering Party receives confirmation, if delivered by email as a portable document format (“</w:t>
      </w:r>
      <w:r>
        <w:rPr>
          <w:rFonts w:ascii="Arial" w:cs="Arial" w:eastAsia="Arial" w:hAnsi="Arial"/>
          <w:sz w:val="21"/>
          <w:szCs w:val="21"/>
          <w:u w:val="single" w:color="auto"/>
          <w:color w:val="000000"/>
        </w:rPr>
        <w:t>PDF</w:t>
      </w:r>
      <w:r>
        <w:rPr>
          <w:rFonts w:ascii="Arial" w:cs="Arial" w:eastAsia="Arial" w:hAnsi="Arial"/>
          <w:sz w:val="21"/>
          <w:szCs w:val="21"/>
          <w:color w:val="000000"/>
        </w:rPr>
        <w:t xml:space="preserve">”) document, (c) three (3)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21"/>
          <w:szCs w:val="21"/>
          <w:u w:val="single" w:color="auto"/>
          <w:color w:val="000000"/>
        </w:rPr>
        <w:t>Section 11.9</w:t>
      </w:r>
      <w:r>
        <w:rPr>
          <w:rFonts w:ascii="Arial" w:cs="Arial" w:eastAsia="Arial" w:hAnsi="Arial"/>
          <w:sz w:val="21"/>
          <w:szCs w:val="21"/>
          <w:color w:val="000000"/>
        </w:rPr>
        <w: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Company (prior to the Closing),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Arcturus UAV, Inc.</w:t>
      </w:r>
    </w:p>
    <w:p>
      <w:pPr>
        <w:ind w:left="1300"/>
        <w:spacing w:after="0" w:line="238" w:lineRule="auto"/>
        <w:rPr>
          <w:sz w:val="20"/>
          <w:szCs w:val="20"/>
          <w:color w:val="auto"/>
        </w:rPr>
      </w:pPr>
      <w:r>
        <w:rPr>
          <w:rFonts w:ascii="Arial" w:cs="Arial" w:eastAsia="Arial" w:hAnsi="Arial"/>
          <w:sz w:val="22"/>
          <w:szCs w:val="22"/>
          <w:color w:val="auto"/>
        </w:rPr>
        <w:t>1035 N McDowell Blvd</w:t>
      </w:r>
    </w:p>
    <w:p>
      <w:pPr>
        <w:ind w:left="1300"/>
        <w:spacing w:after="0" w:line="230" w:lineRule="auto"/>
        <w:rPr>
          <w:sz w:val="20"/>
          <w:szCs w:val="20"/>
          <w:color w:val="auto"/>
        </w:rPr>
      </w:pPr>
      <w:r>
        <w:rPr>
          <w:rFonts w:ascii="Arial" w:cs="Arial" w:eastAsia="Arial" w:hAnsi="Arial"/>
          <w:sz w:val="22"/>
          <w:szCs w:val="22"/>
          <w:color w:val="auto"/>
        </w:rPr>
        <w:t>Petaluma, California 94954</w:t>
      </w:r>
    </w:p>
    <w:p>
      <w:pPr>
        <w:ind w:left="1300"/>
        <w:spacing w:after="0" w:line="231" w:lineRule="auto"/>
        <w:rPr>
          <w:sz w:val="20"/>
          <w:szCs w:val="20"/>
          <w:color w:val="auto"/>
        </w:rPr>
      </w:pPr>
      <w:r>
        <w:rPr>
          <w:rFonts w:ascii="Arial" w:cs="Arial" w:eastAsia="Arial" w:hAnsi="Arial"/>
          <w:sz w:val="22"/>
          <w:szCs w:val="22"/>
          <w:color w:val="auto"/>
        </w:rPr>
        <w:t>Attention: D’Milo Hallerberg</w:t>
      </w:r>
    </w:p>
    <w:p>
      <w:pPr>
        <w:ind w:left="1300"/>
        <w:spacing w:after="0" w:line="230" w:lineRule="auto"/>
        <w:rPr>
          <w:sz w:val="20"/>
          <w:szCs w:val="20"/>
          <w:color w:val="auto"/>
        </w:rPr>
      </w:pPr>
      <w:r>
        <w:rPr>
          <w:rFonts w:ascii="Arial" w:cs="Arial" w:eastAsia="Arial" w:hAnsi="Arial"/>
          <w:sz w:val="22"/>
          <w:szCs w:val="22"/>
          <w:color w:val="auto"/>
        </w:rPr>
        <w:t>Phone: +1 (628) 288-9008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dhall@arcturus-uav.com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30" w:name="page131"/>
    <w:bookmarkEnd w:id="130"/>
    <w:p>
      <w:pPr>
        <w:ind w:left="8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Hogan Lovells US LLP</w:t>
      </w:r>
    </w:p>
    <w:p>
      <w:pPr>
        <w:ind w:left="840"/>
        <w:spacing w:after="0" w:line="238" w:lineRule="auto"/>
        <w:rPr>
          <w:sz w:val="20"/>
          <w:szCs w:val="20"/>
          <w:color w:val="auto"/>
        </w:rPr>
      </w:pPr>
      <w:r>
        <w:rPr>
          <w:rFonts w:ascii="Arial" w:cs="Arial" w:eastAsia="Arial" w:hAnsi="Arial"/>
          <w:sz w:val="22"/>
          <w:szCs w:val="22"/>
          <w:color w:val="auto"/>
        </w:rPr>
        <w:t>Columbia Square</w:t>
      </w:r>
    </w:p>
    <w:p>
      <w:pPr>
        <w:ind w:left="840"/>
        <w:spacing w:after="0" w:line="230" w:lineRule="auto"/>
        <w:rPr>
          <w:sz w:val="20"/>
          <w:szCs w:val="20"/>
          <w:color w:val="auto"/>
        </w:rPr>
      </w:pPr>
      <w:r>
        <w:rPr>
          <w:rFonts w:ascii="Arial" w:cs="Arial" w:eastAsia="Arial" w:hAnsi="Arial"/>
          <w:sz w:val="22"/>
          <w:szCs w:val="22"/>
          <w:color w:val="auto"/>
        </w:rPr>
        <w:t>555 Thirteenth Street, NW</w:t>
      </w:r>
    </w:p>
    <w:p>
      <w:pPr>
        <w:ind w:left="840"/>
        <w:spacing w:after="0" w:line="231" w:lineRule="auto"/>
        <w:rPr>
          <w:sz w:val="20"/>
          <w:szCs w:val="20"/>
          <w:color w:val="auto"/>
        </w:rPr>
      </w:pPr>
      <w:r>
        <w:rPr>
          <w:rFonts w:ascii="Arial" w:cs="Arial" w:eastAsia="Arial" w:hAnsi="Arial"/>
          <w:sz w:val="22"/>
          <w:szCs w:val="22"/>
          <w:color w:val="auto"/>
        </w:rPr>
        <w:t>Washington, DC 20004</w:t>
      </w:r>
    </w:p>
    <w:p>
      <w:pPr>
        <w:ind w:left="840"/>
        <w:spacing w:after="0" w:line="230" w:lineRule="auto"/>
        <w:rPr>
          <w:sz w:val="20"/>
          <w:szCs w:val="20"/>
          <w:color w:val="auto"/>
        </w:rPr>
      </w:pPr>
      <w:r>
        <w:rPr>
          <w:rFonts w:ascii="Arial" w:cs="Arial" w:eastAsia="Arial" w:hAnsi="Arial"/>
          <w:sz w:val="22"/>
          <w:szCs w:val="22"/>
          <w:color w:val="auto"/>
        </w:rPr>
        <w:t>Attention: William J. Curtin, III</w:t>
      </w:r>
    </w:p>
    <w:p>
      <w:pPr>
        <w:ind w:left="1760"/>
        <w:spacing w:after="0" w:line="231" w:lineRule="auto"/>
        <w:rPr>
          <w:sz w:val="20"/>
          <w:szCs w:val="20"/>
          <w:color w:val="auto"/>
        </w:rPr>
      </w:pPr>
      <w:r>
        <w:rPr>
          <w:rFonts w:ascii="Arial" w:cs="Arial" w:eastAsia="Arial" w:hAnsi="Arial"/>
          <w:sz w:val="22"/>
          <w:szCs w:val="22"/>
          <w:color w:val="auto"/>
        </w:rPr>
        <w:t>Gabrielle M. Witt</w:t>
      </w:r>
    </w:p>
    <w:p>
      <w:pPr>
        <w:ind w:left="840"/>
        <w:spacing w:after="0" w:line="230" w:lineRule="auto"/>
        <w:rPr>
          <w:sz w:val="20"/>
          <w:szCs w:val="20"/>
          <w:color w:val="auto"/>
        </w:rPr>
      </w:pPr>
      <w:r>
        <w:rPr>
          <w:rFonts w:ascii="Arial" w:cs="Arial" w:eastAsia="Arial" w:hAnsi="Arial"/>
          <w:sz w:val="22"/>
          <w:szCs w:val="22"/>
          <w:color w:val="auto"/>
        </w:rPr>
        <w:t>Phone: +1 (202) 637-6418</w:t>
      </w:r>
    </w:p>
    <w:p>
      <w:pPr>
        <w:ind w:left="840"/>
        <w:spacing w:after="0" w:line="231" w:lineRule="auto"/>
        <w:rPr>
          <w:sz w:val="20"/>
          <w:szCs w:val="20"/>
          <w:color w:val="auto"/>
        </w:rPr>
      </w:pPr>
      <w:r>
        <w:rPr>
          <w:rFonts w:ascii="Arial" w:cs="Arial" w:eastAsia="Arial" w:hAnsi="Arial"/>
          <w:sz w:val="22"/>
          <w:szCs w:val="22"/>
          <w:color w:val="auto"/>
        </w:rPr>
        <w:t>Email: william.curtin@hoganlovells.com</w:t>
      </w:r>
    </w:p>
    <w:p>
      <w:pPr>
        <w:ind w:left="840"/>
        <w:spacing w:after="0"/>
        <w:rPr>
          <w:sz w:val="20"/>
          <w:szCs w:val="20"/>
          <w:color w:val="auto"/>
        </w:rPr>
      </w:pPr>
      <w:r>
        <w:rPr>
          <w:rFonts w:ascii="Arial" w:cs="Arial" w:eastAsia="Arial" w:hAnsi="Arial"/>
          <w:sz w:val="22"/>
          <w:szCs w:val="22"/>
          <w:color w:val="auto"/>
        </w:rPr>
        <w:t>Email: gabrielle.witt@hoganlovells.com</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To Sellers or the Sellers’ Representative, to:</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D’Milo Hallerberg</w:t>
      </w:r>
    </w:p>
    <w:p>
      <w:pPr>
        <w:ind w:left="840"/>
        <w:spacing w:after="0" w:line="238" w:lineRule="auto"/>
        <w:rPr>
          <w:sz w:val="20"/>
          <w:szCs w:val="20"/>
          <w:color w:val="auto"/>
        </w:rPr>
      </w:pPr>
      <w:r>
        <w:rPr>
          <w:rFonts w:ascii="Arial" w:cs="Arial" w:eastAsia="Arial" w:hAnsi="Arial"/>
          <w:sz w:val="22"/>
          <w:szCs w:val="22"/>
          <w:color w:val="auto"/>
        </w:rPr>
        <w:t>c/o Arcturus UAV, Inc.</w:t>
      </w:r>
    </w:p>
    <w:p>
      <w:pPr>
        <w:ind w:left="840"/>
        <w:spacing w:after="0" w:line="230" w:lineRule="auto"/>
        <w:rPr>
          <w:sz w:val="20"/>
          <w:szCs w:val="20"/>
          <w:color w:val="auto"/>
        </w:rPr>
      </w:pPr>
      <w:r>
        <w:rPr>
          <w:rFonts w:ascii="Arial" w:cs="Arial" w:eastAsia="Arial" w:hAnsi="Arial"/>
          <w:sz w:val="22"/>
          <w:szCs w:val="22"/>
          <w:color w:val="auto"/>
        </w:rPr>
        <w:t>1035 N McDowell Blvd</w:t>
      </w:r>
    </w:p>
    <w:p>
      <w:pPr>
        <w:ind w:left="840"/>
        <w:spacing w:after="0" w:line="231" w:lineRule="auto"/>
        <w:rPr>
          <w:sz w:val="20"/>
          <w:szCs w:val="20"/>
          <w:color w:val="auto"/>
        </w:rPr>
      </w:pPr>
      <w:r>
        <w:rPr>
          <w:rFonts w:ascii="Arial" w:cs="Arial" w:eastAsia="Arial" w:hAnsi="Arial"/>
          <w:sz w:val="22"/>
          <w:szCs w:val="22"/>
          <w:color w:val="auto"/>
        </w:rPr>
        <w:t>Petaluma, California 94954</w:t>
      </w:r>
    </w:p>
    <w:p>
      <w:pPr>
        <w:ind w:left="840"/>
        <w:spacing w:after="0" w:line="230" w:lineRule="auto"/>
        <w:rPr>
          <w:sz w:val="20"/>
          <w:szCs w:val="20"/>
          <w:color w:val="auto"/>
        </w:rPr>
      </w:pPr>
      <w:r>
        <w:rPr>
          <w:rFonts w:ascii="Arial" w:cs="Arial" w:eastAsia="Arial" w:hAnsi="Arial"/>
          <w:sz w:val="22"/>
          <w:szCs w:val="22"/>
          <w:color w:val="auto"/>
        </w:rPr>
        <w:t>Phone: +1 (628) 288-9008</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E-mail: dhall@arcturus-uav.com</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Hogan Lovells US LLP</w:t>
      </w:r>
    </w:p>
    <w:p>
      <w:pPr>
        <w:ind w:left="840"/>
        <w:spacing w:after="0" w:line="238" w:lineRule="auto"/>
        <w:rPr>
          <w:sz w:val="20"/>
          <w:szCs w:val="20"/>
          <w:color w:val="auto"/>
        </w:rPr>
      </w:pPr>
      <w:r>
        <w:rPr>
          <w:rFonts w:ascii="Arial" w:cs="Arial" w:eastAsia="Arial" w:hAnsi="Arial"/>
          <w:sz w:val="22"/>
          <w:szCs w:val="22"/>
          <w:color w:val="auto"/>
        </w:rPr>
        <w:t>Columbia Square</w:t>
      </w:r>
    </w:p>
    <w:p>
      <w:pPr>
        <w:ind w:left="840"/>
        <w:spacing w:after="0" w:line="230" w:lineRule="auto"/>
        <w:rPr>
          <w:sz w:val="20"/>
          <w:szCs w:val="20"/>
          <w:color w:val="auto"/>
        </w:rPr>
      </w:pPr>
      <w:r>
        <w:rPr>
          <w:rFonts w:ascii="Arial" w:cs="Arial" w:eastAsia="Arial" w:hAnsi="Arial"/>
          <w:sz w:val="22"/>
          <w:szCs w:val="22"/>
          <w:color w:val="auto"/>
        </w:rPr>
        <w:t>555 Thirteenth Street, NW</w:t>
      </w:r>
    </w:p>
    <w:p>
      <w:pPr>
        <w:ind w:left="840"/>
        <w:spacing w:after="0" w:line="231" w:lineRule="auto"/>
        <w:rPr>
          <w:sz w:val="20"/>
          <w:szCs w:val="20"/>
          <w:color w:val="auto"/>
        </w:rPr>
      </w:pPr>
      <w:r>
        <w:rPr>
          <w:rFonts w:ascii="Arial" w:cs="Arial" w:eastAsia="Arial" w:hAnsi="Arial"/>
          <w:sz w:val="22"/>
          <w:szCs w:val="22"/>
          <w:color w:val="auto"/>
        </w:rPr>
        <w:t>Washington, DC 20004</w:t>
      </w:r>
    </w:p>
    <w:p>
      <w:pPr>
        <w:ind w:left="840"/>
        <w:spacing w:after="0" w:line="230" w:lineRule="auto"/>
        <w:rPr>
          <w:sz w:val="20"/>
          <w:szCs w:val="20"/>
          <w:color w:val="auto"/>
        </w:rPr>
      </w:pPr>
      <w:r>
        <w:rPr>
          <w:rFonts w:ascii="Arial" w:cs="Arial" w:eastAsia="Arial" w:hAnsi="Arial"/>
          <w:sz w:val="22"/>
          <w:szCs w:val="22"/>
          <w:color w:val="auto"/>
        </w:rPr>
        <w:t>Attention: William J. Curtin, III</w:t>
      </w:r>
    </w:p>
    <w:p>
      <w:pPr>
        <w:ind w:left="1880"/>
        <w:spacing w:after="0" w:line="231" w:lineRule="auto"/>
        <w:rPr>
          <w:sz w:val="20"/>
          <w:szCs w:val="20"/>
          <w:color w:val="auto"/>
        </w:rPr>
      </w:pPr>
      <w:r>
        <w:rPr>
          <w:rFonts w:ascii="Arial" w:cs="Arial" w:eastAsia="Arial" w:hAnsi="Arial"/>
          <w:sz w:val="22"/>
          <w:szCs w:val="22"/>
          <w:color w:val="auto"/>
        </w:rPr>
        <w:t>Gabrielle M. Witt</w:t>
      </w:r>
    </w:p>
    <w:p>
      <w:pPr>
        <w:ind w:left="840"/>
        <w:spacing w:after="0" w:line="230" w:lineRule="auto"/>
        <w:rPr>
          <w:sz w:val="20"/>
          <w:szCs w:val="20"/>
          <w:color w:val="auto"/>
        </w:rPr>
      </w:pPr>
      <w:r>
        <w:rPr>
          <w:rFonts w:ascii="Arial" w:cs="Arial" w:eastAsia="Arial" w:hAnsi="Arial"/>
          <w:sz w:val="22"/>
          <w:szCs w:val="22"/>
          <w:color w:val="auto"/>
        </w:rPr>
        <w:t>Phone: +1 (202) 637-6418</w:t>
      </w:r>
    </w:p>
    <w:p>
      <w:pPr>
        <w:ind w:left="840"/>
        <w:spacing w:after="0" w:line="231" w:lineRule="auto"/>
        <w:rPr>
          <w:sz w:val="20"/>
          <w:szCs w:val="20"/>
          <w:color w:val="auto"/>
        </w:rPr>
      </w:pPr>
      <w:r>
        <w:rPr>
          <w:rFonts w:ascii="Arial" w:cs="Arial" w:eastAsia="Arial" w:hAnsi="Arial"/>
          <w:sz w:val="22"/>
          <w:szCs w:val="22"/>
          <w:color w:val="auto"/>
        </w:rPr>
        <w:t>Email: william.curtin@hoganlovells.com</w:t>
      </w:r>
    </w:p>
    <w:p>
      <w:pPr>
        <w:ind w:left="840"/>
        <w:spacing w:after="0"/>
        <w:rPr>
          <w:sz w:val="20"/>
          <w:szCs w:val="20"/>
          <w:color w:val="auto"/>
        </w:rPr>
      </w:pPr>
      <w:r>
        <w:rPr>
          <w:rFonts w:ascii="Arial" w:cs="Arial" w:eastAsia="Arial" w:hAnsi="Arial"/>
          <w:sz w:val="22"/>
          <w:szCs w:val="22"/>
          <w:color w:val="auto"/>
        </w:rPr>
        <w:t>Email: gabrielle.witt@hoganlovells.com</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If to Purchaser (or the Company following the Closing), to:</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AeroVironment, Inc.</w:t>
      </w:r>
    </w:p>
    <w:p>
      <w:pPr>
        <w:ind w:left="840"/>
        <w:spacing w:after="0" w:line="238" w:lineRule="auto"/>
        <w:rPr>
          <w:sz w:val="20"/>
          <w:szCs w:val="20"/>
          <w:color w:val="auto"/>
        </w:rPr>
      </w:pPr>
      <w:r>
        <w:rPr>
          <w:rFonts w:ascii="Arial" w:cs="Arial" w:eastAsia="Arial" w:hAnsi="Arial"/>
          <w:sz w:val="22"/>
          <w:szCs w:val="22"/>
          <w:color w:val="auto"/>
        </w:rPr>
        <w:t>900 Innovators Way</w:t>
      </w:r>
    </w:p>
    <w:p>
      <w:pPr>
        <w:ind w:left="840"/>
        <w:spacing w:after="0" w:line="230" w:lineRule="auto"/>
        <w:rPr>
          <w:sz w:val="20"/>
          <w:szCs w:val="20"/>
          <w:color w:val="auto"/>
        </w:rPr>
      </w:pPr>
      <w:r>
        <w:rPr>
          <w:rFonts w:ascii="Arial" w:cs="Arial" w:eastAsia="Arial" w:hAnsi="Arial"/>
          <w:sz w:val="22"/>
          <w:szCs w:val="22"/>
          <w:color w:val="auto"/>
        </w:rPr>
        <w:t>Simi Valley, CA 93065</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Attention: Melissa Brown, VP, General Counsel &amp; Corporate Secretary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Phone: +1 (805) 520-8350 ext. 1369</w:t>
      </w:r>
    </w:p>
    <w:p>
      <w:pPr>
        <w:ind w:left="840"/>
        <w:spacing w:after="0"/>
        <w:rPr>
          <w:sz w:val="20"/>
          <w:szCs w:val="20"/>
          <w:color w:val="auto"/>
        </w:rPr>
      </w:pPr>
      <w:r>
        <w:rPr>
          <w:rFonts w:ascii="Arial" w:cs="Arial" w:eastAsia="Arial" w:hAnsi="Arial"/>
          <w:sz w:val="22"/>
          <w:szCs w:val="22"/>
          <w:color w:val="auto"/>
        </w:rPr>
        <w:t>Email: corporatesecretary@avinc.com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504190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1" w:name="page132"/>
    <w:bookmarkEnd w:id="131"/>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K&amp;L Gates LLP</w:t>
      </w:r>
    </w:p>
    <w:p>
      <w:pPr>
        <w:ind w:left="1300"/>
        <w:spacing w:after="0" w:line="238" w:lineRule="auto"/>
        <w:rPr>
          <w:sz w:val="20"/>
          <w:szCs w:val="20"/>
          <w:color w:val="auto"/>
        </w:rPr>
      </w:pPr>
      <w:r>
        <w:rPr>
          <w:rFonts w:ascii="Arial" w:cs="Arial" w:eastAsia="Arial" w:hAnsi="Arial"/>
          <w:sz w:val="22"/>
          <w:szCs w:val="22"/>
          <w:color w:val="auto"/>
        </w:rPr>
        <w:t>1 Park Plaza, 12</w:t>
      </w:r>
      <w:r>
        <w:rPr>
          <w:rFonts w:ascii="Arial" w:cs="Arial" w:eastAsia="Arial" w:hAnsi="Arial"/>
          <w:sz w:val="16"/>
          <w:szCs w:val="16"/>
          <w:color w:val="auto"/>
        </w:rPr>
        <w:t>th</w:t>
      </w:r>
      <w:r>
        <w:rPr>
          <w:rFonts w:ascii="Arial" w:cs="Arial" w:eastAsia="Arial" w:hAnsi="Arial"/>
          <w:sz w:val="22"/>
          <w:szCs w:val="22"/>
          <w:color w:val="auto"/>
        </w:rPr>
        <w:t xml:space="preserve"> Floor</w:t>
      </w:r>
    </w:p>
    <w:p>
      <w:pPr>
        <w:ind w:left="1300"/>
        <w:spacing w:after="0" w:line="230" w:lineRule="auto"/>
        <w:rPr>
          <w:sz w:val="20"/>
          <w:szCs w:val="20"/>
          <w:color w:val="auto"/>
        </w:rPr>
      </w:pPr>
      <w:r>
        <w:rPr>
          <w:rFonts w:ascii="Arial" w:cs="Arial" w:eastAsia="Arial" w:hAnsi="Arial"/>
          <w:sz w:val="22"/>
          <w:szCs w:val="22"/>
          <w:color w:val="auto"/>
        </w:rPr>
        <w:t>Irvine, CA 92614</w:t>
      </w:r>
    </w:p>
    <w:p>
      <w:pPr>
        <w:ind w:left="1300"/>
        <w:spacing w:after="0" w:line="231" w:lineRule="auto"/>
        <w:rPr>
          <w:sz w:val="20"/>
          <w:szCs w:val="20"/>
          <w:color w:val="auto"/>
        </w:rPr>
      </w:pPr>
      <w:r>
        <w:rPr>
          <w:rFonts w:ascii="Arial" w:cs="Arial" w:eastAsia="Arial" w:hAnsi="Arial"/>
          <w:sz w:val="22"/>
          <w:szCs w:val="22"/>
          <w:color w:val="auto"/>
        </w:rPr>
        <w:t>Attention: Shoshannah D. Katz</w:t>
      </w:r>
    </w:p>
    <w:p>
      <w:pPr>
        <w:ind w:left="1300"/>
        <w:spacing w:after="0" w:line="230" w:lineRule="auto"/>
        <w:rPr>
          <w:sz w:val="20"/>
          <w:szCs w:val="20"/>
          <w:color w:val="auto"/>
        </w:rPr>
      </w:pPr>
      <w:r>
        <w:rPr>
          <w:rFonts w:ascii="Arial" w:cs="Arial" w:eastAsia="Arial" w:hAnsi="Arial"/>
          <w:sz w:val="22"/>
          <w:szCs w:val="22"/>
          <w:color w:val="auto"/>
        </w:rPr>
        <w:t>Phone: +1 (949) 623-3545</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Shoshannah.Katz@klgates.com</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11.10 </w:t>
      </w:r>
      <w:r>
        <w:rPr>
          <w:rFonts w:ascii="Arial" w:cs="Arial" w:eastAsia="Arial" w:hAnsi="Arial"/>
          <w:sz w:val="19"/>
          <w:szCs w:val="19"/>
          <w:u w:val="single" w:color="auto"/>
          <w:color w:val="000000"/>
        </w:rPr>
        <w:t>Severability</w:t>
      </w:r>
      <w:r>
        <w:rPr>
          <w:rFonts w:ascii="Arial" w:cs="Arial" w:eastAsia="Arial" w:hAnsi="Arial"/>
          <w:sz w:val="19"/>
          <w:szCs w:val="19"/>
          <w:color w:val="000000"/>
        </w:rPr>
        <w:t>. Should any provision of this Agreement or the application thereof to any Person or</w:t>
      </w:r>
      <w:r>
        <w:rPr>
          <w:rFonts w:ascii="Arial" w:cs="Arial" w:eastAsia="Arial" w:hAnsi="Arial"/>
          <w:sz w:val="19"/>
          <w:szCs w:val="19"/>
          <w:color w:val="010000"/>
        </w:rPr>
        <w:t xml:space="preserve"> </w:t>
      </w:r>
      <w:r>
        <w:rPr>
          <w:rFonts w:ascii="Arial" w:cs="Arial" w:eastAsia="Arial" w:hAnsi="Arial"/>
          <w:sz w:val="19"/>
          <w:szCs w:val="19"/>
          <w:color w:val="000000"/>
        </w:rPr>
        <w:t>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w:t>
      </w:r>
    </w:p>
    <w:p>
      <w:pPr>
        <w:spacing w:after="0" w:line="15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010000"/>
        </w:rPr>
        <w:t xml:space="preserve">11.11 </w:t>
      </w:r>
      <w:r>
        <w:rPr>
          <w:rFonts w:ascii="Arial" w:cs="Arial" w:eastAsia="Arial" w:hAnsi="Arial"/>
          <w:sz w:val="19"/>
          <w:szCs w:val="19"/>
          <w:u w:val="single" w:color="auto"/>
          <w:color w:val="000000"/>
        </w:rPr>
        <w:t>Specific Performance</w:t>
      </w:r>
      <w:r>
        <w:rPr>
          <w:rFonts w:ascii="Arial" w:cs="Arial" w:eastAsia="Arial" w:hAnsi="Arial"/>
          <w:sz w:val="19"/>
          <w:szCs w:val="19"/>
          <w:color w:val="000000"/>
        </w:rPr>
        <w:t>. The Parties agree that irreparable damage would occur in the event that any</w:t>
      </w:r>
      <w:r>
        <w:rPr>
          <w:rFonts w:ascii="Arial" w:cs="Arial" w:eastAsia="Arial" w:hAnsi="Arial"/>
          <w:sz w:val="19"/>
          <w:szCs w:val="19"/>
          <w:color w:val="010000"/>
        </w:rPr>
        <w:t xml:space="preserve"> </w:t>
      </w:r>
      <w:r>
        <w:rPr>
          <w:rFonts w:ascii="Arial" w:cs="Arial" w:eastAsia="Arial" w:hAnsi="Arial"/>
          <w:sz w:val="19"/>
          <w:szCs w:val="19"/>
          <w:color w:val="000000"/>
        </w:rPr>
        <w:t>of the provisions of this Agreement were not performed in accordance with their specific terms or were otherwise breached. Accordingly, the Parties agree that, in addition to any other remedies, each Party shall be entitled to enforce the terms of this Agreement by a decree of specific performance or other injunctive or equitable relief without the necessity of proving the inadequacy of money damages as a remedy. Each Party hereby waives (a) any defenses that the other Parties have an adequate remedy at Law or an award of specific performance is not an appropriate remedy for any reason at Law or equity in any action for an injunction, specific performance or other equitable relief and (b) any requirement for the securing or posting of any bond in connection with such remedy.</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11.12 </w:t>
      </w:r>
      <w:r>
        <w:rPr>
          <w:rFonts w:ascii="Arial" w:cs="Arial" w:eastAsia="Arial" w:hAnsi="Arial"/>
          <w:sz w:val="19"/>
          <w:szCs w:val="19"/>
          <w:u w:val="single" w:color="auto"/>
          <w:color w:val="000000"/>
        </w:rPr>
        <w:t>Parties in Interest; Limitation on Rights of Others</w:t>
      </w:r>
      <w:r>
        <w:rPr>
          <w:rFonts w:ascii="Arial" w:cs="Arial" w:eastAsia="Arial" w:hAnsi="Arial"/>
          <w:sz w:val="19"/>
          <w:szCs w:val="19"/>
          <w:color w:val="000000"/>
        </w:rPr>
        <w:t>. The terms of this Agreement shall be binding</w:t>
      </w:r>
      <w:r>
        <w:rPr>
          <w:rFonts w:ascii="Arial" w:cs="Arial" w:eastAsia="Arial" w:hAnsi="Arial"/>
          <w:sz w:val="19"/>
          <w:szCs w:val="19"/>
          <w:color w:val="010000"/>
        </w:rPr>
        <w:t xml:space="preserve"> </w:t>
      </w:r>
      <w:r>
        <w:rPr>
          <w:rFonts w:ascii="Arial" w:cs="Arial" w:eastAsia="Arial" w:hAnsi="Arial"/>
          <w:sz w:val="19"/>
          <w:szCs w:val="19"/>
          <w:color w:val="000000"/>
        </w:rPr>
        <w:t>upon, and inure to the benefit of, the Parties and their respective legal representatives, successors and permitted assigns. Nothing in this Agreement, whether express or implied, shall be construed to give any Person (other than</w:t>
      </w:r>
    </w:p>
    <w:p>
      <w:pPr>
        <w:spacing w:after="0" w:line="1" w:lineRule="exact"/>
        <w:rPr>
          <w:sz w:val="20"/>
          <w:szCs w:val="20"/>
          <w:color w:val="auto"/>
        </w:rPr>
      </w:pPr>
    </w:p>
    <w:p>
      <w:pPr>
        <w:jc w:val="both"/>
        <w:ind w:firstLine="8"/>
        <w:spacing w:after="0" w:line="233" w:lineRule="auto"/>
        <w:tabs>
          <w:tab w:leader="none" w:pos="35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the Parties and their respective legal representatives, successors and permitted assigns, (b) each D&amp;O Indemnified Person, who shall have the right to enforce the obligations of Purchaser and the Company solely with respect to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and (c) the Debt Financing Parties as provided in </w:t>
      </w:r>
      <w:r>
        <w:rPr>
          <w:rFonts w:ascii="Arial" w:cs="Arial" w:eastAsia="Arial" w:hAnsi="Arial"/>
          <w:sz w:val="22"/>
          <w:szCs w:val="22"/>
          <w:u w:val="single" w:color="auto"/>
          <w:color w:val="auto"/>
        </w:rPr>
        <w:t>Section 11.23</w:t>
      </w:r>
      <w:r>
        <w:rPr>
          <w:rFonts w:ascii="Arial" w:cs="Arial" w:eastAsia="Arial" w:hAnsi="Arial"/>
          <w:sz w:val="22"/>
          <w:szCs w:val="22"/>
          <w:color w:val="auto"/>
        </w:rPr>
        <w:t xml:space="preserve"> below) any legal or equitable right, remedy or claim under or in respect of this Agreement or any covenants, conditions or provisions contained herein, as a third party beneficiary or otherwise.</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11.13 </w:t>
      </w:r>
      <w:r>
        <w:rPr>
          <w:rFonts w:ascii="Arial" w:cs="Arial" w:eastAsia="Arial" w:hAnsi="Arial"/>
          <w:sz w:val="19"/>
          <w:szCs w:val="19"/>
          <w:u w:val="single" w:color="auto"/>
          <w:color w:val="000000"/>
        </w:rPr>
        <w:t>Assignment</w:t>
      </w:r>
      <w:r>
        <w:rPr>
          <w:rFonts w:ascii="Arial" w:cs="Arial" w:eastAsia="Arial" w:hAnsi="Arial"/>
          <w:sz w:val="19"/>
          <w:szCs w:val="19"/>
          <w:color w:val="000000"/>
        </w:rPr>
        <w:t>. Neither this Agreement nor any rights or obligations hereunder may be assigned by</w:t>
      </w:r>
      <w:r>
        <w:rPr>
          <w:rFonts w:ascii="Arial" w:cs="Arial" w:eastAsia="Arial" w:hAnsi="Arial"/>
          <w:sz w:val="19"/>
          <w:szCs w:val="19"/>
          <w:color w:val="010000"/>
        </w:rPr>
        <w:t xml:space="preserve"> </w:t>
      </w:r>
      <w:r>
        <w:rPr>
          <w:rFonts w:ascii="Arial" w:cs="Arial" w:eastAsia="Arial" w:hAnsi="Arial"/>
          <w:sz w:val="19"/>
          <w:szCs w:val="19"/>
          <w:color w:val="000000"/>
        </w:rPr>
        <w:t xml:space="preserve">any Party, without the prior written consent of Purchaser and the Sellers’ Representative;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Purchaser may assign its rights, but not its obligations hereunder without such consent to (a) the Debt Financing Parties or any other debt financing source as collateral security for the purpose of securing any financing in relation to the Agreement and (b) to any Affiliate of Purchaser (so long as such assignment does not relieve Purchaser of its obligations hereunder). Any assignment in violation of this </w:t>
      </w:r>
      <w:r>
        <w:rPr>
          <w:rFonts w:ascii="Arial" w:cs="Arial" w:eastAsia="Arial" w:hAnsi="Arial"/>
          <w:sz w:val="19"/>
          <w:szCs w:val="19"/>
          <w:u w:val="single" w:color="auto"/>
          <w:color w:val="000000"/>
        </w:rPr>
        <w:t>Section 11.13</w:t>
      </w:r>
      <w:r>
        <w:rPr>
          <w:rFonts w:ascii="Arial" w:cs="Arial" w:eastAsia="Arial" w:hAnsi="Arial"/>
          <w:sz w:val="19"/>
          <w:szCs w:val="19"/>
          <w:color w:val="000000"/>
        </w:rPr>
        <w:t xml:space="preserve"> shall be null and void.</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11.14 </w:t>
      </w:r>
      <w:r>
        <w:rPr>
          <w:rFonts w:ascii="Arial" w:cs="Arial" w:eastAsia="Arial" w:hAnsi="Arial"/>
          <w:sz w:val="22"/>
          <w:szCs w:val="22"/>
          <w:u w:val="single" w:color="auto"/>
          <w:color w:val="000000"/>
        </w:rPr>
        <w:t>Cooperation with Legal Proceedings</w:t>
      </w:r>
      <w:r>
        <w:rPr>
          <w:rFonts w:ascii="Arial" w:cs="Arial" w:eastAsia="Arial" w:hAnsi="Arial"/>
          <w:sz w:val="22"/>
          <w:szCs w:val="22"/>
          <w:color w:val="000000"/>
        </w:rPr>
        <w:t>. From and after the Closing, if requested by the Sellers’</w:t>
      </w:r>
      <w:r>
        <w:rPr>
          <w:rFonts w:ascii="Arial" w:cs="Arial" w:eastAsia="Arial" w:hAnsi="Arial"/>
          <w:sz w:val="22"/>
          <w:szCs w:val="22"/>
          <w:color w:val="010000"/>
        </w:rPr>
        <w:t xml:space="preserve"> </w:t>
      </w:r>
      <w:r>
        <w:rPr>
          <w:rFonts w:ascii="Arial" w:cs="Arial" w:eastAsia="Arial" w:hAnsi="Arial"/>
          <w:sz w:val="22"/>
          <w:szCs w:val="22"/>
          <w:color w:val="000000"/>
        </w:rPr>
        <w:t>Representative, Purchaser shall cooperate with Sellers in the investigation, defense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2" w:name="page133"/>
    <w:bookmarkEnd w:id="132"/>
    <w:p>
      <w:pPr>
        <w:jc w:val="both"/>
        <w:spacing w:after="0" w:line="234" w:lineRule="auto"/>
        <w:rPr>
          <w:sz w:val="20"/>
          <w:szCs w:val="20"/>
          <w:color w:val="auto"/>
        </w:rPr>
      </w:pPr>
      <w:r>
        <w:rPr>
          <w:rFonts w:ascii="Arial" w:cs="Arial" w:eastAsia="Arial" w:hAnsi="Arial"/>
          <w:sz w:val="22"/>
          <w:szCs w:val="22"/>
          <w:color w:val="auto"/>
        </w:rPr>
        <w:t xml:space="preserve">prosecution of any Legal Proceedings pending or threatened against Sellers or any of their Affiliates with respect to the business of the Company. Without limiting the generality of the foregoing, but provided that such requests shall not unreasonably interfere with the business or operations of Purchaser, Purchaser shall make available its and the Company’s employees to give depositions or testimony and shall furnish all documentary or other evidence that Sellers may reasonably request. Sellers shall reimburse Purchaser for all reasonable and documented out-of-pocket expenses incurred in connection with the performance of its obligations under this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11.15  </w:t>
      </w:r>
      <w:r>
        <w:rPr>
          <w:rFonts w:ascii="Arial" w:cs="Arial" w:eastAsia="Arial" w:hAnsi="Arial"/>
          <w:sz w:val="22"/>
          <w:szCs w:val="22"/>
          <w:u w:val="single" w:color="auto"/>
          <w:color w:val="000000"/>
        </w:rPr>
        <w:t>Privileged Matters; Attorney Conflict Waiver</w:t>
      </w:r>
      <w:r>
        <w:rPr>
          <w:rFonts w:ascii="Arial" w:cs="Arial" w:eastAsia="Arial" w:hAnsi="Arial"/>
          <w:sz w:val="22"/>
          <w:szCs w:val="22"/>
          <w:color w:val="000000"/>
        </w:rPr>
        <w:t>.</w:t>
      </w:r>
    </w:p>
    <w:p>
      <w:pPr>
        <w:spacing w:after="0" w:line="206" w:lineRule="exact"/>
        <w:rPr>
          <w:sz w:val="20"/>
          <w:szCs w:val="20"/>
          <w:color w:val="auto"/>
        </w:rPr>
      </w:pPr>
    </w:p>
    <w:p>
      <w:pPr>
        <w:jc w:val="both"/>
        <w:ind w:firstLine="1304"/>
        <w:spacing w:after="0" w:line="269" w:lineRule="auto"/>
        <w:tabs>
          <w:tab w:leader="none" w:pos="221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Purchaser, on behalf of itself and its Affiliates (including the Company following the Closing) and its and their respective representatives, acknowledges and agrees that the Company’s (other than as to communications, information and documents occurring or arising after Closing), Sellers’ and the Sellers’ Representative’s attorney-client privilege, attorney work-product protection and expectation of client confidence involving any proposed sale of the Company by Sellers, this Agreement or any other Transaction Agreement or the Transaction and all communications, information, and documents covered by such privilege, protection or expectation belong to Sellers, and may be controlled, asserted or waived only by the Sellers’ Representative (on behalf of Sellers). In no event shall Purchaser or any of Purchaser’s Affiliates cause any such communications, information, and documents to be used against Sellers, the Sellers’ Representative or their Affiliates, including in any Legal Proceeding, except in the event that any such communication, information, or document is used against Purchaser by any Seller, the Sellers’ Representative or their respective Affiliates in any such Legal Proceeding. Purchaser, on behalf of itself and its Affiliates (including the Company following the Closing) and its and their respective representatives, acknowledges and agrees (i) the foregoing attorney-client privilege, work product protection and expectation of client confidence shall not be controlled, owned, used, waived or claimed by Purchaser or by any of Purchaser’s Affiliates upon consummation of the Closing; and (ii) in the event of a dispute between Purchaser or any of Purchaser’s Affiliates, on the one hand, and a third party, on the other hand, or any other circumstance in which a third party requests or demands that Purchaser or any of Purchaser’s Affiliates produce such privileged materials or attorney work-product, Purchaser shall and shall cause the applicable Affiliate of Purchaser to assert such attorney-client privilege or attorney-work product protection to prevent disclosure of privileged materials or attorney work-product to such third party. In addition, Purchaser agrees that it would be impractical to remove all communications, information, and documents covered by such privilege, protection or expectation from the records (including e-mails and other electronic files) of the Company and that the presence or existence of any communications, information, and documents in the Company’s records shall not be deemed a waiver by Sellers or the Sellers’ Representative of any applicable privilege or protection. Accordingly, Purchaser will use commercially reasonable efforts not to, and will cause each of its Affiliates (including, after Closing, the Company) to use commercially reasonable efforts not to, (A) disclose any such communications, information, and documents remaining in the records of the Company after Closing in any manner that might be deemed a waiver of any applicable privilege or protection, or (B) use any such communications, information, and documents remaining in the records of the Company after Closing.</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firstLine="1304"/>
        <w:spacing w:after="0" w:line="250" w:lineRule="auto"/>
        <w:tabs>
          <w:tab w:leader="none" w:pos="197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Parties acknowledge and agree that the attorney-client privilege, attorney work-product protection and expectation of client confidence involving matters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3" w:name="page134"/>
    <w:bookmarkEnd w:id="133"/>
    <w:p>
      <w:pPr>
        <w:jc w:val="both"/>
        <w:spacing w:after="0" w:line="273" w:lineRule="auto"/>
        <w:rPr>
          <w:sz w:val="20"/>
          <w:szCs w:val="20"/>
          <w:color w:val="auto"/>
        </w:rPr>
      </w:pPr>
      <w:r>
        <w:rPr>
          <w:rFonts w:ascii="Arial" w:cs="Arial" w:eastAsia="Arial" w:hAnsi="Arial"/>
          <w:sz w:val="19"/>
          <w:szCs w:val="19"/>
          <w:color w:val="auto"/>
        </w:rPr>
        <w:t xml:space="preserve">other than those matters covered by </w:t>
      </w:r>
      <w:r>
        <w:rPr>
          <w:rFonts w:ascii="Arial" w:cs="Arial" w:eastAsia="Arial" w:hAnsi="Arial"/>
          <w:sz w:val="19"/>
          <w:szCs w:val="19"/>
          <w:u w:val="single" w:color="auto"/>
          <w:color w:val="auto"/>
        </w:rPr>
        <w:t>Section 11.15(a)</w:t>
      </w:r>
      <w:r>
        <w:rPr>
          <w:rFonts w:ascii="Arial" w:cs="Arial" w:eastAsia="Arial" w:hAnsi="Arial"/>
          <w:sz w:val="19"/>
          <w:szCs w:val="19"/>
          <w:color w:val="auto"/>
        </w:rPr>
        <w:t xml:space="preserve"> and arising prior to the Closing and all communications, information and documents covered by such privilege, protection or expectation shall be retained and controlled by the Company, and may be waived only by the Company. Purchaser and Sellers acknowledge and agree that (i) the foregoing attorney-client privilege, work product protection and expectation of client confidence shall not be controlled, owned, used, waived or claimed by Sellers or by any of Sellers’ Affiliates upon consummation of the Closing; and (ii) in the event of a dispute between Sellers or any of Sellers’ Affiliates, on the one hand, and a third party, on the other hand, or any other circumstance in which a third party requests or demands that any of Sellers or Sellers’ Affiliates produce privileged materials or attorney work-product of the Company, Sellers shall cause the applicable Affiliate of Sellers to assert such attorney-client privilege or attorney-work product protection to prevent disclosure of privileged materials or attorney work-product to such third party.</w:t>
      </w:r>
    </w:p>
    <w:p>
      <w:pPr>
        <w:spacing w:after="0" w:line="161" w:lineRule="exact"/>
        <w:rPr>
          <w:sz w:val="20"/>
          <w:szCs w:val="20"/>
          <w:color w:val="auto"/>
        </w:rPr>
      </w:pPr>
    </w:p>
    <w:p>
      <w:pPr>
        <w:jc w:val="both"/>
        <w:ind w:firstLine="1304"/>
        <w:spacing w:after="0" w:line="270" w:lineRule="auto"/>
        <w:tabs>
          <w:tab w:leader="none" w:pos="205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Each of the Parties hereby agrees, on its own behalf and on behalf of its Affiliates and its and their directors, members, shareholders, partners, officers, and employees, that (i) Hogan Lovells may serve as counsel to Sellers, the Sellers’ Representative and their respective Affiliates, on the one hand, and the Company, on the other hand, in connection with the negotiation, preparation, execution and delivery of this Agreement and the consummation of the Transaction, and that, following consummation of the Transaction, Hogan Lovells (or any successor) may serve as counsel to Sellers, any holder of interests in a Seller, the Sellers’ Representative and their respective Affiliates or any director, member, shareholder, partner, officer or employee thereof, in connection with any litigation, claim or obligation arising out of or relating to this Agreement or the Transaction notwithstanding such representation and (ii) Purchaser shall not, and shall cause its Affiliates (including the Company) not to, seek or have Hogan Lovells (or any successor) disqualified from any such representation. Each of the Parties hereby consents thereto and waives any conflict of interest arising therefrom, and each of such Parties shall cause any of its Affiliates to consent to or waive any conflict of interest arising from such representation. Each of the Parties acknowledges that such consent and waiver is voluntary, that it has been carefully considered, and that the Parties have consulted with counsel or have been advised they should do so in connection herewith. The covenants, consent and waiver contained in this </w:t>
      </w:r>
      <w:r>
        <w:rPr>
          <w:rFonts w:ascii="Arial" w:cs="Arial" w:eastAsia="Arial" w:hAnsi="Arial"/>
          <w:sz w:val="19"/>
          <w:szCs w:val="19"/>
          <w:u w:val="single" w:color="auto"/>
          <w:color w:val="auto"/>
        </w:rPr>
        <w:t>Section 11.15(c)</w:t>
      </w:r>
      <w:r>
        <w:rPr>
          <w:rFonts w:ascii="Arial" w:cs="Arial" w:eastAsia="Arial" w:hAnsi="Arial"/>
          <w:sz w:val="19"/>
          <w:szCs w:val="19"/>
          <w:color w:val="auto"/>
        </w:rPr>
        <w:t xml:space="preserve"> are intended to be for the benefit of, and shall be enforceable by, Sellers’ and their Affiliates’ counsel and their legal representatives and shall not be deemed exclusive of any other rights to which Sellers’ and their Affiliates’ counsel is entitled whether pursuant to Law, Contract or otherwise.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11.16  </w:t>
      </w:r>
      <w:r>
        <w:rPr>
          <w:rFonts w:ascii="Arial" w:cs="Arial" w:eastAsia="Arial" w:hAnsi="Arial"/>
          <w:sz w:val="22"/>
          <w:szCs w:val="22"/>
          <w:u w:val="single" w:color="auto"/>
          <w:color w:val="000000"/>
        </w:rPr>
        <w:t>Authorization of the Sellers’ Representative</w:t>
      </w:r>
      <w:r>
        <w:rPr>
          <w:rFonts w:ascii="Arial" w:cs="Arial" w:eastAsia="Arial" w:hAnsi="Arial"/>
          <w:sz w:val="22"/>
          <w:szCs w:val="22"/>
          <w:color w:val="000000"/>
        </w:rPr>
        <w:t>.</w:t>
      </w:r>
    </w:p>
    <w:p>
      <w:pPr>
        <w:spacing w:after="0" w:line="206" w:lineRule="exact"/>
        <w:rPr>
          <w:sz w:val="20"/>
          <w:szCs w:val="20"/>
          <w:color w:val="auto"/>
        </w:rPr>
      </w:pPr>
    </w:p>
    <w:p>
      <w:pPr>
        <w:jc w:val="both"/>
        <w:ind w:firstLine="1304"/>
        <w:spacing w:after="0" w:line="274" w:lineRule="auto"/>
        <w:tabs>
          <w:tab w:leader="none" w:pos="2143"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 xml:space="preserve">The Sellers’ Representative is hereby appointed, authorized and empowered to act as a representative, for the benefit of all Sellers, as the exclusive agent and attorney-in-fact, in connection with and to facilitate the consummation of the Transaction under this Agreement and the other Transaction Agreements, which shall include the power and authority, including power of substitution: (i) to execute and deliver such amendments, waivers, consents, notices and instructions in connection with this Agreement and any other Transaction Agreement, and the consummation of the Transaction as the Sellers’ Representative, in his sole discretion, may deem necessary or desirable; (ii) to review, accept or dispute the Closing Statement, (iii) to administer and resolve any disputes or compromise such disputes with Purchaser, on Sellers’ behalf (including in connection with any and all claims for indemnification brought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34" w:name="page135"/>
    <w:bookmarkEnd w:id="134"/>
    <w:p>
      <w:pPr>
        <w:jc w:val="both"/>
        <w:spacing w:after="0" w:line="273" w:lineRule="auto"/>
        <w:rPr>
          <w:sz w:val="20"/>
          <w:szCs w:val="20"/>
          <w:color w:val="auto"/>
        </w:rPr>
      </w:pP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claims related to Taxes, or claims related to the Closing Date Cash, the Closing Date Working Capital, the Unpaid Company Transaction Expenses, any Contingent Consideration, and the Closing Date Indebtedness), and (iv) to take any and all actions that the Sellers’ Representative believes are necessary or appropriate under this Agreement or the other Transaction Agreements or to effectuate the Transaction or the other transactions contemplated hereby or thereby, for and on behalf of Sellers and to resolve any dispute with Purchaser over any aspect of this Agreement and, on behalf of Sellers, to enter into any agreement to effectuate any of the foregoing that shall have the effect of binding Sellers as if Sellers had personally entered into such an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failure to act on the part of the Sellers’ Representative, except as otherwise provided in this Agreement, shall be deemed a waiver of any such right or interest by the Sellers’ Representative or by Sellers unless such waiver is in writing signed by the waiving party or by the Sellers’ Representative.</w:t>
      </w:r>
    </w:p>
    <w:p>
      <w:pPr>
        <w:spacing w:after="0" w:line="161" w:lineRule="exact"/>
        <w:rPr>
          <w:sz w:val="20"/>
          <w:szCs w:val="20"/>
          <w:color w:val="auto"/>
        </w:rPr>
      </w:pPr>
    </w:p>
    <w:p>
      <w:pPr>
        <w:jc w:val="both"/>
        <w:ind w:firstLine="1304"/>
        <w:spacing w:after="0" w:line="270" w:lineRule="auto"/>
        <w:tabs>
          <w:tab w:leader="none" w:pos="2371" w:val="left"/>
        </w:tabs>
        <w:numPr>
          <w:ilvl w:val="0"/>
          <w:numId w:val="131"/>
        </w:numPr>
        <w:rPr>
          <w:rFonts w:ascii="Arial" w:cs="Arial" w:eastAsia="Arial" w:hAnsi="Arial"/>
          <w:sz w:val="19"/>
          <w:szCs w:val="19"/>
          <w:color w:val="010000"/>
        </w:rPr>
      </w:pPr>
      <w:r>
        <w:rPr>
          <w:rFonts w:ascii="Arial" w:cs="Arial" w:eastAsia="Arial" w:hAnsi="Arial"/>
          <w:sz w:val="19"/>
          <w:szCs w:val="19"/>
          <w:color w:val="auto"/>
        </w:rPr>
        <w:t>The Sellers’ Representative shall not be entitled to any fee, commission or other compensation for the performance of his services hereunder, but shall be entitled to the payment of all his out-of-pocket expenses incurred as the Sellers’ Representative. The Sellers’ Representative will incur no liability of any kind with respect to any action or omission by the Sellers’ Representative in connection with his services pursuant to this Agreement or any other Transaction Agreement except in the event of liability directly resulting from the Sellers’ Representative’s willful misconduct. The Sellers’ Representative shall not be liable for any action or omission pursuant to the advice of counsel. Each Seller shall indemnify, on a pro rata basis (based on such Seller’s Pro Rata Percentage), the Sellers’ Representative against all Losses (including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Sellers’ Representative hereunder or otherwise. The foregoing indemnification shall not apply in the event of any action or proceeding which finally adjudicates the Liability of the Sellers’ Representative hereunder for his willful misconduct. In no event will the Sellers’ Representative be required to advance his own funds on behalf of Sellers or otherwise. Notwithstanding anything in this Agreement to the contrary, any restrictions or limitations on liability or indemnification obligations of Sellers set forth elsewhere in this Agreement are not intended to be applicable to the indemnities provided to the Sellers’ Representative under this Section. In the event of any indemnification hereunder, upon written notice from the Sellers’ Representative to Sellers as to the existence of a deficiency toward the payment of any such indemnification amount, each Seller shall promptly deliver to the Sellers’ Representative full payment of his, her or its ratable share of the amount of such deficiency (based on such Seller’s Pro Rata Percentage).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firstLine="1304"/>
        <w:spacing w:after="0" w:line="235" w:lineRule="auto"/>
        <w:tabs>
          <w:tab w:leader="none" w:pos="1995"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Each Seller agrees that the Sellers’ Representative may consult with counsel chosen by the Sellers’ Representative and shall have full and complete authorization in good faith to act or refrain from acting in accordance with the opinion of such counsel. The Sellers’ Representative may rely and shall be protected in acting, or refraining from acting, upon any written notice, instruction or request furnished to the Sellers’ Representative hereunder and reasonably believed by the Sellers’ Representative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35" w:name="page136"/>
    <w:bookmarkEnd w:id="135"/>
    <w:p>
      <w:pPr>
        <w:jc w:val="both"/>
        <w:ind w:firstLine="1304"/>
        <w:spacing w:after="0" w:line="246" w:lineRule="auto"/>
        <w:tabs>
          <w:tab w:leader="none" w:pos="2007" w:val="left"/>
        </w:tabs>
        <w:numPr>
          <w:ilvl w:val="0"/>
          <w:numId w:val="132"/>
        </w:numPr>
        <w:rPr>
          <w:rFonts w:ascii="Arial" w:cs="Arial" w:eastAsia="Arial" w:hAnsi="Arial"/>
          <w:sz w:val="21"/>
          <w:szCs w:val="21"/>
          <w:color w:val="010000"/>
        </w:rPr>
      </w:pPr>
      <w:r>
        <w:rPr>
          <w:rFonts w:ascii="Arial" w:cs="Arial" w:eastAsia="Arial" w:hAnsi="Arial"/>
          <w:sz w:val="21"/>
          <w:szCs w:val="21"/>
          <w:color w:val="auto"/>
        </w:rPr>
        <w:t>All of the indemnities, immunities and powers granted to the Sellers’ Representative under this Agreement shall survive the Closing Date, any termination of this Agreement, or any resignation or removal of the Sellers’ Representative. Purchaser shall have the right to rely upon all actions taken or omitted to be taken by the Sellers’ Representative pursuant to this Agreement and any other Transaction Agreement, all of which actions or omissions shall be legally binding upon all Sellers. The grant of authority provided for herein (i) is coupled with an interest and shall be irrevocable and survives the death, incompetency, bankruptcy or liquidation of any of Sellers and (ii) shall survive the Closing.</w:t>
      </w:r>
    </w:p>
    <w:p>
      <w:pPr>
        <w:spacing w:after="0" w:line="184" w:lineRule="exact"/>
        <w:rPr>
          <w:rFonts w:ascii="Arial" w:cs="Arial" w:eastAsia="Arial" w:hAnsi="Arial"/>
          <w:sz w:val="21"/>
          <w:szCs w:val="21"/>
          <w:color w:val="010000"/>
        </w:rPr>
      </w:pPr>
    </w:p>
    <w:p>
      <w:pPr>
        <w:jc w:val="both"/>
        <w:ind w:firstLine="1304"/>
        <w:spacing w:after="0" w:line="287" w:lineRule="auto"/>
        <w:tabs>
          <w:tab w:leader="none" w:pos="2022"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The Parties acknowledge and agree that the Sellers’ Representative shall have no Liability to, and shall not be liable for any Losses of, any other Party, any Purchaser Indemnified Party or Debt Financing Party in connection with any obligations of the Sellers’ Representative under this Agreement, any other Transaction Agreement or otherwise in respect of this Agreement or the Transaction.</w:t>
      </w:r>
    </w:p>
    <w:p>
      <w:pPr>
        <w:spacing w:after="0" w:line="142" w:lineRule="exact"/>
        <w:rPr>
          <w:rFonts w:ascii="Arial" w:cs="Arial" w:eastAsia="Arial" w:hAnsi="Arial"/>
          <w:sz w:val="19"/>
          <w:szCs w:val="19"/>
          <w:color w:val="010000"/>
        </w:rPr>
      </w:pPr>
    </w:p>
    <w:p>
      <w:pPr>
        <w:jc w:val="both"/>
        <w:ind w:firstLine="1304"/>
        <w:spacing w:after="0" w:line="277" w:lineRule="auto"/>
        <w:tabs>
          <w:tab w:leader="none" w:pos="2092"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The Sellers’ Representative shall have the right to resign. If the Sellers’ Representative resigns or is otherwise unable to fulfill its responsibilities hereunder, Sellers shall (by consent of those Sellers having a collective Pro Rata Percentage of greater than fifty percent (50%)), within ten (10) Business Days after such resignation or inability, appoint a successor to the Sellers’ Representative and immediately thereafter notify Purchaser of the identity of such successor. Any such successor shall succeed the Sellers’ Representative as Sellers’ Representative for all purposes hereunder. If for any reason there is no Sellers’ Representative at any time, all references herein to the Sellers’ Representative shall be deemed to refer to Sellers.</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010000"/>
        </w:rPr>
        <w:t xml:space="preserve">11.17 </w:t>
      </w:r>
      <w:r>
        <w:rPr>
          <w:rFonts w:ascii="Arial" w:cs="Arial" w:eastAsia="Arial" w:hAnsi="Arial"/>
          <w:sz w:val="19"/>
          <w:szCs w:val="19"/>
          <w:u w:val="single" w:color="auto"/>
          <w:color w:val="000000"/>
        </w:rPr>
        <w:t>Non-Recourse</w:t>
      </w:r>
      <w:r>
        <w:rPr>
          <w:rFonts w:ascii="Arial" w:cs="Arial" w:eastAsia="Arial" w:hAnsi="Arial"/>
          <w:sz w:val="19"/>
          <w:szCs w:val="19"/>
          <w:color w:val="000000"/>
        </w:rPr>
        <w:t>. Except as expressly set forth in the Confidentiality Agreement or any other</w:t>
      </w:r>
      <w:r>
        <w:rPr>
          <w:rFonts w:ascii="Arial" w:cs="Arial" w:eastAsia="Arial" w:hAnsi="Arial"/>
          <w:sz w:val="19"/>
          <w:szCs w:val="19"/>
          <w:color w:val="010000"/>
        </w:rPr>
        <w:t xml:space="preserve"> </w:t>
      </w:r>
      <w:r>
        <w:rPr>
          <w:rFonts w:ascii="Arial" w:cs="Arial" w:eastAsia="Arial" w:hAnsi="Arial"/>
          <w:sz w:val="19"/>
          <w:szCs w:val="19"/>
          <w:color w:val="000000"/>
        </w:rPr>
        <w:t>Transaction Agreement, all claims, obligations, Liabilities, or causes of action (whether at Law, in equity, in Contract, in tort or otherwise) that may be based upon, in respect of, arise under, out or by reason of, be connected with, or relate in any manner to this Agreement, or the negotiation, execution, or performance of this Agreement (including any dispute arising out of or relating in any way to the Commitment Letter or the performance thereof or the financings contemplated thereby), may be made only against the Parties that are expressly identified in the preamble to this Agreement or any of their respective permitted assigns (the “</w:t>
      </w:r>
      <w:r>
        <w:rPr>
          <w:rFonts w:ascii="Arial" w:cs="Arial" w:eastAsia="Arial" w:hAnsi="Arial"/>
          <w:sz w:val="19"/>
          <w:szCs w:val="19"/>
          <w:u w:val="single" w:color="auto"/>
          <w:color w:val="000000"/>
        </w:rPr>
        <w:t>Contracting Parties</w:t>
      </w:r>
      <w:r>
        <w:rPr>
          <w:rFonts w:ascii="Arial" w:cs="Arial" w:eastAsia="Arial" w:hAnsi="Arial"/>
          <w:sz w:val="19"/>
          <w:szCs w:val="19"/>
          <w:color w:val="000000"/>
        </w:rPr>
        <w:t>”). No Person who is not a Contracting Party, including any current, former or future equityholder, incorporator, controlling Person, general or limited partner, member, Affiliate, director, officer, employee, agent, consultant, representative, or Debt Financing Party of any Contracting Party, and any financial advisor or lender to, any Contracting Party, or any current, former or future equityholder, incorporator, controlling person, general or limited partner, Affiliate, director, officer, employee, agent, consultant, representative, or Debt Financing Party, and any lender to, any of the foregoing or any of their respective successors, predecessors or assigns (or any successors, predecessors or assigns of the foregoing) (collectively, the “</w:t>
      </w:r>
      <w:r>
        <w:rPr>
          <w:rFonts w:ascii="Arial" w:cs="Arial" w:eastAsia="Arial" w:hAnsi="Arial"/>
          <w:sz w:val="19"/>
          <w:szCs w:val="19"/>
          <w:u w:val="single" w:color="auto"/>
          <w:color w:val="000000"/>
        </w:rPr>
        <w:t>Non-Party Affiliates</w:t>
      </w:r>
      <w:r>
        <w:rPr>
          <w:rFonts w:ascii="Arial" w:cs="Arial" w:eastAsia="Arial" w:hAnsi="Arial"/>
          <w:sz w:val="19"/>
          <w:szCs w:val="19"/>
          <w:color w:val="000000"/>
        </w:rPr>
        <w:t>”), shall have any Liability (whether in Law or in equity, whether in Contract or in tort or otherwise) for any claims, causes of action, obligations, or Liabilities arising under, out of, in connection with, or related in any manner to this Agreement (including any claims, causes of action, obligations or Liabilities arising out of or relating in any way to the Commitment Letter or the performance thereof or the financings contemplated thereby) or based on, in respect of, or by reason of this Agreement or its negotiation, execution, performance, or breach (other than as expressly set forth in the Confidentiality Agreement or any other Transaction Agreement), including any alleged non-disclosure or misrepresentations made by any such Person or as a result of the use or reliance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9"/>
          <w:szCs w:val="19"/>
          <w:color w:val="auto"/>
        </w:rPr>
        <w:t xml:space="preserve">information, documents or materials made available by such Person, and, to the maximum extent permitted by Law, each Contracting Party hereby waives and releases all claims, causes of action, obligations, or Liabilities arising under, out of, in connection with, or related in any manner to this Agreement (including any claims, causes of action, obligations or Liabilities arising out of or relating in any way to the Commitment Letter or the performance thereof or the financings contemplated thereby) or based on, in respect of, or by reason of this Agreement or its negotiation, execution, performance, or breach (other than as expressly set forth in the Confidentiality Agreement or any other Transaction Agreement) against any such Non-Party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clarity, no party to the Confidentiality Agreement or any other Transaction Agreement shall be deemed a Non-Party Affiliate with respect to such documents to which it is a party. Without limiting the foregoing, to the maximum extent permitted by Law, except to the extent otherwise expressly set forth in the Confidentiality Agreement or any other Transaction Agreement, (i) each Contracting Party hereby waives and releases any and all rights, claims, demands, or causes of action that may otherwise be available, whether at Law, in equity, in contract, in tort or otherwise, to avoid or disregard the entity form of a Contracting Party or otherwise impose liability on any Non-Party Affiliate, whether granted by statute or based on theories of equity, agency, control, instrumentality, alter ego, domination, sham, single business enterprise, piercing the veil, unfairness, undercapitalization, or otherwise, in each case arising under, out of, in connection with, or related in any manner to this Agreement or based on, in respect of, or by reason of this Agreement or its negotiation, execution, performance, or breach (other than as expressly set forth in the Confidentiality Agreement or any other Transaction Agreement); and (ii) each Contracting Party disclaims any reliance upon any Non-Party Affiliates with respect to the performance of this Agreement or any representation or warranty made in, in connection with, or as an inducement to this Agreement.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11.18 </w:t>
      </w:r>
      <w:r>
        <w:rPr>
          <w:rFonts w:ascii="Arial" w:cs="Arial" w:eastAsia="Arial" w:hAnsi="Arial"/>
          <w:sz w:val="22"/>
          <w:szCs w:val="22"/>
          <w:u w:val="single" w:color="auto"/>
          <w:color w:val="000000"/>
        </w:rPr>
        <w:t>No Other Duties</w:t>
      </w:r>
      <w:r>
        <w:rPr>
          <w:rFonts w:ascii="Arial" w:cs="Arial" w:eastAsia="Arial" w:hAnsi="Arial"/>
          <w:sz w:val="22"/>
          <w:szCs w:val="22"/>
          <w:color w:val="000000"/>
        </w:rPr>
        <w:t>. The only duties and obligations of the Parties under this Agreement are as</w:t>
      </w:r>
      <w:r>
        <w:rPr>
          <w:rFonts w:ascii="Arial" w:cs="Arial" w:eastAsia="Arial" w:hAnsi="Arial"/>
          <w:sz w:val="22"/>
          <w:szCs w:val="22"/>
          <w:color w:val="010000"/>
        </w:rPr>
        <w:t xml:space="preserve"> </w:t>
      </w:r>
      <w:r>
        <w:rPr>
          <w:rFonts w:ascii="Arial" w:cs="Arial" w:eastAsia="Arial" w:hAnsi="Arial"/>
          <w:sz w:val="22"/>
          <w:szCs w:val="22"/>
          <w:color w:val="000000"/>
        </w:rPr>
        <w:t>specifically set forth in this Agreement, and no other duties or obligations shall be implied in fact, Law or equity, or under any principle of fiduciary obligation.</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11.19 </w:t>
      </w:r>
      <w:r>
        <w:rPr>
          <w:rFonts w:ascii="Arial" w:cs="Arial" w:eastAsia="Arial" w:hAnsi="Arial"/>
          <w:sz w:val="19"/>
          <w:szCs w:val="19"/>
          <w:u w:val="single" w:color="auto"/>
          <w:color w:val="000000"/>
        </w:rPr>
        <w:t>Reliance on Counsel and Other Advisors</w:t>
      </w:r>
      <w:r>
        <w:rPr>
          <w:rFonts w:ascii="Arial" w:cs="Arial" w:eastAsia="Arial" w:hAnsi="Arial"/>
          <w:sz w:val="19"/>
          <w:szCs w:val="19"/>
          <w:color w:val="000000"/>
        </w:rPr>
        <w:t>. Each Party has consulted such legal, financial, technical</w:t>
      </w:r>
      <w:r>
        <w:rPr>
          <w:rFonts w:ascii="Arial" w:cs="Arial" w:eastAsia="Arial" w:hAnsi="Arial"/>
          <w:sz w:val="19"/>
          <w:szCs w:val="19"/>
          <w:color w:val="010000"/>
        </w:rPr>
        <w:t xml:space="preserve"> </w:t>
      </w:r>
      <w:r>
        <w:rPr>
          <w:rFonts w:ascii="Arial" w:cs="Arial" w:eastAsia="Arial" w:hAnsi="Arial"/>
          <w:sz w:val="19"/>
          <w:szCs w:val="19"/>
          <w:color w:val="000000"/>
        </w:rPr>
        <w:t>or other experts as it deems necessary or desirable before entering into this Agreement. Each Party represents and warrants that it has read, knows, understands and agrees with the terms and conditions of this Agreement.</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010000"/>
        </w:rPr>
        <w:t xml:space="preserve">11.20 </w:t>
      </w:r>
      <w:r>
        <w:rPr>
          <w:rFonts w:ascii="Arial" w:cs="Arial" w:eastAsia="Arial" w:hAnsi="Arial"/>
          <w:sz w:val="19"/>
          <w:szCs w:val="19"/>
          <w:u w:val="single" w:color="auto"/>
          <w:color w:val="000000"/>
        </w:rPr>
        <w:t>Disclosure Schedules</w:t>
      </w:r>
      <w:r>
        <w:rPr>
          <w:rFonts w:ascii="Arial" w:cs="Arial" w:eastAsia="Arial" w:hAnsi="Arial"/>
          <w:sz w:val="19"/>
          <w:szCs w:val="19"/>
          <w:color w:val="000000"/>
        </w:rPr>
        <w:t>. No reference to or disclosure of any item or other matter in the Company</w:t>
      </w:r>
      <w:r>
        <w:rPr>
          <w:rFonts w:ascii="Arial" w:cs="Arial" w:eastAsia="Arial" w:hAnsi="Arial"/>
          <w:sz w:val="19"/>
          <w:szCs w:val="19"/>
          <w:color w:val="010000"/>
        </w:rPr>
        <w:t xml:space="preserve"> </w:t>
      </w:r>
      <w:r>
        <w:rPr>
          <w:rFonts w:ascii="Arial" w:cs="Arial" w:eastAsia="Arial" w:hAnsi="Arial"/>
          <w:sz w:val="19"/>
          <w:szCs w:val="19"/>
          <w:color w:val="000000"/>
        </w:rPr>
        <w:t xml:space="preserve">Disclosure Schedule or the Seller Disclosure Schedule shall be construed as an admission or indication that such item or other matter is material (nor shall it establish a standard of materiality for any purpose whatsoever) or that such item or other matter is required to be referred to or disclosed in the Company Disclosure Schedule or the Seller Disclosure Schedule. The information set forth in the Company Disclosure Schedule and the Seller Disclosure Schedule is disclosed solely for the purposes of this Agreement, and no information set forth therein shall be deemed to be an admission by any Party to any third party of any matter whatsoever, including any violation of Law or breach of any Contract. The section numbers contained in the Company Disclosure Schedule and the Seller Disclosure Schedule correspond to the section numbers in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that any information disclosed therein under any section number shall be deemed to be disclosed and incorporated in any other section of the Company Disclosure Schedule or the Seller Disclosure Schedule, as applicable, where such disclosure would be appropriate and reasonably apparent on its face whether or not such disclosure contains an express cross-reference. The Company Disclosure Schedule and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7" w:name="page138"/>
    <w:bookmarkEnd w:id="137"/>
    <w:p>
      <w:pPr>
        <w:jc w:val="both"/>
        <w:spacing w:after="0" w:line="246" w:lineRule="auto"/>
        <w:rPr>
          <w:sz w:val="20"/>
          <w:szCs w:val="20"/>
          <w:color w:val="auto"/>
        </w:rPr>
      </w:pPr>
      <w:r>
        <w:rPr>
          <w:rFonts w:ascii="Arial" w:cs="Arial" w:eastAsia="Arial" w:hAnsi="Arial"/>
          <w:sz w:val="21"/>
          <w:szCs w:val="21"/>
          <w:color w:val="auto"/>
        </w:rPr>
        <w:t>Disclosure Schedule and the information and disclosures contained therein are intended only to qualify and limit the representations, warranties and covenants of the Company and Sellers, as applicable, contained in this Agreement. Nothing in the Company Disclosure Schedule or the Seller Disclosure Schedule is intended to broaden the scope of any representation or warranty contained in this Agreement or create any covenant. Matters reflected in the Company Disclosure Schedule and the Seller Disclosure Schedule are not necessarily limited to matters required by the Agreement to be reflected in the Company Disclosure Schedule and the Seller Disclosure Schedule, respectively. Such additional matters are set forth for informational purposes and do not necessarily include other matters of a similar nature.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11.21  </w:t>
      </w:r>
      <w:r>
        <w:rPr>
          <w:rFonts w:ascii="Arial" w:cs="Arial" w:eastAsia="Arial" w:hAnsi="Arial"/>
          <w:sz w:val="22"/>
          <w:szCs w:val="22"/>
          <w:u w:val="single" w:color="auto"/>
          <w:color w:val="000000"/>
        </w:rPr>
        <w:t>Reserved</w:t>
      </w:r>
      <w:r>
        <w:rPr>
          <w:rFonts w:ascii="Arial" w:cs="Arial" w:eastAsia="Arial" w:hAnsi="Arial"/>
          <w:sz w:val="22"/>
          <w:szCs w:val="22"/>
          <w:color w:val="000000"/>
        </w:rPr>
        <w:t>.</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010000"/>
        </w:rPr>
        <w:t xml:space="preserve">11.22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Agreement may be executed in one or more counterparts, each of which shall</w:t>
      </w:r>
      <w:r>
        <w:rPr>
          <w:rFonts w:ascii="Arial" w:cs="Arial" w:eastAsia="Arial" w:hAnsi="Arial"/>
          <w:sz w:val="19"/>
          <w:szCs w:val="19"/>
          <w:color w:val="010000"/>
        </w:rPr>
        <w:t xml:space="preserve"> </w:t>
      </w:r>
      <w:r>
        <w:rPr>
          <w:rFonts w:ascii="Arial" w:cs="Arial" w:eastAsia="Arial" w:hAnsi="Arial"/>
          <w:sz w:val="19"/>
          <w:szCs w:val="19"/>
          <w:color w:val="000000"/>
        </w:rPr>
        <w:t>be deemed to be an original copy of this Agreement and all of which, when taken together, shall be deemed to constitute one and the same agreement. Such delivery of counterparts shall be conclusive evidence of the intent to be bound hereby and to the extent applicable, the foregoing constitutes the election of the Parties to invoke any Law authorizing electronic signatures. Any such counterpart delivered by .pdf, .tif, .gif, .jpeg or similar attachment to electronic mail or by electronic signature delivered by electronic transmission (any such delivery, “</w:t>
      </w:r>
      <w:r>
        <w:rPr>
          <w:rFonts w:ascii="Arial" w:cs="Arial" w:eastAsia="Arial" w:hAnsi="Arial"/>
          <w:sz w:val="19"/>
          <w:szCs w:val="19"/>
          <w:u w:val="single" w:color="auto"/>
          <w:color w:val="000000"/>
        </w:rPr>
        <w:t>Electronic Delivery</w:t>
      </w:r>
      <w:r>
        <w:rPr>
          <w:rFonts w:ascii="Arial" w:cs="Arial" w:eastAsia="Arial" w:hAnsi="Arial"/>
          <w:sz w:val="19"/>
          <w:szCs w:val="19"/>
          <w:color w:val="000000"/>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counterpart or signature, or the fact that any counterpart or signature was transmitted or communicated through the use of Electronic Delivery, as a defense to the formation of a Contract, and each Party forever waives any such defense, except to the extent such defense relates to lack of authenticity.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010000"/>
        </w:rPr>
        <w:t xml:space="preserve">11.23 </w:t>
      </w:r>
      <w:r>
        <w:rPr>
          <w:rFonts w:ascii="Arial" w:cs="Arial" w:eastAsia="Arial" w:hAnsi="Arial"/>
          <w:sz w:val="19"/>
          <w:szCs w:val="19"/>
          <w:u w:val="single" w:color="auto"/>
          <w:color w:val="000000"/>
        </w:rPr>
        <w:t>Debt Financing Source Arrangements</w:t>
      </w:r>
      <w:r>
        <w:rPr>
          <w:rFonts w:ascii="Arial" w:cs="Arial" w:eastAsia="Arial" w:hAnsi="Arial"/>
          <w:sz w:val="19"/>
          <w:szCs w:val="19"/>
          <w:color w:val="000000"/>
        </w:rPr>
        <w:t>. Notwithstanding anything to the contrary contained in this</w:t>
      </w:r>
      <w:r>
        <w:rPr>
          <w:rFonts w:ascii="Arial" w:cs="Arial" w:eastAsia="Arial" w:hAnsi="Arial"/>
          <w:sz w:val="19"/>
          <w:szCs w:val="19"/>
          <w:color w:val="010000"/>
        </w:rPr>
        <w:t xml:space="preserve"> </w:t>
      </w:r>
      <w:r>
        <w:rPr>
          <w:rFonts w:ascii="Arial" w:cs="Arial" w:eastAsia="Arial" w:hAnsi="Arial"/>
          <w:sz w:val="19"/>
          <w:szCs w:val="19"/>
          <w:color w:val="000000"/>
        </w:rPr>
        <w:t>Agreement, each of the Parties hereto: (a) agrees that it will not bring or support any Person, or permit any of its Affiliates to bring or support any Person, in any action, suit, proceeding, cause of action, claim, cross-claim or third-party claim of any kind or description, whether in law or in equity, whether in contract or in tort or otherwise, against any Debt Financing Party in any way relating to this Agreement or any of the transactions contemplated by this Agreement, including, but not limited to, any dispute arising out of or relating in any way to the Commitment Letter or the performance thereof or the financings contemplated thereby, in any forum other than the federal and New York State courts located in the Borough of Manhattan within the City of New York; (b) agrees that, except as specifically set forth in the Commitment Letter, all claims or causes of action (whether at law, in equity, in contract, in tort or otherwise) against any of the Debt Financing Parties in any way relating to the Commitment Letter or the performance thereof or the financings contemplated thereby, shall be exclusively governed by, and construed in accordance with, the internal laws of the State of New York, without giving effect to principles or rules of conflict of laws to the extent such principles or rules would require or permit the application of laws of another jurisdiction; and (c) HEREBY IRREVOCABLY AND UNCONDITIONALLY WAIVES ANY RIGHT SUCH PARTY MAY HAVE TO A TRIAL BY JURY IN RESPECT OF ANY LITIGATION (WHETHER AT LAW OR IN EQUITY, IN CONTRACT, IN TORT OR OTHERWISE) DIRECTLY OR INDIRECTLY ARISING OUT OF OR RELATING IN ANY WAY TO THE COMMITMENT LETTER OR THE PERFORMANCE THEREOF OR THE FINANCING CONTEMPLATED THEREBY. Notwithstanding anything to the contrary contained in this Agreement, the Debt Financing Parties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8" w:name="page139"/>
    <w:bookmarkEnd w:id="138"/>
    <w:p>
      <w:pPr>
        <w:jc w:val="both"/>
        <w:spacing w:after="0" w:line="279" w:lineRule="auto"/>
        <w:rPr>
          <w:sz w:val="20"/>
          <w:szCs w:val="20"/>
          <w:color w:val="auto"/>
        </w:rPr>
      </w:pPr>
      <w:r>
        <w:rPr>
          <w:rFonts w:ascii="Arial" w:cs="Arial" w:eastAsia="Arial" w:hAnsi="Arial"/>
          <w:sz w:val="19"/>
          <w:szCs w:val="19"/>
          <w:color w:val="auto"/>
        </w:rPr>
        <w:t xml:space="preserve">intended third-party beneficiaries of, and shall be entitled to the protections of this provision and </w:t>
      </w:r>
      <w:r>
        <w:rPr>
          <w:rFonts w:ascii="Arial" w:cs="Arial" w:eastAsia="Arial" w:hAnsi="Arial"/>
          <w:sz w:val="19"/>
          <w:szCs w:val="19"/>
          <w:u w:val="single" w:color="auto"/>
          <w:color w:val="auto"/>
        </w:rPr>
        <w:t>Sections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11.12</w:t>
      </w:r>
      <w:r>
        <w:rPr>
          <w:rFonts w:ascii="Arial" w:cs="Arial" w:eastAsia="Arial" w:hAnsi="Arial"/>
          <w:sz w:val="19"/>
          <w:szCs w:val="19"/>
          <w:color w:val="auto"/>
        </w:rPr>
        <w:t xml:space="preserve"> (and the related definitions), to the same extent as if the Debt Financing Parties were parties to this Agreement. This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11.12</w:t>
      </w:r>
      <w:r>
        <w:rPr>
          <w:rFonts w:ascii="Arial" w:cs="Arial" w:eastAsia="Arial" w:hAnsi="Arial"/>
          <w:sz w:val="19"/>
          <w:szCs w:val="19"/>
          <w:color w:val="auto"/>
        </w:rPr>
        <w:t xml:space="preserve"> (and the related definitions) may not be amended, modified or supplemented, or any of their provisions waived in a manner that is adverse to or directly impairs the rights of the Debt Financing Parties, without the written consent of the Debt Financing Parties, which consent may be granted or withheld in the sole discretion of the Debt Financing Parties.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XII</w:t>
      </w:r>
    </w:p>
    <w:p>
      <w:pPr>
        <w:spacing w:after="0" w:line="206" w:lineRule="exact"/>
        <w:rPr>
          <w:sz w:val="20"/>
          <w:szCs w:val="20"/>
          <w:color w:val="auto"/>
        </w:rPr>
      </w:pPr>
    </w:p>
    <w:p>
      <w:pPr>
        <w:ind w:left="660" w:right="2980" w:firstLine="2337"/>
        <w:spacing w:after="0" w:line="438" w:lineRule="auto"/>
        <w:rPr>
          <w:sz w:val="20"/>
          <w:szCs w:val="20"/>
          <w:color w:val="auto"/>
        </w:rPr>
      </w:pPr>
      <w:r>
        <w:rPr>
          <w:rFonts w:ascii="Arial" w:cs="Arial" w:eastAsia="Arial" w:hAnsi="Arial"/>
          <w:sz w:val="22"/>
          <w:szCs w:val="22"/>
          <w:b w:val="1"/>
          <w:bCs w:val="1"/>
          <w:color w:val="auto"/>
        </w:rPr>
        <w:t xml:space="preserve">DEFINITIONS AND INTERPRETATION </w:t>
      </w:r>
      <w:r>
        <w:rPr>
          <w:rFonts w:ascii="Arial" w:cs="Arial" w:eastAsia="Arial" w:hAnsi="Arial"/>
          <w:sz w:val="22"/>
          <w:szCs w:val="22"/>
          <w:color w:val="010000"/>
        </w:rPr>
        <w:t xml:space="preserve">12.1 </w:t>
      </w:r>
      <w:r>
        <w:rPr>
          <w:rFonts w:ascii="Arial" w:cs="Arial" w:eastAsia="Arial" w:hAnsi="Arial"/>
          <w:sz w:val="22"/>
          <w:szCs w:val="22"/>
          <w:u w:val="single" w:color="auto"/>
          <w:color w:val="000000"/>
        </w:rPr>
        <w:t>Certain Definitions</w:t>
      </w:r>
      <w:r>
        <w:rPr>
          <w:rFonts w:ascii="Arial" w:cs="Arial" w:eastAsia="Arial" w:hAnsi="Arial"/>
          <w:sz w:val="22"/>
          <w:szCs w:val="22"/>
          <w:color w:val="000000"/>
        </w:rPr>
        <w:t>.</w:t>
      </w:r>
    </w:p>
    <w:p>
      <w:pPr>
        <w:spacing w:after="0" w:line="1" w:lineRule="exact"/>
        <w:rPr>
          <w:sz w:val="20"/>
          <w:szCs w:val="20"/>
          <w:color w:val="auto"/>
        </w:rPr>
      </w:pPr>
    </w:p>
    <w:p>
      <w:pPr>
        <w:ind w:left="2340" w:hanging="712"/>
        <w:spacing w:after="0"/>
        <w:tabs>
          <w:tab w:leader="none" w:pos="2340"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For purposes of this Agreement, the following terms shall have the meanings specified</w:t>
      </w:r>
    </w:p>
    <w:p>
      <w:pPr>
        <w:spacing w:after="0" w:line="42" w:lineRule="exact"/>
        <w:rPr>
          <w:rFonts w:ascii="Arial" w:cs="Arial" w:eastAsia="Arial" w:hAnsi="Arial"/>
          <w:sz w:val="19"/>
          <w:szCs w:val="19"/>
          <w:color w:val="010000"/>
        </w:rPr>
      </w:pPr>
    </w:p>
    <w:p>
      <w:pPr>
        <w:ind w:left="340"/>
        <w:spacing w:after="0"/>
        <w:rPr>
          <w:rFonts w:ascii="Arial" w:cs="Arial" w:eastAsia="Arial" w:hAnsi="Arial"/>
          <w:sz w:val="19"/>
          <w:szCs w:val="19"/>
          <w:color w:val="010000"/>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Rules</w:t>
      </w:r>
      <w:r>
        <w:rPr>
          <w:rFonts w:ascii="Arial" w:cs="Arial" w:eastAsia="Arial" w:hAnsi="Arial"/>
          <w:sz w:val="19"/>
          <w:szCs w:val="19"/>
          <w:color w:val="auto"/>
        </w:rPr>
        <w:t xml:space="preserve">” means the methodologies, principles, and assumptions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4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Accrued Income Taxes</w:t>
      </w:r>
      <w:r>
        <w:rPr>
          <w:rFonts w:ascii="Arial" w:cs="Arial" w:eastAsia="Arial" w:hAnsi="Arial"/>
          <w:sz w:val="19"/>
          <w:szCs w:val="19"/>
          <w:color w:val="auto"/>
        </w:rPr>
        <w:t>” means an amount, which shall not be less than Zero Dollars ($0), equal to the aggregate amount of the net unpaid Income Taxes of the Company to the extent first due after the Closing Date, determined as if the taxable period of the Company ended as of the end of the day on the Closing Date, attributable to any taxable period (or portion thereof) ending on or prior to the Closing Date (whether or not yet due and payable as of the Closing Date), ignoring, for this purpose, (i) any Income Tax payments made after the Closing, (ii) any deferred Income Tax Liabilities or deferred Income Tax assets that are not available to offset the Liability for such Taxes for such taxable periods and (iii) any Income Taxes to the extent attributable to any transactions entered into by the Company on the Closing Date, after the Closing, and outside the ordinary course of business, but taking into account, for this purpose, (A) any amounts accrued for Income Taxes and any Income Tax assets (including, without limitation, net operating loss carryforwards, refunds, and overpayments of Taxes) that are available to offset the Liability for such Taxes for such taxable periods, and (B) Income Tax payments made prior to the Closing.</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Escrow Amount</w:t>
      </w:r>
      <w:r>
        <w:rPr>
          <w:rFonts w:ascii="Arial" w:cs="Arial" w:eastAsia="Arial" w:hAnsi="Arial"/>
          <w:sz w:val="19"/>
          <w:szCs w:val="19"/>
          <w:color w:val="auto"/>
        </w:rPr>
        <w:t>” means Six Million Five Hundred Thousand Dollars ($6,500,000).</w:t>
      </w:r>
    </w:p>
    <w:p>
      <w:pPr>
        <w:spacing w:after="0" w:line="24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Funds</w:t>
      </w:r>
      <w:r>
        <w:rPr>
          <w:rFonts w:ascii="Arial" w:cs="Arial" w:eastAsia="Arial" w:hAnsi="Arial"/>
          <w:sz w:val="22"/>
          <w:szCs w:val="22"/>
          <w:color w:val="auto"/>
        </w:rPr>
        <w:t>” means, at any time, the portion of the Adjustment Escrow Amount then remaining, plus any interest accrued thereon.</w:t>
      </w:r>
    </w:p>
    <w:p>
      <w:pPr>
        <w:spacing w:after="0" w:line="17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any Person, any other Person that, directly or indirectly through one or more intermediaries, controls,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trust, “</w:t>
      </w:r>
      <w:r>
        <w:rPr>
          <w:rFonts w:ascii="Arial" w:cs="Arial" w:eastAsia="Arial" w:hAnsi="Arial"/>
          <w:sz w:val="22"/>
          <w:szCs w:val="22"/>
          <w:u w:val="single" w:color="auto"/>
          <w:color w:val="auto"/>
        </w:rPr>
        <w:t>Affiliate</w:t>
      </w:r>
      <w:r>
        <w:rPr>
          <w:rFonts w:ascii="Arial" w:cs="Arial" w:eastAsia="Arial" w:hAnsi="Arial"/>
          <w:sz w:val="22"/>
          <w:szCs w:val="22"/>
          <w:color w:val="auto"/>
        </w:rPr>
        <w:t>” means the beneficiaries, trustees, and grantors of such trust and each of their respective Affiliates.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2"/>
          <w:szCs w:val="22"/>
          <w:color w:val="auto"/>
        </w:rPr>
        <w:t>avoidance of doubt, the Company shall be deemed, for purposes of this Agreement, an Affiliate of Purchaser from and after the Closing.</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Related Party Pay-off Amount</w:t>
      </w:r>
      <w:r>
        <w:rPr>
          <w:rFonts w:ascii="Arial" w:cs="Arial" w:eastAsia="Arial" w:hAnsi="Arial"/>
          <w:sz w:val="22"/>
          <w:szCs w:val="22"/>
          <w:color w:val="auto"/>
        </w:rPr>
        <w:t>” means the aggregate amount set forth in the Related Party Loan Pay-off Letters.</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Anti-Corruption Laws</w:t>
      </w:r>
      <w:r>
        <w:rPr>
          <w:rFonts w:ascii="Arial" w:cs="Arial" w:eastAsia="Arial" w:hAnsi="Arial"/>
          <w:sz w:val="22"/>
          <w:szCs w:val="22"/>
          <w:color w:val="auto"/>
        </w:rPr>
        <w:t>” means collectively, (i) the United States Foreign Corrupt Practices Act, (ii) the UK Bribery Act of 2010, (iii) Laws enacted pursuant to the Organization of Economic Cooperation and Development Convention on Combating Bribery of Foreign Public Officials in International Business Transactions, and (iv) any other applicable Laws or regulations of relevant jurisdictions prohibiting bribery and corruption where the Company does business.</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each pension, retirement, profit-sharing, deferred compensation, stock option, employee stock ownership, health and welfare, severance pay, vacation, bonus, employment agreement, offer letter, or other incentive plans, and all other employee benefit plans or fringe benefit plans, including “employee benefit plans” (as that term is defined in Section 3(3) of ERISA), in each case (a) maintained or sponsored by the Company or (b) with respect to which the Company has or could reasonably be expected to have any Liability.</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Bid</w:t>
      </w:r>
      <w:r>
        <w:rPr>
          <w:rFonts w:ascii="Arial" w:cs="Arial" w:eastAsia="Arial" w:hAnsi="Arial"/>
          <w:sz w:val="22"/>
          <w:szCs w:val="22"/>
          <w:color w:val="auto"/>
        </w:rPr>
        <w:t>” means any firm quotation, bid or proposal made by a Person that if accepted or awarded would lead to a Contract legally binding upon such Person.</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of the year on which national banking institutions in New York are open to the public for conducting business and are not required or authorized to 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w:t>
      </w:r>
      <w:r>
        <w:rPr>
          <w:rFonts w:ascii="Arial" w:cs="Arial" w:eastAsia="Arial" w:hAnsi="Arial"/>
          <w:sz w:val="22"/>
          <w:szCs w:val="22"/>
          <w:color w:val="auto"/>
        </w:rPr>
        <w:t>” means the U.S. Coronavirus Aid, Relief, and Economic Security Act.</w:t>
      </w:r>
    </w:p>
    <w:p>
      <w:pPr>
        <w:spacing w:after="0" w:line="20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and Cash Equivalents</w:t>
      </w:r>
      <w:r>
        <w:rPr>
          <w:rFonts w:ascii="Arial" w:cs="Arial" w:eastAsia="Arial" w:hAnsi="Arial"/>
          <w:sz w:val="21"/>
          <w:szCs w:val="21"/>
          <w:color w:val="auto"/>
        </w:rPr>
        <w:t>” means the sum of the fair market value (expressed in United States dollars) of all cash and cash equivalents of the Company. Cash and Cash Equivalents shall (x) be reduced by issued but uncleared checks and drafts of the Company and (y) be increased by checks and drafts deposited for the account of the Company, in each case as of the Measurement Time.</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Cash</w:t>
      </w:r>
      <w:r>
        <w:rPr>
          <w:rFonts w:ascii="Arial" w:cs="Arial" w:eastAsia="Arial" w:hAnsi="Arial"/>
          <w:sz w:val="22"/>
          <w:szCs w:val="22"/>
          <w:color w:val="auto"/>
        </w:rPr>
        <w:t>” means the aggregate amount of (i) all Cash and Cash Equivalents of the Company as of the Measurement Time, plus (ii) the Aggregate Related Party Pay-off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Indebtedness</w:t>
      </w:r>
      <w:r>
        <w:rPr>
          <w:rFonts w:ascii="Arial" w:cs="Arial" w:eastAsia="Arial" w:hAnsi="Arial"/>
          <w:sz w:val="19"/>
          <w:szCs w:val="19"/>
          <w:color w:val="auto"/>
        </w:rPr>
        <w:t>” means all Indebtedness of the Company as of the Measurement Time.</w:t>
      </w:r>
    </w:p>
    <w:p>
      <w:pPr>
        <w:spacing w:after="0" w:line="24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Working Capital</w:t>
      </w:r>
      <w:r>
        <w:rPr>
          <w:rFonts w:ascii="Arial" w:cs="Arial" w:eastAsia="Arial" w:hAnsi="Arial"/>
          <w:sz w:val="22"/>
          <w:szCs w:val="22"/>
          <w:color w:val="auto"/>
        </w:rPr>
        <w:t xml:space="preserve">” means, with respect to the Company, an amount equal to (i) the sum of all current assets of the Company (excluding Cash and Cash Equivalents), as of the Measurement Time, specifically identified as line items (and only those line items)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reduced by (ii) the sum of all current liabilities of the Company, as of the Measurement Time, specifically identified as line items (and only those line items) set forth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0" w:name="page141"/>
    <w:bookmarkEnd w:id="140"/>
    <w:p>
      <w:pPr>
        <w:jc w:val="both"/>
        <w:spacing w:after="0" w:line="287" w:lineRule="auto"/>
        <w:rPr>
          <w:sz w:val="20"/>
          <w:szCs w:val="20"/>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in each case, without duplication, and as determined in accordance with the Accounting Rules. For the avoidance of doubt “Closing Date Working Capital” shall not include (A) any amount taken into account in the calculation of the Closing Date Indebtedness, Unpaid Company Transaction Expenses, (B) any income Tax assets, Income Tax Liabilities, deferred Tax assets, or deferred Tax Liabilities, or (C) any Contingent Consideration.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0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means any event, change, occurrence, circumstance or effect that has, or would reasonably be expected to have, individually or in the aggregate, a material adverse effect on the Business, financial condition or results of operations of the Company,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change, occurrence, circumstance or effect to the extent resulting from, or arising out of, any of the following (or combination of the following) shall constitute a “Company Material Adverse Effect”: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or changes in currency exchange rates or interest rates or currency fluctuations; (iii) changes in political or social conditions in the United States or any other country or region in the world, acts of war, sabotage or terrorism (including any escalation or general worsening of any such acts of war, sabotage or terrorism), earthquakes, hurricanes, tsunamis, tornadoes, floods, mudslides, wildfires or other natural disasters, weather conditions, epidemics, pandemics and disease outbreaks (including COVID-19) or other health crisis or public health event, or the worsening of any of the foregoing, and other force majeure events, in each case in the United States or any other country or region in the world; (iv) changes affecting the industry generally in which the Company operates; (v) the execution or announcement of this Agreement, the pendency of any investigation or challenge to the Transaction, or the consummation of the Transaction (including but not limited to, the adverse impact thereof on relationships with or the loss of any employees, suppliers, customers, advertisers, financing sources, licensors, licensees, assets, or property interests);</w:t>
      </w:r>
    </w:p>
    <w:p>
      <w:pPr>
        <w:jc w:val="both"/>
        <w:ind w:firstLine="8"/>
        <w:spacing w:after="0" w:line="270" w:lineRule="auto"/>
        <w:tabs>
          <w:tab w:leader="none" w:pos="39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compliance with the terms of, or the taking of any action required by this Agreement or consented to by Purchaser, or the failure to take any action prohibited by this Agreement; (vii) changes in Law, regulations, Orders, or other binding directives issued by any Governmental Authority or other legal or regulatory conditions (or the interpretation thereof); (viii) changes in GAAP or other accounting standards (or the interpretation thereof); (ix) any failure, in and of itself, by the Company to meet internal or external projections or forecasts or revenue or earnings predictions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cause or basis for the Company failing to meet such projections or forecasts or revenue or earnings predictions may be considered in determining the existence of a Company Material Adverse Effect unless such cause or basis is otherwise excluded by this definition); or (x) any matters expressly set forth in the Company Disclosure Schedule or the Seller Disclosure Schedule, except in the case of clauses (i)-(iv), (vii), and (viii) above, to the extent any such change, circumstance, event, occurrence, state of facts, or development has had a disproportionate adverse effect on the Business compared to other companies that conduct business in the same industries as the Company.</w:t>
      </w:r>
    </w:p>
    <w:p>
      <w:pPr>
        <w:spacing w:after="0" w:line="164"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Business</w:t>
      </w:r>
      <w:r>
        <w:rPr>
          <w:rFonts w:ascii="Arial" w:cs="Arial" w:eastAsia="Arial" w:hAnsi="Arial"/>
          <w:sz w:val="22"/>
          <w:szCs w:val="22"/>
          <w:color w:val="auto"/>
        </w:rPr>
        <w:t>” means any business that is competitive with the Business, as conducted by the Company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1" w:name="page142"/>
    <w:bookmarkEnd w:id="141"/>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Computer Systems</w:t>
      </w:r>
      <w:r>
        <w:rPr>
          <w:rFonts w:ascii="Arial" w:cs="Arial" w:eastAsia="Arial" w:hAnsi="Arial"/>
          <w:sz w:val="22"/>
          <w:szCs w:val="22"/>
          <w:color w:val="auto"/>
        </w:rPr>
        <w:t>” means all of the software, hardware, databases, computer equipment, computer systems, computer networks, and other similar technology (excluding, for clarity, technology that comprises the internet) that are used by the Company or an Affiliate of the Company in the operation of the business of the Company or such Affiliate.</w:t>
      </w:r>
    </w:p>
    <w:p>
      <w:pPr>
        <w:spacing w:after="0" w:line="18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 any matters concerning the Company, including the Business, products, markets, condition (financial or other), operations, processes, Intellectual Property rights, customers, vendors, pricing, results of operations, cash flows, and prospects and affairs of the Company and (ii) this Agreement, each other Transaction Agreement, and any information, including the terms, conditions, or any other facts, relating to this Agreement and any other Transaction Agreement or the Transaction, or any confidential discussions or negotiations related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“Confidential Information” shall not include information</w:t>
      </w:r>
    </w:p>
    <w:p>
      <w:pPr>
        <w:spacing w:after="0" w:line="1" w:lineRule="exact"/>
        <w:rPr>
          <w:sz w:val="20"/>
          <w:szCs w:val="20"/>
          <w:color w:val="auto"/>
        </w:rPr>
      </w:pPr>
    </w:p>
    <w:p>
      <w:pPr>
        <w:jc w:val="both"/>
        <w:ind w:firstLine="8"/>
        <w:spacing w:after="0" w:line="277" w:lineRule="auto"/>
        <w:tabs>
          <w:tab w:leader="none" w:pos="37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that is or becomes available to the public, other than as a result of disclosure by any Seller or such Seller’s Affiliates in violation of such Person’s obligations under this Agreement or (B) that becomes available to any Seller on a non-confidential basis from a source other than the Company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source is not known (after reasonable inquiry) by such Seller or its Affiliates to be bound by a legal, fiduciary, or contractual obligation of confidentiality or secrecy with respect to such information.</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Consideration</w:t>
      </w:r>
      <w:r>
        <w:rPr>
          <w:rFonts w:ascii="Arial" w:cs="Arial" w:eastAsia="Arial" w:hAnsi="Arial"/>
          <w:sz w:val="22"/>
          <w:szCs w:val="22"/>
          <w:color w:val="auto"/>
        </w:rPr>
        <w:t>” has the meaning set forth in the Transaction Bonus Agreements (as such agreements are defined in the Company Disclosure Schedule).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oral or written agreement, contract, indenture, note, mortgage, bond, lease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license.</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w:t>
      </w:r>
      <w:r>
        <w:rPr>
          <w:rFonts w:ascii="Arial" w:cs="Arial" w:eastAsia="Arial" w:hAnsi="Arial"/>
          <w:sz w:val="21"/>
          <w:szCs w:val="21"/>
          <w:color w:val="auto"/>
        </w:rPr>
        <w:t>” means the diseases caused by SARS-CoV-2 virus or COVID-19, and any evolutions or mutations thereof or related and/or associated epidemics, pandemic or disease outbreaks.</w:t>
      </w:r>
    </w:p>
    <w:p>
      <w:pPr>
        <w:spacing w:after="0" w:line="15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Room</w:t>
      </w:r>
      <w:r>
        <w:rPr>
          <w:rFonts w:ascii="Arial" w:cs="Arial" w:eastAsia="Arial" w:hAnsi="Arial"/>
          <w:sz w:val="22"/>
          <w:szCs w:val="22"/>
          <w:color w:val="auto"/>
        </w:rPr>
        <w:t>” means the electronic documentation site in respect of the Company and the Transaction, established by Intralinks on behalf of the Company.</w:t>
      </w:r>
    </w:p>
    <w:p>
      <w:pPr>
        <w:spacing w:after="0" w:line="175"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Representative</w:t>
      </w:r>
      <w:r>
        <w:rPr>
          <w:rFonts w:ascii="Arial" w:cs="Arial" w:eastAsia="Arial" w:hAnsi="Arial"/>
          <w:sz w:val="19"/>
          <w:szCs w:val="19"/>
          <w:color w:val="auto"/>
        </w:rPr>
        <w:t xml:space="preserve">” means any representative of Purchaser listed in </w:t>
      </w:r>
      <w:r>
        <w:rPr>
          <w:rFonts w:ascii="Arial" w:cs="Arial" w:eastAsia="Arial" w:hAnsi="Arial"/>
          <w:sz w:val="19"/>
          <w:szCs w:val="19"/>
          <w:u w:val="single" w:color="auto"/>
          <w:color w:val="auto"/>
        </w:rPr>
        <w:t>Schedule 12.1(a)(i)</w:t>
      </w:r>
      <w:r>
        <w:rPr>
          <w:rFonts w:ascii="Arial" w:cs="Arial" w:eastAsia="Arial" w:hAnsi="Arial"/>
          <w:sz w:val="19"/>
          <w:szCs w:val="19"/>
          <w:color w:val="auto"/>
        </w:rPr>
        <w:t xml:space="preserve"> or any substitute therefor designated by Purchaser and reasonably acceptable to the Sellers’ Representative.</w:t>
      </w:r>
    </w:p>
    <w:p>
      <w:pPr>
        <w:spacing w:after="0" w:line="10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as enacted and in effect on or prior to the Closing Date any applicable Laws concerning pollution or protection of the environment or natural resources; public or worker health or safety (as related to exposure to Hazardous Materials); or the manufacture, handling, use, Release, threatened Release, treatment, storage, transportation, remediation, or disposal of Hazardous Materials.</w:t>
      </w:r>
    </w:p>
    <w:p>
      <w:pPr>
        <w:spacing w:after="0" w:line="14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Equitable Principles</w:t>
      </w:r>
      <w:r>
        <w:rPr>
          <w:rFonts w:ascii="Arial" w:cs="Arial" w:eastAsia="Arial" w:hAnsi="Arial"/>
          <w:sz w:val="22"/>
          <w:szCs w:val="22"/>
          <w:color w:val="auto"/>
        </w:rPr>
        <w:t>” means (i) bankruptcy, insolvency, reorganization, moratorium and similar Laws affecting creditors’ rights and remedies generally, and (ii) general principles of equity (regardless of whether enforcement is sought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2" w:name="page143"/>
    <w:bookmarkEnd w:id="142"/>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w:t>
      </w:r>
      <w:r>
        <w:rPr>
          <w:rFonts w:ascii="Arial" w:cs="Arial" w:eastAsia="Arial" w:hAnsi="Arial"/>
          <w:sz w:val="19"/>
          <w:szCs w:val="19"/>
          <w:color w:val="auto"/>
        </w:rPr>
        <w:t>” means any share, capital stock, partnership, limited liability company, member or similar interest in any Person, and any option, warrant, right or security convertible, exchangeable or exercisable therefor or other instrument, obligation or right, the value of which is based on any of the foregoing, in each case issued, granted, entered into, agreed to or authorized by such Person.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Citibank, N.A.</w:t>
      </w:r>
    </w:p>
    <w:p>
      <w:pPr>
        <w:spacing w:after="0" w:line="20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Agreement</w:t>
      </w:r>
      <w:r>
        <w:rPr>
          <w:rFonts w:ascii="Arial" w:cs="Arial" w:eastAsia="Arial" w:hAnsi="Arial"/>
          <w:sz w:val="19"/>
          <w:szCs w:val="19"/>
          <w:color w:val="auto"/>
        </w:rPr>
        <w:t xml:space="preserve">” means that certain Escrow Agreement,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by and among the Sellers’ Representative (on behalf of Sellers), Purchaser and the Escrow Agent, providing for the holding and disbursement of certain funds held in escrow in accordance with the terms hereof and thereof.</w:t>
      </w:r>
    </w:p>
    <w:p>
      <w:pPr>
        <w:spacing w:after="0" w:line="1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Working Capital Decrease</w:t>
      </w:r>
      <w:r>
        <w:rPr>
          <w:rFonts w:ascii="Arial" w:cs="Arial" w:eastAsia="Arial" w:hAnsi="Arial"/>
          <w:sz w:val="22"/>
          <w:szCs w:val="22"/>
          <w:color w:val="auto"/>
        </w:rPr>
        <w:t xml:space="preserve">” means, in the event that the Estimated Working Capital is less than the Working Capital Floor, an amount equal to (i) the Working Capital Target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Estimated Working Capital.</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Working Capital Increase</w:t>
      </w:r>
      <w:r>
        <w:rPr>
          <w:rFonts w:ascii="Arial" w:cs="Arial" w:eastAsia="Arial" w:hAnsi="Arial"/>
          <w:sz w:val="22"/>
          <w:szCs w:val="22"/>
          <w:color w:val="auto"/>
        </w:rPr>
        <w:t xml:space="preserve">” means, in the event that the Estimated Working Capital is greater than the Working Capital Ceiling, an amount equal to (i) the Estimated Working Capital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Working Capital Target.</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means (i), as applied to any individual, a spouse, parent, sibling or descendant of such individual or of such individual’s siblings, whether related by blood or adoption and (ii), as applied to a trust, the beneficiaries of such trust and any individual related to such beneficiary as described in clause (i) of this definition.</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Fraud</w:t>
      </w:r>
      <w:r>
        <w:rPr>
          <w:rFonts w:ascii="Arial" w:cs="Arial" w:eastAsia="Arial" w:hAnsi="Arial"/>
          <w:sz w:val="19"/>
          <w:szCs w:val="19"/>
          <w:color w:val="auto"/>
        </w:rPr>
        <w:t xml:space="preserve">” means, (i) with respect to the Company, the Company’s common law fraud under Delaware Law with respect to the making of any of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limited by </w:t>
      </w:r>
      <w:r>
        <w:rPr>
          <w:rFonts w:ascii="Arial" w:cs="Arial" w:eastAsia="Arial" w:hAnsi="Arial"/>
          <w:sz w:val="19"/>
          <w:szCs w:val="19"/>
          <w:u w:val="single" w:color="auto"/>
          <w:color w:val="auto"/>
        </w:rPr>
        <w:t>Section 3.26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(ii) with respect to any Seller, such Seller’s common law fraud under Delaware Law with respect to the making of any of the representations and warranties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limited by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(iii) with respect to Purchaser, Purchaser’s common law fraud under Delaware Law with respect to the making of any of the representations or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w:t>
      </w:r>
      <w:r>
        <w:rPr>
          <w:rFonts w:ascii="Arial" w:cs="Arial" w:eastAsia="Arial" w:hAnsi="Arial"/>
          <w:sz w:val="19"/>
          <w:szCs w:val="19"/>
          <w:u w:val="single" w:color="auto"/>
          <w:color w:val="auto"/>
        </w:rPr>
        <w:t>Fraud</w:t>
      </w:r>
      <w:r>
        <w:rPr>
          <w:rFonts w:ascii="Arial" w:cs="Arial" w:eastAsia="Arial" w:hAnsi="Arial"/>
          <w:sz w:val="19"/>
          <w:szCs w:val="19"/>
          <w:color w:val="auto"/>
        </w:rPr>
        <w:t>”, in each case, shall not include any fraud claim based on constructive fraud, equitable fraud, negligent misrepresentation or omission or any similar theory.</w:t>
      </w:r>
    </w:p>
    <w:p>
      <w:pPr>
        <w:spacing w:after="0" w:line="15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in effect from time to time.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Bid</w:t>
      </w:r>
      <w:r>
        <w:rPr>
          <w:rFonts w:ascii="Arial" w:cs="Arial" w:eastAsia="Arial" w:hAnsi="Arial"/>
          <w:sz w:val="22"/>
          <w:szCs w:val="22"/>
          <w:color w:val="auto"/>
        </w:rPr>
        <w:t>” means a Bid issued by a contractor that, if accepted or awarded, would result in a Government Contract.</w:t>
      </w:r>
    </w:p>
    <w:p>
      <w:pPr>
        <w:spacing w:after="0" w:line="17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Contract</w:t>
      </w:r>
      <w:r>
        <w:rPr>
          <w:rFonts w:ascii="Arial" w:cs="Arial" w:eastAsia="Arial" w:hAnsi="Arial"/>
          <w:sz w:val="19"/>
          <w:szCs w:val="19"/>
          <w:color w:val="auto"/>
        </w:rPr>
        <w:t>” means any Contract, as amended by binding modifications or change orders, between the Company and (i) the U.S. Government, (ii) any prime contractor of the U.S. Government or</w:t>
      </w:r>
    </w:p>
    <w:p>
      <w:pPr>
        <w:spacing w:after="0" w:line="1" w:lineRule="exact"/>
        <w:rPr>
          <w:sz w:val="20"/>
          <w:szCs w:val="20"/>
          <w:color w:val="auto"/>
        </w:rPr>
      </w:pPr>
    </w:p>
    <w:p>
      <w:pPr>
        <w:ind w:left="380" w:hanging="372"/>
        <w:spacing w:after="0"/>
        <w:tabs>
          <w:tab w:leader="none" w:pos="3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any subcontractor with respect to any Contract of a type described 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4860"/>
        <w:spacing w:after="0"/>
        <w:rPr>
          <w:rFonts w:ascii="Arial" w:cs="Arial" w:eastAsia="Arial" w:hAnsi="Arial"/>
          <w:sz w:val="22"/>
          <w:szCs w:val="22"/>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3" w:name="page144"/>
    <w:bookmarkEnd w:id="143"/>
    <w:p>
      <w:pPr>
        <w:jc w:val="both"/>
        <w:ind w:right="20"/>
        <w:spacing w:after="0"/>
        <w:rPr>
          <w:sz w:val="20"/>
          <w:szCs w:val="20"/>
          <w:color w:val="auto"/>
        </w:rPr>
      </w:pPr>
      <w:r>
        <w:rPr>
          <w:rFonts w:ascii="Arial" w:cs="Arial" w:eastAsia="Arial" w:hAnsi="Arial"/>
          <w:sz w:val="22"/>
          <w:szCs w:val="22"/>
          <w:color w:val="auto"/>
        </w:rPr>
        <w:t>clauses (i) or (ii) above. A task, purchase or delivery order under a Government Contract will not constitute a separate Government Contract, for purposes of this definition, but will be part of the Government Contract to which it relates.</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Official</w:t>
      </w:r>
      <w:r>
        <w:rPr>
          <w:rFonts w:ascii="Arial" w:cs="Arial" w:eastAsia="Arial" w:hAnsi="Arial"/>
          <w:sz w:val="19"/>
          <w:szCs w:val="19"/>
          <w:color w:val="auto"/>
        </w:rPr>
        <w:t>” means (i) any official, member, employee or agent of a Governmental Authority; (ii) any political party or official thereof, or any candidate for political office; (iii) an employee of any instrumentality of a Governmental Authority, including state-owned or state-controlled commercial enterprises; or (iv) an employee of any public international organization (e.g., the United Nations and the World Bank).</w:t>
      </w:r>
    </w:p>
    <w:p>
      <w:pPr>
        <w:spacing w:after="0" w:line="14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government or governmental, judicial, administrative or regulatory body thereof, or political subdivision thereof, whether domestic, foreign, federal, state, provincial or local, or any agency, instrumentality or authority thereof, or any court or arbitrator (public or private).</w:t>
      </w:r>
    </w:p>
    <w:p>
      <w:pPr>
        <w:spacing w:after="0" w:line="169"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any substances or materials that are listed, regulated or defined under any Laws concerning pollution, contamination, protection of the environment, natural resources, or human health and safety.</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Hogan Lovells</w:t>
      </w:r>
      <w:r>
        <w:rPr>
          <w:rFonts w:ascii="Arial" w:cs="Arial" w:eastAsia="Arial" w:hAnsi="Arial"/>
          <w:sz w:val="22"/>
          <w:szCs w:val="22"/>
          <w:color w:val="auto"/>
        </w:rPr>
        <w:t>” means the international legal practice that comprises Hogan Lovells International LLP, Hogan Lovells US LLP and their affiliated businesses.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w:t>
      </w:r>
      <w:r>
        <w:rPr>
          <w:rFonts w:ascii="Arial" w:cs="Arial" w:eastAsia="Arial" w:hAnsi="Arial"/>
          <w:sz w:val="22"/>
          <w:szCs w:val="22"/>
          <w:color w:val="auto"/>
        </w:rPr>
        <w:t>” means any Tax that is imposed on, or measured by, net income or gross income, however determined.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 Return</w:t>
      </w:r>
      <w:r>
        <w:rPr>
          <w:rFonts w:ascii="Arial" w:cs="Arial" w:eastAsia="Arial" w:hAnsi="Arial"/>
          <w:sz w:val="22"/>
          <w:szCs w:val="22"/>
          <w:color w:val="auto"/>
        </w:rPr>
        <w:t>” means any Tax Return reporting or relating to Income Taxes.</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the Company means, without duplication, (i) the outstanding principal amount of and accrued and unpaid interest of (A) indebtedness of the Company for borrowed money and (B) indebtedness evidenced by notes, debentures, bonds or other similar instruments for the payment of which the Company is responsible or liable; (ii) all obligations of the Company issued or assumed as the deferred purchase price of property, all conditional sale obligations of the Company and all obligations of the Company under any title retention agreement (but excluding accounts payable and other current liabilities, to the extent taken into account in the calculation of the Closing Date Working Capital); (iii) any letters of credit and banker’s acceptances, to the extent drawn; (iv) any Liability of the Company with respect to interest rate swaps, collars, caps, and similar hedging obligations; (v) all obligations of the Company under capitalized leases in accordance with GAAP; (vi) all Accrued Income Taxes; (vii) all obligations of the type referred to in clauses (i)-(vi) of other Persons for which the Company is responsible or liable, directly or indirectly, as obligor, guarantor or surety; and (viii) all obligations of the type referred to in clauses (i)-(vii) of other Persons secured by any Lien on any property or asset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Indebtedness shall not include (x) any amounts taken into account in the calculation of the Closing Date Working Capital, Unpaid Company Transaction Expenses, Contingent Consideration or (y) any obligations under operating leases, including leases classified as operating leases in the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4" w:name="page145"/>
    <w:bookmarkEnd w:id="144"/>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Escrow Amount</w:t>
      </w:r>
      <w:r>
        <w:rPr>
          <w:rFonts w:ascii="Arial" w:cs="Arial" w:eastAsia="Arial" w:hAnsi="Arial"/>
          <w:sz w:val="22"/>
          <w:szCs w:val="22"/>
          <w:color w:val="auto"/>
        </w:rPr>
        <w:t>” means One Million Eight Hundred Twenty-Two Thousand Five Hundred Dollars ($1,822,500).</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Escrow Funds</w:t>
      </w:r>
      <w:r>
        <w:rPr>
          <w:rFonts w:ascii="Arial" w:cs="Arial" w:eastAsia="Arial" w:hAnsi="Arial"/>
          <w:sz w:val="22"/>
          <w:szCs w:val="22"/>
          <w:color w:val="auto"/>
        </w:rPr>
        <w:t>” means, at any time, the portion of the Indemnification Escrow Amount then remaining, plus any interest accrued thereon.</w:t>
      </w:r>
    </w:p>
    <w:p>
      <w:pPr>
        <w:spacing w:after="0" w:line="17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xml:space="preserve">” means, without duplication, any and all Taxes (i) imposed on the Company for a Pre-Closing Tax Period including, for the avoidance of doubt, the portion of any Straddle Period ending on the Closing Date as determined pursuant to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(ii) of any member of an affiliated, consolidated, combined or unitary group of which the Company (or any predecessor thereof) is or was a member on or prior to the Closing Date, including pursuant to Treasury Regulations Section 1.1502-6 or any analogous or similar state, local or non-U.S. Law; (iii) of any Person imposed on the Company as a transferee or successor, by Contract indemnification agreement or otherwise, or pursuant to any Law, which Taxes relate to an event, agreement or transaction occurring on or before the Closing Date; or (iv) of the Sellers; </w:t>
      </w:r>
      <w:r>
        <w:rPr>
          <w:rFonts w:ascii="Arial" w:cs="Arial" w:eastAsia="Arial" w:hAnsi="Arial"/>
          <w:sz w:val="19"/>
          <w:szCs w:val="19"/>
          <w:i w:val="1"/>
          <w:iCs w:val="1"/>
          <w:color w:val="auto"/>
        </w:rPr>
        <w:t>provided</w:t>
      </w:r>
      <w:r>
        <w:rPr>
          <w:rFonts w:ascii="Arial" w:cs="Arial" w:eastAsia="Arial" w:hAnsi="Arial"/>
          <w:sz w:val="19"/>
          <w:szCs w:val="19"/>
          <w:color w:val="auto"/>
        </w:rPr>
        <w:t>, that Indemnified Taxes shall not include any Taxes to the extent such Taxes were included in the computation of Closing Date Indebtedness or Closing Date Working Capital, as finally determined.</w:t>
      </w:r>
    </w:p>
    <w:p>
      <w:pPr>
        <w:spacing w:after="0" w:line="16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and all of the following, as they exist anywhere in the world, whether registered or unregistered: (i) copyrights in works of authorship, including software, and all copyright registration applications, registrations, and renewals in connection therewith; (ii) patents, patent applications, inventions, utility models, and patent disclosures, together with all reissuances, continuations, continuations-in-part, divisions, divisionals, provisionals, revisions, extensions, renewals, and reexaminations thereof; (iii) trade names, brand names, trademarks, service marks, logos, and trade dress, including all goodwill associated therewith, and all applications, registrations, extensions, and renewals in connection therewith; (iv) trade secrets, methods, processes and know-how; (v) domain names; (vi) social media identifiers and account names; and (vii) any other intellectual property or proprietary rights.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means, (i) for purposes of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the actual knowledge of the Persons set forth in </w:t>
      </w:r>
      <w:r>
        <w:rPr>
          <w:rFonts w:ascii="Arial" w:cs="Arial" w:eastAsia="Arial" w:hAnsi="Arial"/>
          <w:sz w:val="22"/>
          <w:szCs w:val="22"/>
          <w:u w:val="single" w:color="auto"/>
          <w:color w:val="auto"/>
        </w:rPr>
        <w:t>Schedule 12.1(a)(ii)</w:t>
      </w:r>
      <w:r>
        <w:rPr>
          <w:rFonts w:ascii="Arial" w:cs="Arial" w:eastAsia="Arial" w:hAnsi="Arial"/>
          <w:sz w:val="22"/>
          <w:szCs w:val="22"/>
          <w:color w:val="auto"/>
        </w:rPr>
        <w:t xml:space="preserve"> after due inquiry of their respective direct reports and (ii) for purposes of </w:t>
      </w:r>
      <w:r>
        <w:rPr>
          <w:rFonts w:ascii="Arial" w:cs="Arial" w:eastAsia="Arial" w:hAnsi="Arial"/>
          <w:sz w:val="22"/>
          <w:szCs w:val="22"/>
          <w:u w:val="single" w:color="auto"/>
          <w:color w:val="auto"/>
        </w:rPr>
        <w:t>Article IV</w:t>
      </w:r>
      <w:r>
        <w:rPr>
          <w:rFonts w:ascii="Arial" w:cs="Arial" w:eastAsia="Arial" w:hAnsi="Arial"/>
          <w:sz w:val="22"/>
          <w:szCs w:val="22"/>
          <w:color w:val="auto"/>
        </w:rPr>
        <w:t>, with respect to a Seller, (A) if such Seller is a natural person, the actual knowledge of such natural person and (B) if such Seller is a trust, the actual knowledge of the grantor of such trust.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all foreign, federal, state, provincial and local laws, statutes, codes, ordinances, rules, regulations, resolutions and Orders.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means any judicial, administrative or arbitral actions, suits or proceedings (public or private) by or before a Governmental Authority or arbiter.</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debt, Loss, damage, adverse claim, fine, penalty, liability, or obligation (whether direct or indirect, known or unknown, asserted or unasserted, absolute or contingent, accrued or unaccrued, matured or unmatured, determined or determinable, disputed or undisputed, liquidated or unliquidated or due or to become due, and whether in Contract, tort, 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5" w:name="page146"/>
    <w:bookmarkEnd w:id="145"/>
    <w:p>
      <w:pPr>
        <w:jc w:val="both"/>
        <w:spacing w:after="0" w:line="328" w:lineRule="auto"/>
        <w:rPr>
          <w:sz w:val="20"/>
          <w:szCs w:val="20"/>
          <w:color w:val="auto"/>
        </w:rPr>
      </w:pPr>
      <w:r>
        <w:rPr>
          <w:rFonts w:ascii="Arial" w:cs="Arial" w:eastAsia="Arial" w:hAnsi="Arial"/>
          <w:sz w:val="19"/>
          <w:szCs w:val="19"/>
          <w:color w:val="auto"/>
        </w:rPr>
        <w:t>liability, or otherwise), and including all costs and expenses relating thereto including all fees, disbursements, and expenses of legal counsel, experts, engineers, and consultants and costs of investigation.</w:t>
      </w:r>
    </w:p>
    <w:p>
      <w:pPr>
        <w:spacing w:after="0" w:line="10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lien, pledge, mortgage, deed of trust, security interest, right of way, license, option, claim, hypothec, charge of any kind (including any conditional sale or other title retention agreement or lease in the nature thereof), any restriction on transfer, or any other encumbrance.</w:t>
      </w:r>
    </w:p>
    <w:p>
      <w:pPr>
        <w:spacing w:after="0" w:line="169"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Losses</w:t>
      </w:r>
      <w:r>
        <w:rPr>
          <w:rFonts w:ascii="Arial" w:cs="Arial" w:eastAsia="Arial" w:hAnsi="Arial"/>
          <w:sz w:val="21"/>
          <w:szCs w:val="21"/>
          <w:color w:val="auto"/>
        </w:rPr>
        <w:t>” means all damages, losses, claims, Liabilities, demands, charges, suits, penalties and expenses (including reasonable attorneys’ and other professionals’ fees and disbursements).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Time</w:t>
      </w:r>
      <w:r>
        <w:rPr>
          <w:rFonts w:ascii="Arial" w:cs="Arial" w:eastAsia="Arial" w:hAnsi="Arial"/>
          <w:sz w:val="19"/>
          <w:szCs w:val="19"/>
          <w:color w:val="auto"/>
        </w:rPr>
        <w:t>” means 11:59 pm Eastern Standard Time on the day immediately prior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injunction, judgment, decree, determination, ruling, writ, assessment or arbitration or other award of a Governmental Authority.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PEO Plan</w:t>
      </w:r>
      <w:r>
        <w:rPr>
          <w:rFonts w:ascii="Arial" w:cs="Arial" w:eastAsia="Arial" w:hAnsi="Arial"/>
          <w:sz w:val="22"/>
          <w:szCs w:val="22"/>
          <w:color w:val="auto"/>
        </w:rPr>
        <w:t>” means a Benefit Plan sponsored and maintained by a professional employer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18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any approvals, authorizations, consents, licenses, permits or certificates obtained from a Governmental Authority.</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(i) in the case of real property, any title or survey defects, encroachments, easements, rights of way, covenants, restrictions and similar Liens that do not secure payment of a sum of money and that do not materially detract from the value, or materially interfere with any present or intended use, of the affected parcel of real property; (ii) Liens for Taxes, assessments or other governmental charges not yet due, payable or delinquent (or which may be paid without interest or penalties) or the amount or validity of which is being contested in good faith by appropriate proceedings and for which appropriate reserves have been established in accordance with GAAP; (iii) mechanics’, carriers’, workers’, repairers’ and similar Liens arising or incurred in the ordinary course of business or the amount or validity of which is being contested in good faith by appropriate proceedings; (iv) statutory obligations (including, workers’ compensation, unemployment insurance or other social security legislation, but excluding Liens for Taxes); (v) title of the lessor under that certain Single Sided Lease Agreement, dated June 1, 2018, by and between Wells Fargo Bank N.A. and the Company; (vi) any transfer restrictions under applicable securities Laws or the governing documents of the Company; and (vii) non-exclusive licenses granted by the Company with respect to Intellectual Property owned or exclusively used by the Company, in the ordinary course of business.</w:t>
      </w:r>
    </w:p>
    <w:p>
      <w:pPr>
        <w:spacing w:after="0" w:line="16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limited liability company, firm, joint venture, association, joint-stock company, trust, unincorporated organization, Governmental Authority or other entity.</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information that identifies or can be used to identify an individual (alone or when combined with other information), or is otherwise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6" w:name="page147"/>
    <w:bookmarkEnd w:id="146"/>
    <w:p>
      <w:pPr>
        <w:jc w:val="both"/>
        <w:spacing w:after="0" w:line="275" w:lineRule="auto"/>
        <w:rPr>
          <w:sz w:val="20"/>
          <w:szCs w:val="20"/>
          <w:color w:val="auto"/>
        </w:rPr>
      </w:pPr>
      <w:r>
        <w:rPr>
          <w:rFonts w:ascii="Arial" w:cs="Arial" w:eastAsia="Arial" w:hAnsi="Arial"/>
          <w:sz w:val="19"/>
          <w:szCs w:val="19"/>
          <w:color w:val="auto"/>
        </w:rPr>
        <w:t>personally identifiable information, personal data, financial data, financial information, identifying data or identifying information under any Privacy and Security Law, including: (i) government identifiers, such as Social Security or other Tax identification numbers, driver’s license numbers, and other government-issued identification numbers; (ii) account, credit, or debit card numbers, with or without any required security code, access code, personal identification number or password, that would permit access to an individual’s account and account information; (iii) user names, email addresses, passwords or other credentials for accessing accounts; and (iv) biometric information, meaning an individual’s physiological, biological or behavioral characteristics, that can be used, singly or in combination with each other or other identifying data, to establish an individual’s identity.</w:t>
      </w:r>
    </w:p>
    <w:p>
      <w:pPr>
        <w:spacing w:after="0" w:line="15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Phantom Shares</w:t>
      </w:r>
      <w:r>
        <w:rPr>
          <w:rFonts w:ascii="Arial" w:cs="Arial" w:eastAsia="Arial" w:hAnsi="Arial"/>
          <w:sz w:val="22"/>
          <w:szCs w:val="22"/>
          <w:color w:val="auto"/>
        </w:rPr>
        <w:t>” means those awards of phantom stock of, and similar equity-based incentive rights with respect to, the Company granted by the Company pursuant to the Rights Agreements and set forth on the Capitalization Schedule.</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Laws</w:t>
      </w:r>
      <w:r>
        <w:rPr>
          <w:rFonts w:ascii="Arial" w:cs="Arial" w:eastAsia="Arial" w:hAnsi="Arial"/>
          <w:sz w:val="22"/>
          <w:szCs w:val="22"/>
          <w:color w:val="auto"/>
        </w:rPr>
        <w:t>” means the Paycheck Protection Program under the CARES Act, the CARES Act, the SBA’s interpretation of the CARES Act and of the Paycheck Protection Program Interim Final Rule, the Small Business Act, the rules and regulations issued by any Governmental Authority in respect of any of the foregoing, and any other Laws applicable to the PPP Loan.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Lender</w:t>
      </w:r>
      <w:r>
        <w:rPr>
          <w:rFonts w:ascii="Arial" w:cs="Arial" w:eastAsia="Arial" w:hAnsi="Arial"/>
          <w:sz w:val="22"/>
          <w:szCs w:val="22"/>
          <w:color w:val="auto"/>
        </w:rPr>
        <w:t>” means Live Oak Banking Company.</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Loan</w:t>
      </w:r>
      <w:r>
        <w:rPr>
          <w:rFonts w:ascii="Arial" w:cs="Arial" w:eastAsia="Arial" w:hAnsi="Arial"/>
          <w:sz w:val="22"/>
          <w:szCs w:val="22"/>
          <w:color w:val="auto"/>
        </w:rPr>
        <w:t>” means that certain loan in the amount of Three Million Twenty-Five Thousand Six Hundred Dollars ($3,025,600.00) obtained by the Company from the PPP Lender on April 10, 2020, pursuant to the PPP Laws.</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PPP Loan Document</w:t>
      </w:r>
      <w:r>
        <w:rPr>
          <w:rFonts w:ascii="Arial" w:cs="Arial" w:eastAsia="Arial" w:hAnsi="Arial"/>
          <w:sz w:val="21"/>
          <w:szCs w:val="21"/>
          <w:color w:val="auto"/>
        </w:rPr>
        <w:t>” means any promissory note evidencing the PPP Loan, together with any application for a PPP Loan, and all other Contracts, instruments, documents and certificates executed and delivered to, or in favor of, the PPP Lender or the SBA in connection with the PPP Loan.</w:t>
      </w:r>
    </w:p>
    <w:p>
      <w:pPr>
        <w:spacing w:after="0" w:line="16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ending on or before the Closing Date and the portion of any Straddle Period ending on the Closing Date.</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Privacy and Security Laws</w:t>
      </w:r>
      <w:r>
        <w:rPr>
          <w:rFonts w:ascii="Arial" w:cs="Arial" w:eastAsia="Arial" w:hAnsi="Arial"/>
          <w:sz w:val="19"/>
          <w:szCs w:val="19"/>
          <w:color w:val="auto"/>
        </w:rPr>
        <w:t>” means all applicable Laws relating to the collection, use, advertising, marketing, privacy, data security, data breach, data protection or data transfer of Personal Information, including the California Consumer Privacy Act of 2018 and the EU General Data Protection Regulation (EU) 2016/679.</w:t>
      </w:r>
    </w:p>
    <w:p>
      <w:pPr>
        <w:spacing w:after="0" w:line="13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Percentage</w:t>
      </w:r>
      <w:r>
        <w:rPr>
          <w:rFonts w:ascii="Arial" w:cs="Arial" w:eastAsia="Arial" w:hAnsi="Arial"/>
          <w:sz w:val="22"/>
          <w:szCs w:val="22"/>
          <w:color w:val="auto"/>
        </w:rPr>
        <w:t>” means, with respect to each Seller, (i) the total number of Shares and Phantom Shares owned by such Seller as set forth in the Capitalization Schedule, divided by (ii) the sum of (x) the total number of Shares issued and outstanding and (y) the total number of Phantom Shares awarded (with each such number of Phantom Shares held by a Seller equal to the numerator of the “Transaction Percentage” as defined in each applicable Phantom Stock Award Agreement), in each case, as set forth in the Capitalization Schedule.</w:t>
      </w:r>
    </w:p>
    <w:p>
      <w:pPr>
        <w:spacing w:after="0" w:line="18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Publicly Available Software</w:t>
      </w:r>
      <w:r>
        <w:rPr>
          <w:rFonts w:ascii="Arial" w:cs="Arial" w:eastAsia="Arial" w:hAnsi="Arial"/>
          <w:sz w:val="22"/>
          <w:szCs w:val="22"/>
          <w:color w:val="auto"/>
        </w:rPr>
        <w:t>” means any code that is, in whole or in part, subject to the provisions of any license to software that is made generally available to the public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7" w:name="page148"/>
    <w:bookmarkEnd w:id="147"/>
    <w:p>
      <w:pPr>
        <w:jc w:val="both"/>
        <w:spacing w:after="0"/>
        <w:rPr>
          <w:sz w:val="20"/>
          <w:szCs w:val="20"/>
          <w:color w:val="auto"/>
        </w:rPr>
      </w:pPr>
      <w:r>
        <w:rPr>
          <w:rFonts w:ascii="Arial" w:cs="Arial" w:eastAsia="Arial" w:hAnsi="Arial"/>
          <w:sz w:val="22"/>
          <w:szCs w:val="22"/>
          <w:color w:val="auto"/>
        </w:rPr>
        <w:t>requiring payment of fees or royalties (including any obligation or condition under any “open source” license such as, without limitation, the GNU General Public License, GNU Lesser General Public License, Mozilla Public License or BSD licenses).</w:t>
      </w:r>
    </w:p>
    <w:p>
      <w:pPr>
        <w:spacing w:after="0" w:line="18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Material Adverse Effect</w:t>
      </w:r>
      <w:r>
        <w:rPr>
          <w:rFonts w:ascii="Arial" w:cs="Arial" w:eastAsia="Arial" w:hAnsi="Arial"/>
          <w:sz w:val="19"/>
          <w:szCs w:val="19"/>
          <w:color w:val="auto"/>
        </w:rPr>
        <w:t>” means (i) a material adverse effect on the business, assets, properties, financial condition or results of operations of Purchaser or (ii) any event, change, occurrence, circumstance or effect that, when taken individually or together with all other adverse events, changes, occurrences, circumstances or effects, would, or is reasonably expected to, prevent or materially impede or delay Purchaser or its Affiliates from consummating the Transaction or performing its obligations under this Agreement.</w:t>
      </w:r>
    </w:p>
    <w:p>
      <w:pPr>
        <w:spacing w:after="0" w:line="14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all accounts receivable, trade receivables, notes receivable, and other receivables of the Company, including all proceeds, credits due, and rebates receivable.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Party Pay-off Amount</w:t>
      </w:r>
      <w:r>
        <w:rPr>
          <w:rFonts w:ascii="Arial" w:cs="Arial" w:eastAsia="Arial" w:hAnsi="Arial"/>
          <w:sz w:val="22"/>
          <w:szCs w:val="22"/>
          <w:color w:val="auto"/>
        </w:rPr>
        <w:t>” with respect to a Seller, means the aggregate amount set forth in such Seller’s Related Party Loan Pay-off Letter.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has the meaning set forth in Section 101(22) of CERCLA (42 U.S.C. § 9601(22)).</w:t>
      </w:r>
    </w:p>
    <w:p>
      <w:pPr>
        <w:spacing w:after="0" w:line="21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Remediation</w:t>
      </w:r>
      <w:r>
        <w:rPr>
          <w:rFonts w:ascii="Arial" w:cs="Arial" w:eastAsia="Arial" w:hAnsi="Arial"/>
          <w:sz w:val="19"/>
          <w:szCs w:val="19"/>
          <w:color w:val="auto"/>
        </w:rPr>
        <w:t>” means (i) any remedial action, remedy, response or removal action as those terms are defined in 42 U.S.C. § 9601, (ii) any corrective action as that term has been construed pursuant to 42 U.S.C.</w:t>
      </w:r>
    </w:p>
    <w:p>
      <w:pPr>
        <w:spacing w:after="0" w:line="1" w:lineRule="exact"/>
        <w:rPr>
          <w:sz w:val="20"/>
          <w:szCs w:val="20"/>
          <w:color w:val="auto"/>
        </w:rPr>
      </w:pPr>
    </w:p>
    <w:p>
      <w:pPr>
        <w:jc w:val="both"/>
        <w:ind w:firstLine="8"/>
        <w:spacing w:after="0" w:line="248" w:lineRule="auto"/>
        <w:tabs>
          <w:tab w:leader="none" w:pos="20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6924, and (iii) any measures or actions required or undertaken to investigate, assess, evaluate, monitor, or otherwise delineate the presence or Release of any Hazardous Material in or into the environment or to prevent, clean up or minimize a Release or threatened release of Hazardous Material.</w:t>
      </w:r>
    </w:p>
    <w:p>
      <w:pPr>
        <w:spacing w:after="0" w:line="17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Agreements</w:t>
      </w:r>
      <w:r>
        <w:rPr>
          <w:rFonts w:ascii="Arial" w:cs="Arial" w:eastAsia="Arial" w:hAnsi="Arial"/>
          <w:sz w:val="22"/>
          <w:szCs w:val="22"/>
          <w:color w:val="auto"/>
        </w:rPr>
        <w:t>” means any Contract pursuant to which the Company grants awards of phantom stock, restricted stock units or similar equity or equity-based incentive compensation that could be settled in whole or in part in Purchaser Shares.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RWI Policy</w:t>
      </w:r>
      <w:r>
        <w:rPr>
          <w:rFonts w:ascii="Arial" w:cs="Arial" w:eastAsia="Arial" w:hAnsi="Arial"/>
          <w:sz w:val="22"/>
          <w:szCs w:val="22"/>
          <w:color w:val="auto"/>
        </w:rPr>
        <w:t>” means that certain transaction representations and warranties insurance policy, which is conditionally bound as of the date of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w:t>
      </w:r>
      <w:r>
        <w:rPr>
          <w:rFonts w:ascii="Arial" w:cs="Arial" w:eastAsia="Arial" w:hAnsi="Arial"/>
          <w:sz w:val="22"/>
          <w:szCs w:val="22"/>
          <w:color w:val="auto"/>
        </w:rPr>
        <w:t>” means the U.S. Small Business Administration.</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Schedules</w:t>
      </w:r>
      <w:r>
        <w:rPr>
          <w:rFonts w:ascii="Arial" w:cs="Arial" w:eastAsia="Arial" w:hAnsi="Arial"/>
          <w:sz w:val="22"/>
          <w:szCs w:val="22"/>
          <w:color w:val="auto"/>
        </w:rPr>
        <w:t>” means the Company Disclosure Schedule, the Seller Disclosure Schedule and/or any other Schedule to this Agreement, as the case may be.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w:t>
      </w:r>
      <w:r>
        <w:rPr>
          <w:rFonts w:ascii="Arial" w:cs="Arial" w:eastAsia="Arial" w:hAnsi="Arial"/>
          <w:sz w:val="22"/>
          <w:szCs w:val="22"/>
          <w:color w:val="auto"/>
        </w:rPr>
        <w:t>” means a Seller who owns Shares.</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Side Letter</w:t>
      </w:r>
      <w:r>
        <w:rPr>
          <w:rFonts w:ascii="Arial" w:cs="Arial" w:eastAsia="Arial" w:hAnsi="Arial"/>
          <w:sz w:val="21"/>
          <w:szCs w:val="21"/>
          <w:color w:val="auto"/>
        </w:rPr>
        <w:t>” means that certain letter agreement, dated January 9, 2021, by and between Purchaser and Phantom Holder #1 (as such term is defined in the 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8" w:name="page149"/>
    <w:bookmarkEnd w:id="148"/>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Straddle Period</w:t>
      </w:r>
      <w:r>
        <w:rPr>
          <w:rFonts w:ascii="Arial" w:cs="Arial" w:eastAsia="Arial" w:hAnsi="Arial"/>
          <w:sz w:val="21"/>
          <w:szCs w:val="21"/>
          <w:color w:val="auto"/>
        </w:rPr>
        <w:t>” means a Tax period beginning before and ending after the Closing Date.</w:t>
      </w:r>
    </w:p>
    <w:p>
      <w:pPr>
        <w:spacing w:after="0" w:line="21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Person of which a majority of the outstanding share capital, voting securities or other equity interests is owned, directly or indirectly, by another Person.</w:t>
      </w:r>
    </w:p>
    <w:p>
      <w:pPr>
        <w:spacing w:after="0" w:line="17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(i) any U.S. federal, state, local or municipal, foreign or other taxes, including all net income, capital gains, gross receipts, license, payroll, employment, excise, severance, stamp, occupation, premium, windfall profits, environmental, levy, tariff, duty (including any customs duty), equity, escheat, franchise, profits, withholding, social security, unemployment, disability, real property, personal property, business, capital stock, sales, use, transfer, registration, value-added, surtax, estimated, ad valorem, alternative or add-on minimum, or other tax of any kind whatsoever, however denominated or computed, and in respect of each and every of the foregoing, including any fine, interest, penalty or addition thereto imposed by a Taxing Authority, whether disputed or not, and (ii) Liability for the payment of any amounts of the type described in clause (i) as a transferee or successor, by Contract, from any express or implied obligation to indemnify or otherwise assume or succeed to the Liability of any other Person, or otherwise.</w:t>
      </w:r>
    </w:p>
    <w:p>
      <w:pPr>
        <w:spacing w:after="0" w:line="16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means any inquiry, audit, examination, hearing, trial, appeal, or other administrative or judicial proceeding with respect to any Taxes or Tax Returns of the Company.</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claim for refund or information return or statement or attachment thereto, and including any amendment thereof in respect of any Taxes.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the IRS or any governmental agency, board, bureau, body, department or authority having jurisdiction with respect to any Tax.</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w:t>
      </w:r>
      <w:r>
        <w:rPr>
          <w:rFonts w:ascii="Arial" w:cs="Arial" w:eastAsia="Arial" w:hAnsi="Arial"/>
          <w:sz w:val="19"/>
          <w:szCs w:val="19"/>
          <w:color w:val="auto"/>
        </w:rPr>
        <w:t>” means the transactions contemplated by this Agreement and the other Transaction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Agreements.</w:t>
      </w:r>
    </w:p>
    <w:p>
      <w:pPr>
        <w:spacing w:after="0" w:line="18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Agreements</w:t>
      </w:r>
      <w:r>
        <w:rPr>
          <w:rFonts w:ascii="Arial" w:cs="Arial" w:eastAsia="Arial" w:hAnsi="Arial"/>
          <w:sz w:val="22"/>
          <w:szCs w:val="22"/>
          <w:color w:val="auto"/>
        </w:rPr>
        <w:t>” means this Agreement, the Confidentiality Agreement, the Escrow Agreement, and each other agreement, document, instrument or certificate contemplated by this Agreement to which Purchaser, the Company, the Sellers’ Representative or a Seller is a party or to be executed by Purchaser, the Company, the Sellers’ Representative or a Seller in connection with the consummation of the Transaction (excluding the Side Letter).</w:t>
      </w:r>
    </w:p>
    <w:p>
      <w:pPr>
        <w:spacing w:after="0" w:line="187"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Bonus Portion</w:t>
      </w:r>
      <w:r>
        <w:rPr>
          <w:rFonts w:ascii="Arial" w:cs="Arial" w:eastAsia="Arial" w:hAnsi="Arial"/>
          <w:sz w:val="22"/>
          <w:szCs w:val="22"/>
          <w:color w:val="auto"/>
        </w:rPr>
        <w:t>” means the portion of an amount that is to be released or payable to Sellers following the Closing that represents Contingent Consideration.</w:t>
      </w:r>
    </w:p>
    <w:p>
      <w:pPr>
        <w:spacing w:after="0" w:line="17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Unpaid Company Transaction Expenses</w:t>
      </w:r>
      <w:r>
        <w:rPr>
          <w:rFonts w:ascii="Arial" w:cs="Arial" w:eastAsia="Arial" w:hAnsi="Arial"/>
          <w:sz w:val="22"/>
          <w:szCs w:val="22"/>
          <w:color w:val="auto"/>
        </w:rPr>
        <w:t>” means, without duplication and only to the extent not paid as of the Measurement Time (i) the collective amount of all out-of-pocket costs and expenses incurred by the Company in connection with the sale of the Company payable by the Company to outside legal counsel, accountants, advisors, brokers and other third parties and (ii) bonuses (including transaction, stay, retention, or other similar bonuses), change of control, or similar payments that are due to any current or former employee, officer, individual service provider, or director of the Company as a result of, or otherwise payable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9" w:name="page150"/>
    <w:bookmarkEnd w:id="149"/>
    <w:p>
      <w:pPr>
        <w:jc w:val="both"/>
        <w:spacing w:after="0" w:line="235" w:lineRule="auto"/>
        <w:rPr>
          <w:sz w:val="20"/>
          <w:szCs w:val="20"/>
          <w:color w:val="auto"/>
        </w:rPr>
      </w:pPr>
      <w:r>
        <w:rPr>
          <w:rFonts w:ascii="Arial" w:cs="Arial" w:eastAsia="Arial" w:hAnsi="Arial"/>
          <w:sz w:val="22"/>
          <w:szCs w:val="22"/>
          <w:color w:val="auto"/>
        </w:rPr>
        <w:t xml:space="preserve">consummation of the Transaction pursuant to any Contract entered into by the Company prior to the Closing, excluding, for the avoidance of doubt, any Contingent Consideration (including the employer portion of any payroll or similar Taxes payable in connection with any such payments);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Unpaid Company Transaction Expenses shall not include any amounts taken into account in the calculation of the Closing Date Indebtedness and shall not include any payments triggered as a result of actions taken as of or following the Closing by Purchaser or its Affiliates.</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 Act</w:t>
      </w:r>
      <w:r>
        <w:rPr>
          <w:rFonts w:ascii="Arial" w:cs="Arial" w:eastAsia="Arial" w:hAnsi="Arial"/>
          <w:sz w:val="22"/>
          <w:szCs w:val="22"/>
          <w:color w:val="auto"/>
        </w:rPr>
        <w:t>” means the Federal Worker Adjustment Retraining Notification Act and any applicable similar foreign, state or local Law related to plant closings, relocations, mass layoffs and employment losses.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Ceiling</w:t>
      </w:r>
      <w:r>
        <w:rPr>
          <w:rFonts w:ascii="Arial" w:cs="Arial" w:eastAsia="Arial" w:hAnsi="Arial"/>
          <w:sz w:val="22"/>
          <w:szCs w:val="22"/>
          <w:color w:val="auto"/>
        </w:rPr>
        <w:t xml:space="preserve">” means an amount equal to (i) the Working Capital Target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Working Capital Collar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Working  Capital  Collar  Amount</w:t>
      </w:r>
      <w:r>
        <w:rPr>
          <w:rFonts w:ascii="Arial" w:cs="Arial" w:eastAsia="Arial" w:hAnsi="Arial"/>
          <w:sz w:val="21"/>
          <w:szCs w:val="21"/>
          <w:color w:val="auto"/>
        </w:rPr>
        <w:t>”  means  Two  Million  Five  Hundred  Thousand  Dollars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($2,500,000).</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Decrease</w:t>
      </w:r>
      <w:r>
        <w:rPr>
          <w:rFonts w:ascii="Arial" w:cs="Arial" w:eastAsia="Arial" w:hAnsi="Arial"/>
          <w:sz w:val="22"/>
          <w:szCs w:val="22"/>
          <w:color w:val="auto"/>
        </w:rPr>
        <w:t xml:space="preserve">” means, in the event that the Closing Date Working Capital is less than the Working Capital Floor, an amount equal to (i) the Working Capital Target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Closing Date Working Capital.</w:t>
      </w:r>
    </w:p>
    <w:p>
      <w:pPr>
        <w:spacing w:after="0" w:line="186" w:lineRule="exact"/>
        <w:rPr>
          <w:sz w:val="20"/>
          <w:szCs w:val="20"/>
          <w:color w:val="auto"/>
        </w:rPr>
      </w:pPr>
    </w:p>
    <w:p>
      <w:pPr>
        <w:jc w:val="both"/>
        <w:ind w:firstLine="13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Floor</w:t>
      </w:r>
      <w:r>
        <w:rPr>
          <w:rFonts w:ascii="Arial" w:cs="Arial" w:eastAsia="Arial" w:hAnsi="Arial"/>
          <w:sz w:val="22"/>
          <w:szCs w:val="22"/>
          <w:color w:val="auto"/>
        </w:rPr>
        <w:t xml:space="preserve">” means an amount equal to (i) the Working Capital Target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Working Capital Collar Amount.</w:t>
      </w:r>
    </w:p>
    <w:p>
      <w:pPr>
        <w:spacing w:after="0" w:line="175" w:lineRule="exact"/>
        <w:rPr>
          <w:sz w:val="20"/>
          <w:szCs w:val="20"/>
          <w:color w:val="auto"/>
        </w:rPr>
      </w:pPr>
    </w:p>
    <w:p>
      <w:pPr>
        <w:jc w:val="both"/>
        <w:ind w:right="20" w:firstLine="13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Increase</w:t>
      </w:r>
      <w:r>
        <w:rPr>
          <w:rFonts w:ascii="Arial" w:cs="Arial" w:eastAsia="Arial" w:hAnsi="Arial"/>
          <w:sz w:val="22"/>
          <w:szCs w:val="22"/>
          <w:color w:val="auto"/>
        </w:rPr>
        <w:t xml:space="preserve">” means, in the event that the Closing Date Working Capital is greater than the Working Capital Ceiling, an amount equal to (i) the Closing Date Working Capital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Working Capital Target.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Target</w:t>
      </w:r>
      <w:r>
        <w:rPr>
          <w:rFonts w:ascii="Arial" w:cs="Arial" w:eastAsia="Arial" w:hAnsi="Arial"/>
          <w:sz w:val="22"/>
          <w:szCs w:val="22"/>
          <w:color w:val="auto"/>
        </w:rPr>
        <w:t>” means Seventeen Million Dollars ($17,000,000).</w:t>
      </w:r>
    </w:p>
    <w:p>
      <w:pPr>
        <w:spacing w:after="0" w:line="206" w:lineRule="exact"/>
        <w:rPr>
          <w:sz w:val="20"/>
          <w:szCs w:val="20"/>
          <w:color w:val="auto"/>
        </w:rPr>
      </w:pPr>
    </w:p>
    <w:p>
      <w:pPr>
        <w:ind w:left="340" w:right="20" w:firstLine="1288"/>
        <w:spacing w:after="0" w:line="250" w:lineRule="auto"/>
        <w:tabs>
          <w:tab w:leader="none" w:pos="2509" w:val="left"/>
        </w:tabs>
        <w:numPr>
          <w:ilvl w:val="0"/>
          <w:numId w:val="138"/>
        </w:numPr>
        <w:rPr>
          <w:rFonts w:ascii="Arial" w:cs="Arial" w:eastAsia="Arial" w:hAnsi="Arial"/>
          <w:sz w:val="22"/>
          <w:szCs w:val="22"/>
          <w:color w:val="010000"/>
        </w:rPr>
      </w:pP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For purposes of this Agreement, the following terms have the meanings set forth in the sections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tcPr>
          <w:p>
            <w:pPr>
              <w:spacing w:after="0"/>
              <w:rPr>
                <w:sz w:val="20"/>
                <w:szCs w:val="20"/>
                <w:color w:val="auto"/>
              </w:rPr>
            </w:pPr>
            <w:r>
              <w:rPr>
                <w:rFonts w:ascii="Arial" w:cs="Arial" w:eastAsia="Arial" w:hAnsi="Arial"/>
                <w:sz w:val="22"/>
                <w:szCs w:val="22"/>
                <w:color w:val="auto"/>
              </w:rPr>
              <w:t>401(k) Plans</w:t>
            </w:r>
          </w:p>
        </w:tc>
        <w:tc>
          <w:tcPr>
            <w:tcW w:w="6240" w:type="dxa"/>
            <w:vAlign w:val="bottom"/>
          </w:tcPr>
          <w:p>
            <w:pPr>
              <w:ind w:left="3340"/>
              <w:spacing w:after="0"/>
              <w:rPr>
                <w:sz w:val="20"/>
                <w:szCs w:val="20"/>
                <w:color w:val="auto"/>
              </w:rPr>
            </w:pPr>
            <w:r>
              <w:rPr>
                <w:rFonts w:ascii="Arial" w:cs="Arial" w:eastAsia="Arial" w:hAnsi="Arial"/>
                <w:sz w:val="22"/>
                <w:szCs w:val="22"/>
                <w:color w:val="auto"/>
              </w:rPr>
              <w:t>Section 7.7(f)</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Accounting Referee</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1.4(c)(ii)</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Acquisition Proposal</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7.10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Active Government Bid</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3.13(a)</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Active Government Contract</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3.13(a)</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Agreement</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Alternative Financing</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7.15</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Antitrust Approvals</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3.2(c)</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Balance Sheet</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3.4(a)</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Balance Sheet Date</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3.4(a)</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Business</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Recitals</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Business Employees</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7.7(a)</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Capitalization Schedule</w:t>
            </w:r>
          </w:p>
        </w:tc>
        <w:tc>
          <w:tcPr>
            <w:tcW w:w="6240" w:type="dxa"/>
            <w:vAlign w:val="bottom"/>
          </w:tcPr>
          <w:p>
            <w:pPr>
              <w:ind w:left="3340"/>
              <w:spacing w:after="0" w:line="243" w:lineRule="exact"/>
              <w:rPr>
                <w:sz w:val="20"/>
                <w:szCs w:val="20"/>
                <w:color w:val="auto"/>
              </w:rPr>
            </w:pPr>
            <w:r>
              <w:rPr>
                <w:rFonts w:ascii="Arial" w:cs="Arial" w:eastAsia="Arial" w:hAnsi="Arial"/>
                <w:sz w:val="22"/>
                <w:szCs w:val="22"/>
                <w:color w:val="auto"/>
              </w:rPr>
              <w:t>Section 3.3(b)</w:t>
            </w:r>
          </w:p>
        </w:tc>
      </w:tr>
      <w:tr>
        <w:trPr>
          <w:trHeight w:val="274"/>
        </w:trPr>
        <w:tc>
          <w:tcPr>
            <w:tcW w:w="3680" w:type="dxa"/>
            <w:vAlign w:val="bottom"/>
          </w:tcPr>
          <w:p>
            <w:pPr>
              <w:spacing w:after="0"/>
              <w:rPr>
                <w:sz w:val="20"/>
                <w:szCs w:val="20"/>
                <w:color w:val="auto"/>
              </w:rPr>
            </w:pPr>
            <w:r>
              <w:rPr>
                <w:rFonts w:ascii="Arial" w:cs="Arial" w:eastAsia="Arial" w:hAnsi="Arial"/>
                <w:sz w:val="22"/>
                <w:szCs w:val="22"/>
                <w:color w:val="auto"/>
              </w:rPr>
              <w:t>Clean Team Agreement</w:t>
            </w:r>
          </w:p>
        </w:tc>
        <w:tc>
          <w:tcPr>
            <w:tcW w:w="6240" w:type="dxa"/>
            <w:vAlign w:val="bottom"/>
          </w:tcPr>
          <w:p>
            <w:pPr>
              <w:ind w:left="3340"/>
              <w:spacing w:after="0"/>
              <w:rPr>
                <w:sz w:val="20"/>
                <w:szCs w:val="20"/>
                <w:color w:val="auto"/>
              </w:rPr>
            </w:pPr>
            <w:r>
              <w:rPr>
                <w:rFonts w:ascii="Arial" w:cs="Arial" w:eastAsia="Arial" w:hAnsi="Arial"/>
                <w:sz w:val="22"/>
                <w:szCs w:val="22"/>
                <w:color w:val="auto"/>
              </w:rPr>
              <w:t>Section 7.3</w:t>
            </w:r>
          </w:p>
        </w:tc>
      </w:tr>
      <w:tr>
        <w:trPr>
          <w:trHeight w:val="891"/>
        </w:trPr>
        <w:tc>
          <w:tcPr>
            <w:tcW w:w="3680" w:type="dxa"/>
            <w:vAlign w:val="bottom"/>
          </w:tcPr>
          <w:p>
            <w:pPr>
              <w:spacing w:after="0"/>
              <w:rPr>
                <w:sz w:val="24"/>
                <w:szCs w:val="24"/>
                <w:color w:val="auto"/>
              </w:rPr>
            </w:pPr>
          </w:p>
        </w:tc>
        <w:tc>
          <w:tcPr>
            <w:tcW w:w="6240" w:type="dxa"/>
            <w:vAlign w:val="bottom"/>
          </w:tcPr>
          <w:p>
            <w:pPr>
              <w:ind w:left="1180"/>
              <w:spacing w:after="0"/>
              <w:rPr>
                <w:sz w:val="20"/>
                <w:szCs w:val="20"/>
                <w:color w:val="auto"/>
              </w:rPr>
            </w:pPr>
            <w:r>
              <w:rPr>
                <w:rFonts w:ascii="Arial" w:cs="Arial" w:eastAsia="Arial" w:hAnsi="Arial"/>
                <w:sz w:val="22"/>
                <w:szCs w:val="22"/>
                <w:color w:val="auto"/>
              </w:rPr>
              <w:t>99</w:t>
            </w:r>
          </w:p>
        </w:tc>
      </w:tr>
      <w:tr>
        <w:trPr>
          <w:trHeight w:val="794"/>
        </w:trPr>
        <w:tc>
          <w:tcPr>
            <w:tcW w:w="36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61" w:right="99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Closing</w:t>
      </w:r>
    </w:p>
    <w:p>
      <w:pPr>
        <w:spacing w:after="0" w:line="238" w:lineRule="auto"/>
        <w:rPr>
          <w:sz w:val="20"/>
          <w:szCs w:val="20"/>
          <w:color w:val="auto"/>
        </w:rPr>
      </w:pPr>
      <w:r>
        <w:rPr>
          <w:rFonts w:ascii="Arial" w:cs="Arial" w:eastAsia="Arial" w:hAnsi="Arial"/>
          <w:sz w:val="22"/>
          <w:szCs w:val="22"/>
          <w:color w:val="auto"/>
        </w:rPr>
        <w:t>Closing Cash Consideration</w:t>
      </w:r>
    </w:p>
    <w:p>
      <w:pPr>
        <w:spacing w:after="0" w:line="230" w:lineRule="auto"/>
        <w:rPr>
          <w:sz w:val="20"/>
          <w:szCs w:val="20"/>
          <w:color w:val="auto"/>
        </w:rPr>
      </w:pPr>
      <w:r>
        <w:rPr>
          <w:rFonts w:ascii="Arial" w:cs="Arial" w:eastAsia="Arial" w:hAnsi="Arial"/>
          <w:sz w:val="22"/>
          <w:szCs w:val="22"/>
          <w:color w:val="auto"/>
        </w:rPr>
        <w:t>Closing Date</w:t>
      </w:r>
    </w:p>
    <w:p>
      <w:pPr>
        <w:spacing w:after="0" w:line="231" w:lineRule="auto"/>
        <w:rPr>
          <w:sz w:val="20"/>
          <w:szCs w:val="20"/>
          <w:color w:val="auto"/>
        </w:rPr>
      </w:pPr>
      <w:r>
        <w:rPr>
          <w:rFonts w:ascii="Arial" w:cs="Arial" w:eastAsia="Arial" w:hAnsi="Arial"/>
          <w:sz w:val="22"/>
          <w:szCs w:val="22"/>
          <w:color w:val="auto"/>
        </w:rPr>
        <w:t>Closing Payments</w:t>
      </w:r>
    </w:p>
    <w:p>
      <w:pPr>
        <w:spacing w:after="0" w:line="230" w:lineRule="auto"/>
        <w:rPr>
          <w:sz w:val="20"/>
          <w:szCs w:val="20"/>
          <w:color w:val="auto"/>
        </w:rPr>
      </w:pPr>
      <w:r>
        <w:rPr>
          <w:rFonts w:ascii="Arial" w:cs="Arial" w:eastAsia="Arial" w:hAnsi="Arial"/>
          <w:sz w:val="22"/>
          <w:szCs w:val="22"/>
          <w:color w:val="auto"/>
        </w:rPr>
        <w:t>Closing Statement</w:t>
      </w:r>
    </w:p>
    <w:p>
      <w:pPr>
        <w:spacing w:after="0" w:line="231" w:lineRule="auto"/>
        <w:rPr>
          <w:sz w:val="20"/>
          <w:szCs w:val="20"/>
          <w:color w:val="auto"/>
        </w:rPr>
      </w:pPr>
      <w:r>
        <w:rPr>
          <w:rFonts w:ascii="Arial" w:cs="Arial" w:eastAsia="Arial" w:hAnsi="Arial"/>
          <w:sz w:val="22"/>
          <w:szCs w:val="22"/>
          <w:color w:val="auto"/>
        </w:rPr>
        <w:t>Commercially Reasonable Terms</w:t>
      </w:r>
    </w:p>
    <w:p>
      <w:pPr>
        <w:spacing w:after="0" w:line="230" w:lineRule="auto"/>
        <w:rPr>
          <w:sz w:val="20"/>
          <w:szCs w:val="20"/>
          <w:color w:val="auto"/>
        </w:rPr>
      </w:pPr>
      <w:r>
        <w:rPr>
          <w:rFonts w:ascii="Arial" w:cs="Arial" w:eastAsia="Arial" w:hAnsi="Arial"/>
          <w:sz w:val="22"/>
          <w:szCs w:val="22"/>
          <w:color w:val="auto"/>
        </w:rPr>
        <w:t>Commitment Letter</w:t>
      </w:r>
    </w:p>
    <w:p>
      <w:pPr>
        <w:spacing w:after="0" w:line="231" w:lineRule="auto"/>
        <w:rPr>
          <w:sz w:val="20"/>
          <w:szCs w:val="20"/>
          <w:color w:val="auto"/>
        </w:rPr>
      </w:pPr>
      <w:r>
        <w:rPr>
          <w:rFonts w:ascii="Arial" w:cs="Arial" w:eastAsia="Arial" w:hAnsi="Arial"/>
          <w:sz w:val="22"/>
          <w:szCs w:val="22"/>
          <w:color w:val="auto"/>
        </w:rPr>
        <w:t>Company</w:t>
      </w:r>
    </w:p>
    <w:p>
      <w:pPr>
        <w:spacing w:after="0" w:line="230" w:lineRule="auto"/>
        <w:rPr>
          <w:sz w:val="20"/>
          <w:szCs w:val="20"/>
          <w:color w:val="auto"/>
        </w:rPr>
      </w:pPr>
      <w:r>
        <w:rPr>
          <w:rFonts w:ascii="Arial" w:cs="Arial" w:eastAsia="Arial" w:hAnsi="Arial"/>
          <w:sz w:val="22"/>
          <w:szCs w:val="22"/>
          <w:color w:val="auto"/>
        </w:rPr>
        <w:t>Company Disclosure Schedule</w:t>
      </w:r>
    </w:p>
    <w:p>
      <w:pPr>
        <w:spacing w:after="0" w:line="231" w:lineRule="auto"/>
        <w:rPr>
          <w:sz w:val="20"/>
          <w:szCs w:val="20"/>
          <w:color w:val="auto"/>
        </w:rPr>
      </w:pPr>
      <w:r>
        <w:rPr>
          <w:rFonts w:ascii="Arial" w:cs="Arial" w:eastAsia="Arial" w:hAnsi="Arial"/>
          <w:sz w:val="22"/>
          <w:szCs w:val="22"/>
          <w:color w:val="auto"/>
        </w:rPr>
        <w:t>Company Financial Statements</w:t>
      </w:r>
    </w:p>
    <w:p>
      <w:pPr>
        <w:spacing w:after="0" w:line="231" w:lineRule="auto"/>
        <w:rPr>
          <w:sz w:val="20"/>
          <w:szCs w:val="20"/>
          <w:color w:val="auto"/>
        </w:rPr>
      </w:pPr>
      <w:r>
        <w:rPr>
          <w:rFonts w:ascii="Arial" w:cs="Arial" w:eastAsia="Arial" w:hAnsi="Arial"/>
          <w:sz w:val="22"/>
          <w:szCs w:val="22"/>
          <w:color w:val="auto"/>
        </w:rPr>
        <w:t>Company Fundamental Representations</w:t>
      </w:r>
    </w:p>
    <w:p>
      <w:pPr>
        <w:spacing w:after="0" w:line="230" w:lineRule="auto"/>
        <w:rPr>
          <w:sz w:val="20"/>
          <w:szCs w:val="20"/>
          <w:color w:val="auto"/>
        </w:rPr>
      </w:pPr>
      <w:r>
        <w:rPr>
          <w:rFonts w:ascii="Arial" w:cs="Arial" w:eastAsia="Arial" w:hAnsi="Arial"/>
          <w:sz w:val="22"/>
          <w:szCs w:val="22"/>
          <w:color w:val="auto"/>
        </w:rPr>
        <w:t>Confidentiality Agreement</w:t>
      </w:r>
    </w:p>
    <w:p>
      <w:pPr>
        <w:spacing w:after="0" w:line="231" w:lineRule="auto"/>
        <w:rPr>
          <w:sz w:val="20"/>
          <w:szCs w:val="20"/>
          <w:color w:val="auto"/>
        </w:rPr>
      </w:pPr>
      <w:r>
        <w:rPr>
          <w:rFonts w:ascii="Arial" w:cs="Arial" w:eastAsia="Arial" w:hAnsi="Arial"/>
          <w:sz w:val="22"/>
          <w:szCs w:val="22"/>
          <w:color w:val="auto"/>
        </w:rPr>
        <w:t>Contracting Parties</w:t>
      </w:r>
    </w:p>
    <w:p>
      <w:pPr>
        <w:spacing w:after="0" w:line="230" w:lineRule="auto"/>
        <w:rPr>
          <w:sz w:val="20"/>
          <w:szCs w:val="20"/>
          <w:color w:val="auto"/>
        </w:rPr>
      </w:pPr>
      <w:r>
        <w:rPr>
          <w:rFonts w:ascii="Arial" w:cs="Arial" w:eastAsia="Arial" w:hAnsi="Arial"/>
          <w:sz w:val="22"/>
          <w:szCs w:val="22"/>
          <w:color w:val="auto"/>
        </w:rPr>
        <w:t>Debt Documents</w:t>
      </w:r>
    </w:p>
    <w:p>
      <w:pPr>
        <w:spacing w:after="0" w:line="231" w:lineRule="auto"/>
        <w:rPr>
          <w:sz w:val="20"/>
          <w:szCs w:val="20"/>
          <w:color w:val="auto"/>
        </w:rPr>
      </w:pPr>
      <w:r>
        <w:rPr>
          <w:rFonts w:ascii="Arial" w:cs="Arial" w:eastAsia="Arial" w:hAnsi="Arial"/>
          <w:sz w:val="22"/>
          <w:szCs w:val="22"/>
          <w:color w:val="auto"/>
        </w:rPr>
        <w:t>Debt Financing Parties</w:t>
      </w:r>
    </w:p>
    <w:p>
      <w:pPr>
        <w:spacing w:after="0" w:line="230" w:lineRule="auto"/>
        <w:rPr>
          <w:sz w:val="20"/>
          <w:szCs w:val="20"/>
          <w:color w:val="auto"/>
        </w:rPr>
      </w:pPr>
      <w:r>
        <w:rPr>
          <w:rFonts w:ascii="Arial" w:cs="Arial" w:eastAsia="Arial" w:hAnsi="Arial"/>
          <w:sz w:val="22"/>
          <w:szCs w:val="22"/>
          <w:color w:val="auto"/>
        </w:rPr>
        <w:t>Deductible</w:t>
      </w:r>
    </w:p>
    <w:p>
      <w:pPr>
        <w:spacing w:after="0" w:line="231" w:lineRule="auto"/>
        <w:rPr>
          <w:sz w:val="20"/>
          <w:szCs w:val="20"/>
          <w:color w:val="auto"/>
        </w:rPr>
      </w:pPr>
      <w:r>
        <w:rPr>
          <w:rFonts w:ascii="Arial" w:cs="Arial" w:eastAsia="Arial" w:hAnsi="Arial"/>
          <w:sz w:val="22"/>
          <w:szCs w:val="22"/>
          <w:color w:val="auto"/>
        </w:rPr>
        <w:t>Deficit</w:t>
      </w:r>
    </w:p>
    <w:p>
      <w:pPr>
        <w:spacing w:after="0" w:line="230" w:lineRule="auto"/>
        <w:rPr>
          <w:sz w:val="20"/>
          <w:szCs w:val="20"/>
          <w:color w:val="auto"/>
        </w:rPr>
      </w:pPr>
      <w:r>
        <w:rPr>
          <w:rFonts w:ascii="Arial" w:cs="Arial" w:eastAsia="Arial" w:hAnsi="Arial"/>
          <w:sz w:val="22"/>
          <w:szCs w:val="22"/>
          <w:color w:val="auto"/>
        </w:rPr>
        <w:t>Direct Claim Notice</w:t>
      </w:r>
    </w:p>
    <w:p>
      <w:pPr>
        <w:spacing w:after="0" w:line="231" w:lineRule="auto"/>
        <w:rPr>
          <w:sz w:val="20"/>
          <w:szCs w:val="20"/>
          <w:color w:val="auto"/>
        </w:rPr>
      </w:pPr>
      <w:r>
        <w:rPr>
          <w:rFonts w:ascii="Arial" w:cs="Arial" w:eastAsia="Arial" w:hAnsi="Arial"/>
          <w:sz w:val="22"/>
          <w:szCs w:val="22"/>
          <w:color w:val="auto"/>
        </w:rPr>
        <w:t>Dispute Notice</w:t>
      </w:r>
    </w:p>
    <w:p>
      <w:pPr>
        <w:spacing w:after="0" w:line="230" w:lineRule="auto"/>
        <w:rPr>
          <w:sz w:val="20"/>
          <w:szCs w:val="20"/>
          <w:color w:val="auto"/>
        </w:rPr>
      </w:pPr>
      <w:r>
        <w:rPr>
          <w:rFonts w:ascii="Arial" w:cs="Arial" w:eastAsia="Arial" w:hAnsi="Arial"/>
          <w:sz w:val="22"/>
          <w:szCs w:val="22"/>
          <w:color w:val="auto"/>
        </w:rPr>
        <w:t>D&amp;O Costs</w:t>
      </w:r>
    </w:p>
    <w:p>
      <w:pPr>
        <w:spacing w:after="0" w:line="231" w:lineRule="auto"/>
        <w:rPr>
          <w:sz w:val="20"/>
          <w:szCs w:val="20"/>
          <w:color w:val="auto"/>
        </w:rPr>
      </w:pPr>
      <w:r>
        <w:rPr>
          <w:rFonts w:ascii="Arial" w:cs="Arial" w:eastAsia="Arial" w:hAnsi="Arial"/>
          <w:sz w:val="22"/>
          <w:szCs w:val="22"/>
          <w:color w:val="auto"/>
        </w:rPr>
        <w:t>D&amp;O Expenses</w:t>
      </w:r>
    </w:p>
    <w:p>
      <w:pPr>
        <w:spacing w:after="0" w:line="231" w:lineRule="auto"/>
        <w:rPr>
          <w:sz w:val="20"/>
          <w:szCs w:val="20"/>
          <w:color w:val="auto"/>
        </w:rPr>
      </w:pPr>
      <w:r>
        <w:rPr>
          <w:rFonts w:ascii="Arial" w:cs="Arial" w:eastAsia="Arial" w:hAnsi="Arial"/>
          <w:sz w:val="22"/>
          <w:szCs w:val="22"/>
          <w:color w:val="auto"/>
        </w:rPr>
        <w:t>D&amp;O Indemnifiable Claim</w:t>
      </w:r>
    </w:p>
    <w:p>
      <w:pPr>
        <w:spacing w:after="0" w:line="230" w:lineRule="auto"/>
        <w:rPr>
          <w:sz w:val="20"/>
          <w:szCs w:val="20"/>
          <w:color w:val="auto"/>
        </w:rPr>
      </w:pPr>
      <w:r>
        <w:rPr>
          <w:rFonts w:ascii="Arial" w:cs="Arial" w:eastAsia="Arial" w:hAnsi="Arial"/>
          <w:sz w:val="22"/>
          <w:szCs w:val="22"/>
          <w:color w:val="auto"/>
        </w:rPr>
        <w:t>D&amp;O Indemnified Person</w:t>
      </w:r>
    </w:p>
    <w:p>
      <w:pPr>
        <w:spacing w:after="0" w:line="231" w:lineRule="auto"/>
        <w:rPr>
          <w:sz w:val="20"/>
          <w:szCs w:val="20"/>
          <w:color w:val="auto"/>
        </w:rPr>
      </w:pPr>
      <w:r>
        <w:rPr>
          <w:rFonts w:ascii="Arial" w:cs="Arial" w:eastAsia="Arial" w:hAnsi="Arial"/>
          <w:sz w:val="22"/>
          <w:szCs w:val="22"/>
          <w:color w:val="auto"/>
        </w:rPr>
        <w:t>D&amp;O Indemnifying Party</w:t>
      </w:r>
    </w:p>
    <w:p>
      <w:pPr>
        <w:spacing w:after="0" w:line="230" w:lineRule="auto"/>
        <w:rPr>
          <w:sz w:val="20"/>
          <w:szCs w:val="20"/>
          <w:color w:val="auto"/>
        </w:rPr>
      </w:pPr>
      <w:r>
        <w:rPr>
          <w:rFonts w:ascii="Arial" w:cs="Arial" w:eastAsia="Arial" w:hAnsi="Arial"/>
          <w:sz w:val="22"/>
          <w:szCs w:val="22"/>
          <w:color w:val="auto"/>
        </w:rPr>
        <w:t>D&amp;O Tail Policy</w:t>
      </w:r>
    </w:p>
    <w:p>
      <w:pPr>
        <w:spacing w:after="0" w:line="231" w:lineRule="auto"/>
        <w:rPr>
          <w:sz w:val="20"/>
          <w:szCs w:val="20"/>
          <w:color w:val="auto"/>
        </w:rPr>
      </w:pPr>
      <w:r>
        <w:rPr>
          <w:rFonts w:ascii="Arial" w:cs="Arial" w:eastAsia="Arial" w:hAnsi="Arial"/>
          <w:sz w:val="22"/>
          <w:szCs w:val="22"/>
          <w:color w:val="auto"/>
        </w:rPr>
        <w:t>DCSA</w:t>
      </w:r>
    </w:p>
    <w:p>
      <w:pPr>
        <w:spacing w:after="0" w:line="230" w:lineRule="auto"/>
        <w:rPr>
          <w:sz w:val="20"/>
          <w:szCs w:val="20"/>
          <w:color w:val="auto"/>
        </w:rPr>
      </w:pPr>
      <w:r>
        <w:rPr>
          <w:rFonts w:ascii="Arial" w:cs="Arial" w:eastAsia="Arial" w:hAnsi="Arial"/>
          <w:sz w:val="22"/>
          <w:szCs w:val="22"/>
          <w:color w:val="auto"/>
        </w:rPr>
        <w:t>Election Notice</w:t>
      </w:r>
    </w:p>
    <w:p>
      <w:pPr>
        <w:spacing w:after="0" w:line="231" w:lineRule="auto"/>
        <w:rPr>
          <w:sz w:val="20"/>
          <w:szCs w:val="20"/>
          <w:color w:val="auto"/>
        </w:rPr>
      </w:pPr>
      <w:r>
        <w:rPr>
          <w:rFonts w:ascii="Arial" w:cs="Arial" w:eastAsia="Arial" w:hAnsi="Arial"/>
          <w:sz w:val="22"/>
          <w:szCs w:val="22"/>
          <w:color w:val="auto"/>
        </w:rPr>
        <w:t>Electronic Delivery</w:t>
      </w:r>
    </w:p>
    <w:p>
      <w:pPr>
        <w:spacing w:after="0" w:line="230" w:lineRule="auto"/>
        <w:rPr>
          <w:sz w:val="20"/>
          <w:szCs w:val="20"/>
          <w:color w:val="auto"/>
        </w:rPr>
      </w:pPr>
      <w:r>
        <w:rPr>
          <w:rFonts w:ascii="Arial" w:cs="Arial" w:eastAsia="Arial" w:hAnsi="Arial"/>
          <w:sz w:val="22"/>
          <w:szCs w:val="22"/>
          <w:color w:val="auto"/>
        </w:rPr>
        <w:t>Environmental Permits</w:t>
      </w:r>
    </w:p>
    <w:p>
      <w:pPr>
        <w:spacing w:after="0" w:line="231" w:lineRule="auto"/>
        <w:rPr>
          <w:sz w:val="20"/>
          <w:szCs w:val="20"/>
          <w:color w:val="auto"/>
        </w:rPr>
      </w:pPr>
      <w:r>
        <w:rPr>
          <w:rFonts w:ascii="Arial" w:cs="Arial" w:eastAsia="Arial" w:hAnsi="Arial"/>
          <w:sz w:val="22"/>
          <w:szCs w:val="22"/>
          <w:color w:val="auto"/>
        </w:rPr>
        <w:t>Escrow Amount</w:t>
      </w:r>
    </w:p>
    <w:p>
      <w:pPr>
        <w:spacing w:after="0" w:line="230" w:lineRule="auto"/>
        <w:rPr>
          <w:sz w:val="20"/>
          <w:szCs w:val="20"/>
          <w:color w:val="auto"/>
        </w:rPr>
      </w:pPr>
      <w:r>
        <w:rPr>
          <w:rFonts w:ascii="Arial" w:cs="Arial" w:eastAsia="Arial" w:hAnsi="Arial"/>
          <w:sz w:val="22"/>
          <w:szCs w:val="22"/>
          <w:color w:val="auto"/>
        </w:rPr>
        <w:t>Estimated Closing Date Cash</w:t>
      </w:r>
    </w:p>
    <w:p>
      <w:pPr>
        <w:spacing w:after="0" w:line="231" w:lineRule="auto"/>
        <w:rPr>
          <w:sz w:val="20"/>
          <w:szCs w:val="20"/>
          <w:color w:val="auto"/>
        </w:rPr>
      </w:pPr>
      <w:r>
        <w:rPr>
          <w:rFonts w:ascii="Arial" w:cs="Arial" w:eastAsia="Arial" w:hAnsi="Arial"/>
          <w:sz w:val="22"/>
          <w:szCs w:val="22"/>
          <w:color w:val="auto"/>
        </w:rPr>
        <w:t>Estimated Closing Date Indebtedness</w:t>
      </w:r>
    </w:p>
    <w:p>
      <w:pPr>
        <w:spacing w:after="0" w:line="231" w:lineRule="auto"/>
        <w:rPr>
          <w:sz w:val="20"/>
          <w:szCs w:val="20"/>
          <w:color w:val="auto"/>
        </w:rPr>
      </w:pPr>
      <w:r>
        <w:rPr>
          <w:rFonts w:ascii="Arial" w:cs="Arial" w:eastAsia="Arial" w:hAnsi="Arial"/>
          <w:sz w:val="22"/>
          <w:szCs w:val="22"/>
          <w:color w:val="auto"/>
        </w:rPr>
        <w:t>Estimated Purchase Price</w:t>
      </w:r>
    </w:p>
    <w:p>
      <w:pPr>
        <w:spacing w:after="0"/>
        <w:rPr>
          <w:sz w:val="20"/>
          <w:szCs w:val="20"/>
          <w:color w:val="auto"/>
        </w:rPr>
      </w:pPr>
      <w:r>
        <w:rPr>
          <w:rFonts w:ascii="Arial" w:cs="Arial" w:eastAsia="Arial" w:hAnsi="Arial"/>
          <w:sz w:val="19"/>
          <w:szCs w:val="19"/>
          <w:color w:val="auto"/>
        </w:rPr>
        <w:t>Estimated Unpaid Company Transaction Expenses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Estimated Working Capital</w:t>
      </w:r>
    </w:p>
    <w:p>
      <w:pPr>
        <w:spacing w:after="0" w:line="230" w:lineRule="auto"/>
        <w:rPr>
          <w:sz w:val="20"/>
          <w:szCs w:val="20"/>
          <w:color w:val="auto"/>
        </w:rPr>
      </w:pPr>
      <w:r>
        <w:rPr>
          <w:rFonts w:ascii="Arial" w:cs="Arial" w:eastAsia="Arial" w:hAnsi="Arial"/>
          <w:sz w:val="22"/>
          <w:szCs w:val="22"/>
          <w:color w:val="auto"/>
        </w:rPr>
        <w:t>Excess Recovery</w:t>
      </w:r>
    </w:p>
    <w:p>
      <w:pPr>
        <w:spacing w:after="0" w:line="231" w:lineRule="auto"/>
        <w:rPr>
          <w:sz w:val="20"/>
          <w:szCs w:val="20"/>
          <w:color w:val="auto"/>
        </w:rPr>
      </w:pPr>
      <w:r>
        <w:rPr>
          <w:rFonts w:ascii="Arial" w:cs="Arial" w:eastAsia="Arial" w:hAnsi="Arial"/>
          <w:sz w:val="22"/>
          <w:szCs w:val="22"/>
          <w:color w:val="auto"/>
        </w:rPr>
        <w:t>Exchange Act</w:t>
      </w:r>
    </w:p>
    <w:p>
      <w:pPr>
        <w:spacing w:after="0" w:line="230" w:lineRule="auto"/>
        <w:rPr>
          <w:sz w:val="20"/>
          <w:szCs w:val="20"/>
          <w:color w:val="auto"/>
        </w:rPr>
      </w:pPr>
      <w:r>
        <w:rPr>
          <w:rFonts w:ascii="Arial" w:cs="Arial" w:eastAsia="Arial" w:hAnsi="Arial"/>
          <w:sz w:val="22"/>
          <w:szCs w:val="22"/>
          <w:color w:val="auto"/>
        </w:rPr>
        <w:t>FAR</w:t>
      </w:r>
    </w:p>
    <w:p>
      <w:pPr>
        <w:spacing w:after="0" w:line="231" w:lineRule="auto"/>
        <w:rPr>
          <w:sz w:val="20"/>
          <w:szCs w:val="20"/>
          <w:color w:val="auto"/>
        </w:rPr>
      </w:pPr>
      <w:r>
        <w:rPr>
          <w:rFonts w:ascii="Arial" w:cs="Arial" w:eastAsia="Arial" w:hAnsi="Arial"/>
          <w:sz w:val="22"/>
          <w:szCs w:val="22"/>
          <w:color w:val="auto"/>
        </w:rPr>
        <w:t>Final Closing Date Cash</w:t>
      </w:r>
    </w:p>
    <w:p>
      <w:pPr>
        <w:spacing w:after="0" w:line="230" w:lineRule="auto"/>
        <w:rPr>
          <w:sz w:val="20"/>
          <w:szCs w:val="20"/>
          <w:color w:val="auto"/>
        </w:rPr>
      </w:pPr>
      <w:r>
        <w:rPr>
          <w:rFonts w:ascii="Arial" w:cs="Arial" w:eastAsia="Arial" w:hAnsi="Arial"/>
          <w:sz w:val="22"/>
          <w:szCs w:val="22"/>
          <w:color w:val="auto"/>
        </w:rPr>
        <w:t>Final Closing Date Indebtedness</w:t>
      </w:r>
    </w:p>
    <w:p>
      <w:pPr>
        <w:spacing w:after="0" w:line="231" w:lineRule="auto"/>
        <w:rPr>
          <w:sz w:val="20"/>
          <w:szCs w:val="20"/>
          <w:color w:val="auto"/>
        </w:rPr>
      </w:pPr>
      <w:r>
        <w:rPr>
          <w:rFonts w:ascii="Arial" w:cs="Arial" w:eastAsia="Arial" w:hAnsi="Arial"/>
          <w:sz w:val="22"/>
          <w:szCs w:val="22"/>
          <w:color w:val="auto"/>
        </w:rPr>
        <w:t>Final Closing Date Working Capital</w:t>
      </w:r>
    </w:p>
    <w:p>
      <w:pPr>
        <w:spacing w:after="0"/>
        <w:rPr>
          <w:sz w:val="20"/>
          <w:szCs w:val="20"/>
          <w:color w:val="auto"/>
        </w:rPr>
      </w:pPr>
      <w:r>
        <w:rPr>
          <w:rFonts w:ascii="Arial" w:cs="Arial" w:eastAsia="Arial" w:hAnsi="Arial"/>
          <w:sz w:val="21"/>
          <w:szCs w:val="21"/>
          <w:color w:val="auto"/>
        </w:rPr>
        <w:t>Final Unpaid Company Transaction Expenses</w:t>
      </w:r>
    </w:p>
    <w:p>
      <w:pPr>
        <w:spacing w:after="0" w:line="231" w:lineRule="auto"/>
        <w:rPr>
          <w:sz w:val="20"/>
          <w:szCs w:val="20"/>
          <w:color w:val="auto"/>
        </w:rPr>
      </w:pPr>
      <w:r>
        <w:rPr>
          <w:rFonts w:ascii="Arial" w:cs="Arial" w:eastAsia="Arial" w:hAnsi="Arial"/>
          <w:sz w:val="22"/>
          <w:szCs w:val="22"/>
          <w:color w:val="auto"/>
        </w:rPr>
        <w:t>Final Working Capital Decrease</w:t>
      </w:r>
    </w:p>
    <w:p>
      <w:pPr>
        <w:spacing w:after="0" w:line="231" w:lineRule="auto"/>
        <w:rPr>
          <w:sz w:val="20"/>
          <w:szCs w:val="20"/>
          <w:color w:val="auto"/>
        </w:rPr>
      </w:pPr>
      <w:r>
        <w:rPr>
          <w:rFonts w:ascii="Arial" w:cs="Arial" w:eastAsia="Arial" w:hAnsi="Arial"/>
          <w:sz w:val="22"/>
          <w:szCs w:val="22"/>
          <w:color w:val="auto"/>
        </w:rPr>
        <w:t>Final Working Capital Increase</w:t>
      </w:r>
    </w:p>
    <w:p>
      <w:pPr>
        <w:spacing w:after="0" w:line="231" w:lineRule="auto"/>
        <w:rPr>
          <w:sz w:val="20"/>
          <w:szCs w:val="20"/>
          <w:color w:val="auto"/>
        </w:rPr>
      </w:pPr>
      <w:r>
        <w:rPr>
          <w:rFonts w:ascii="Arial" w:cs="Arial" w:eastAsia="Arial" w:hAnsi="Arial"/>
          <w:sz w:val="22"/>
          <w:szCs w:val="22"/>
          <w:color w:val="auto"/>
        </w:rPr>
        <w:t>Financing</w:t>
      </w:r>
    </w:p>
    <w:p>
      <w:pPr>
        <w:spacing w:after="0"/>
        <w:rPr>
          <w:sz w:val="20"/>
          <w:szCs w:val="20"/>
          <w:color w:val="auto"/>
        </w:rPr>
      </w:pPr>
      <w:r>
        <w:rPr>
          <w:rFonts w:ascii="Arial" w:cs="Arial" w:eastAsia="Arial" w:hAnsi="Arial"/>
          <w:sz w:val="22"/>
          <w:szCs w:val="22"/>
          <w:color w:val="auto"/>
        </w:rPr>
        <w:t>General Survival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Section 2.1</w:t>
      </w:r>
    </w:p>
    <w:p>
      <w:pPr>
        <w:spacing w:after="0" w:line="238" w:lineRule="auto"/>
        <w:rPr>
          <w:sz w:val="20"/>
          <w:szCs w:val="20"/>
          <w:color w:val="auto"/>
        </w:rPr>
      </w:pPr>
      <w:r>
        <w:rPr>
          <w:rFonts w:ascii="Arial" w:cs="Arial" w:eastAsia="Arial" w:hAnsi="Arial"/>
          <w:sz w:val="22"/>
          <w:szCs w:val="22"/>
          <w:color w:val="auto"/>
        </w:rPr>
        <w:t>Section 1.2</w:t>
      </w:r>
    </w:p>
    <w:p>
      <w:pPr>
        <w:spacing w:after="0" w:line="230" w:lineRule="auto"/>
        <w:rPr>
          <w:sz w:val="20"/>
          <w:szCs w:val="20"/>
          <w:color w:val="auto"/>
        </w:rPr>
      </w:pPr>
      <w:r>
        <w:rPr>
          <w:rFonts w:ascii="Arial" w:cs="Arial" w:eastAsia="Arial" w:hAnsi="Arial"/>
          <w:sz w:val="22"/>
          <w:szCs w:val="22"/>
          <w:color w:val="auto"/>
        </w:rPr>
        <w:t>Section 2.1</w:t>
      </w:r>
    </w:p>
    <w:p>
      <w:pPr>
        <w:spacing w:after="0" w:line="231" w:lineRule="auto"/>
        <w:rPr>
          <w:sz w:val="20"/>
          <w:szCs w:val="20"/>
          <w:color w:val="auto"/>
        </w:rPr>
      </w:pPr>
      <w:r>
        <w:rPr>
          <w:rFonts w:ascii="Arial" w:cs="Arial" w:eastAsia="Arial" w:hAnsi="Arial"/>
          <w:sz w:val="22"/>
          <w:szCs w:val="22"/>
          <w:color w:val="auto"/>
        </w:rPr>
        <w:t>Section 1.3</w:t>
      </w:r>
    </w:p>
    <w:p>
      <w:pPr>
        <w:spacing w:after="0" w:line="230" w:lineRule="auto"/>
        <w:rPr>
          <w:sz w:val="20"/>
          <w:szCs w:val="20"/>
          <w:color w:val="auto"/>
        </w:rPr>
      </w:pPr>
      <w:r>
        <w:rPr>
          <w:rFonts w:ascii="Arial" w:cs="Arial" w:eastAsia="Arial" w:hAnsi="Arial"/>
          <w:sz w:val="22"/>
          <w:szCs w:val="22"/>
          <w:color w:val="auto"/>
        </w:rPr>
        <w:t>Section 1.4(b)</w:t>
      </w:r>
    </w:p>
    <w:p>
      <w:pPr>
        <w:spacing w:after="0" w:line="231" w:lineRule="auto"/>
        <w:rPr>
          <w:sz w:val="20"/>
          <w:szCs w:val="20"/>
          <w:color w:val="auto"/>
        </w:rPr>
      </w:pPr>
      <w:r>
        <w:rPr>
          <w:rFonts w:ascii="Arial" w:cs="Arial" w:eastAsia="Arial" w:hAnsi="Arial"/>
          <w:sz w:val="22"/>
          <w:szCs w:val="22"/>
          <w:color w:val="auto"/>
        </w:rPr>
        <w:t>Section 7.15</w:t>
      </w:r>
    </w:p>
    <w:p>
      <w:pPr>
        <w:spacing w:after="0" w:line="230" w:lineRule="auto"/>
        <w:rPr>
          <w:sz w:val="20"/>
          <w:szCs w:val="20"/>
          <w:color w:val="auto"/>
        </w:rPr>
      </w:pPr>
      <w:r>
        <w:rPr>
          <w:rFonts w:ascii="Arial" w:cs="Arial" w:eastAsia="Arial" w:hAnsi="Arial"/>
          <w:sz w:val="22"/>
          <w:szCs w:val="22"/>
          <w:color w:val="auto"/>
        </w:rPr>
        <w:t>Section 5.5</w:t>
      </w:r>
    </w:p>
    <w:p>
      <w:pPr>
        <w:spacing w:after="0" w:line="231" w:lineRule="auto"/>
        <w:rPr>
          <w:sz w:val="20"/>
          <w:szCs w:val="20"/>
          <w:color w:val="auto"/>
        </w:rPr>
      </w:pPr>
      <w:r>
        <w:rPr>
          <w:rFonts w:ascii="Arial" w:cs="Arial" w:eastAsia="Arial" w:hAnsi="Arial"/>
          <w:sz w:val="22"/>
          <w:szCs w:val="22"/>
          <w:color w:val="auto"/>
        </w:rPr>
        <w:t>Preamble</w:t>
      </w:r>
    </w:p>
    <w:p>
      <w:pPr>
        <w:spacing w:after="0" w:line="230" w:lineRule="auto"/>
        <w:rPr>
          <w:sz w:val="20"/>
          <w:szCs w:val="20"/>
          <w:color w:val="auto"/>
        </w:rPr>
      </w:pPr>
      <w:r>
        <w:rPr>
          <w:rFonts w:ascii="Arial" w:cs="Arial" w:eastAsia="Arial" w:hAnsi="Arial"/>
          <w:sz w:val="22"/>
          <w:szCs w:val="22"/>
          <w:color w:val="auto"/>
        </w:rPr>
        <w:t>Article III</w:t>
      </w:r>
    </w:p>
    <w:p>
      <w:pPr>
        <w:spacing w:after="0" w:line="231" w:lineRule="auto"/>
        <w:rPr>
          <w:sz w:val="20"/>
          <w:szCs w:val="20"/>
          <w:color w:val="auto"/>
        </w:rPr>
      </w:pPr>
      <w:r>
        <w:rPr>
          <w:rFonts w:ascii="Arial" w:cs="Arial" w:eastAsia="Arial" w:hAnsi="Arial"/>
          <w:sz w:val="22"/>
          <w:szCs w:val="22"/>
          <w:color w:val="auto"/>
        </w:rPr>
        <w:t>Section 3.4(a)</w:t>
      </w:r>
    </w:p>
    <w:p>
      <w:pPr>
        <w:spacing w:after="0" w:line="231" w:lineRule="auto"/>
        <w:rPr>
          <w:sz w:val="20"/>
          <w:szCs w:val="20"/>
          <w:color w:val="auto"/>
        </w:rPr>
      </w:pPr>
      <w:r>
        <w:rPr>
          <w:rFonts w:ascii="Arial" w:cs="Arial" w:eastAsia="Arial" w:hAnsi="Arial"/>
          <w:sz w:val="22"/>
          <w:szCs w:val="22"/>
          <w:color w:val="auto"/>
        </w:rPr>
        <w:t>Section 8.2(a)</w:t>
      </w:r>
    </w:p>
    <w:p>
      <w:pPr>
        <w:spacing w:after="0" w:line="230" w:lineRule="auto"/>
        <w:rPr>
          <w:sz w:val="20"/>
          <w:szCs w:val="20"/>
          <w:color w:val="auto"/>
        </w:rPr>
      </w:pPr>
      <w:r>
        <w:rPr>
          <w:rFonts w:ascii="Arial" w:cs="Arial" w:eastAsia="Arial" w:hAnsi="Arial"/>
          <w:sz w:val="22"/>
          <w:szCs w:val="22"/>
          <w:color w:val="auto"/>
        </w:rPr>
        <w:t>Section 7.3</w:t>
      </w:r>
    </w:p>
    <w:p>
      <w:pPr>
        <w:spacing w:after="0" w:line="231" w:lineRule="auto"/>
        <w:rPr>
          <w:sz w:val="20"/>
          <w:szCs w:val="20"/>
          <w:color w:val="auto"/>
        </w:rPr>
      </w:pPr>
      <w:r>
        <w:rPr>
          <w:rFonts w:ascii="Arial" w:cs="Arial" w:eastAsia="Arial" w:hAnsi="Arial"/>
          <w:sz w:val="22"/>
          <w:szCs w:val="22"/>
          <w:color w:val="auto"/>
        </w:rPr>
        <w:t>Section 11.17</w:t>
      </w:r>
    </w:p>
    <w:p>
      <w:pPr>
        <w:spacing w:after="0" w:line="230" w:lineRule="auto"/>
        <w:rPr>
          <w:sz w:val="20"/>
          <w:szCs w:val="20"/>
          <w:color w:val="auto"/>
        </w:rPr>
      </w:pPr>
      <w:r>
        <w:rPr>
          <w:rFonts w:ascii="Arial" w:cs="Arial" w:eastAsia="Arial" w:hAnsi="Arial"/>
          <w:sz w:val="22"/>
          <w:szCs w:val="22"/>
          <w:color w:val="auto"/>
        </w:rPr>
        <w:t>Section 7.15</w:t>
      </w:r>
    </w:p>
    <w:p>
      <w:pPr>
        <w:spacing w:after="0" w:line="231" w:lineRule="auto"/>
        <w:rPr>
          <w:sz w:val="20"/>
          <w:szCs w:val="20"/>
          <w:color w:val="auto"/>
        </w:rPr>
      </w:pPr>
      <w:r>
        <w:rPr>
          <w:rFonts w:ascii="Arial" w:cs="Arial" w:eastAsia="Arial" w:hAnsi="Arial"/>
          <w:sz w:val="22"/>
          <w:szCs w:val="22"/>
          <w:color w:val="auto"/>
        </w:rPr>
        <w:t>Section 5.5</w:t>
      </w:r>
    </w:p>
    <w:p>
      <w:pPr>
        <w:spacing w:after="0" w:line="230" w:lineRule="auto"/>
        <w:rPr>
          <w:sz w:val="20"/>
          <w:szCs w:val="20"/>
          <w:color w:val="auto"/>
        </w:rPr>
      </w:pPr>
      <w:r>
        <w:rPr>
          <w:rFonts w:ascii="Arial" w:cs="Arial" w:eastAsia="Arial" w:hAnsi="Arial"/>
          <w:sz w:val="22"/>
          <w:szCs w:val="22"/>
          <w:color w:val="auto"/>
        </w:rPr>
        <w:t>Section 10.3(a)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Section 1.4(d)(ii)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10.5(a)</w:t>
      </w:r>
    </w:p>
    <w:p>
      <w:pPr>
        <w:spacing w:after="0"/>
        <w:rPr>
          <w:sz w:val="20"/>
          <w:szCs w:val="20"/>
          <w:color w:val="auto"/>
        </w:rPr>
      </w:pPr>
      <w:r>
        <w:rPr>
          <w:rFonts w:ascii="Arial" w:cs="Arial" w:eastAsia="Arial" w:hAnsi="Arial"/>
          <w:sz w:val="21"/>
          <w:szCs w:val="21"/>
          <w:color w:val="auto"/>
        </w:rPr>
        <w:t>Section 1.4(c)(i)</w:t>
      </w:r>
    </w:p>
    <w:p>
      <w:pPr>
        <w:spacing w:after="0" w:line="231" w:lineRule="auto"/>
        <w:rPr>
          <w:sz w:val="20"/>
          <w:szCs w:val="20"/>
          <w:color w:val="auto"/>
        </w:rPr>
      </w:pPr>
      <w:r>
        <w:rPr>
          <w:rFonts w:ascii="Arial" w:cs="Arial" w:eastAsia="Arial" w:hAnsi="Arial"/>
          <w:sz w:val="22"/>
          <w:szCs w:val="22"/>
          <w:color w:val="auto"/>
        </w:rPr>
        <w:t>Section 7.8(a)</w:t>
      </w:r>
    </w:p>
    <w:p>
      <w:pPr>
        <w:spacing w:after="0" w:line="231" w:lineRule="auto"/>
        <w:rPr>
          <w:sz w:val="20"/>
          <w:szCs w:val="20"/>
          <w:color w:val="auto"/>
        </w:rPr>
      </w:pPr>
      <w:r>
        <w:rPr>
          <w:rFonts w:ascii="Arial" w:cs="Arial" w:eastAsia="Arial" w:hAnsi="Arial"/>
          <w:sz w:val="22"/>
          <w:szCs w:val="22"/>
          <w:color w:val="auto"/>
        </w:rPr>
        <w:t>Section 7.8(a)</w:t>
      </w:r>
    </w:p>
    <w:p>
      <w:pPr>
        <w:spacing w:after="0" w:line="231" w:lineRule="auto"/>
        <w:rPr>
          <w:sz w:val="20"/>
          <w:szCs w:val="20"/>
          <w:color w:val="auto"/>
        </w:rPr>
      </w:pPr>
      <w:r>
        <w:rPr>
          <w:rFonts w:ascii="Arial" w:cs="Arial" w:eastAsia="Arial" w:hAnsi="Arial"/>
          <w:sz w:val="22"/>
          <w:szCs w:val="22"/>
          <w:color w:val="auto"/>
        </w:rPr>
        <w:t>Section 7.8(a)</w:t>
      </w:r>
    </w:p>
    <w:p>
      <w:pPr>
        <w:spacing w:after="0" w:line="230" w:lineRule="auto"/>
        <w:rPr>
          <w:sz w:val="20"/>
          <w:szCs w:val="20"/>
          <w:color w:val="auto"/>
        </w:rPr>
      </w:pPr>
      <w:r>
        <w:rPr>
          <w:rFonts w:ascii="Arial" w:cs="Arial" w:eastAsia="Arial" w:hAnsi="Arial"/>
          <w:sz w:val="22"/>
          <w:szCs w:val="22"/>
          <w:color w:val="auto"/>
        </w:rPr>
        <w:t>Section 7.8(a)</w:t>
      </w:r>
    </w:p>
    <w:p>
      <w:pPr>
        <w:spacing w:after="0" w:line="231" w:lineRule="auto"/>
        <w:rPr>
          <w:sz w:val="20"/>
          <w:szCs w:val="20"/>
          <w:color w:val="auto"/>
        </w:rPr>
      </w:pPr>
      <w:r>
        <w:rPr>
          <w:rFonts w:ascii="Arial" w:cs="Arial" w:eastAsia="Arial" w:hAnsi="Arial"/>
          <w:sz w:val="22"/>
          <w:szCs w:val="22"/>
          <w:color w:val="auto"/>
        </w:rPr>
        <w:t>Section 7.8(a)</w:t>
      </w:r>
    </w:p>
    <w:p>
      <w:pPr>
        <w:spacing w:after="0" w:line="230" w:lineRule="auto"/>
        <w:rPr>
          <w:sz w:val="20"/>
          <w:szCs w:val="20"/>
          <w:color w:val="auto"/>
        </w:rPr>
      </w:pPr>
      <w:r>
        <w:rPr>
          <w:rFonts w:ascii="Arial" w:cs="Arial" w:eastAsia="Arial" w:hAnsi="Arial"/>
          <w:sz w:val="22"/>
          <w:szCs w:val="22"/>
          <w:color w:val="auto"/>
        </w:rPr>
        <w:t>Section 7.8(b)</w:t>
      </w:r>
    </w:p>
    <w:p>
      <w:pPr>
        <w:spacing w:after="0" w:line="231" w:lineRule="auto"/>
        <w:rPr>
          <w:sz w:val="20"/>
          <w:szCs w:val="20"/>
          <w:color w:val="auto"/>
        </w:rPr>
      </w:pPr>
      <w:r>
        <w:rPr>
          <w:rFonts w:ascii="Arial" w:cs="Arial" w:eastAsia="Arial" w:hAnsi="Arial"/>
          <w:sz w:val="22"/>
          <w:szCs w:val="22"/>
          <w:color w:val="auto"/>
        </w:rPr>
        <w:t>Section 3.13(h)</w:t>
      </w:r>
    </w:p>
    <w:p>
      <w:pPr>
        <w:spacing w:after="0" w:line="230" w:lineRule="auto"/>
        <w:rPr>
          <w:sz w:val="20"/>
          <w:szCs w:val="20"/>
          <w:color w:val="auto"/>
        </w:rPr>
      </w:pPr>
      <w:r>
        <w:rPr>
          <w:rFonts w:ascii="Arial" w:cs="Arial" w:eastAsia="Arial" w:hAnsi="Arial"/>
          <w:sz w:val="22"/>
          <w:szCs w:val="22"/>
          <w:color w:val="auto"/>
        </w:rPr>
        <w:t>Section 7.7(f)</w:t>
      </w:r>
    </w:p>
    <w:p>
      <w:pPr>
        <w:spacing w:after="0" w:line="231" w:lineRule="auto"/>
        <w:rPr>
          <w:sz w:val="20"/>
          <w:szCs w:val="20"/>
          <w:color w:val="auto"/>
        </w:rPr>
      </w:pPr>
      <w:r>
        <w:rPr>
          <w:rFonts w:ascii="Arial" w:cs="Arial" w:eastAsia="Arial" w:hAnsi="Arial"/>
          <w:sz w:val="22"/>
          <w:szCs w:val="22"/>
          <w:color w:val="auto"/>
        </w:rPr>
        <w:t>Section 11.22</w:t>
      </w:r>
    </w:p>
    <w:p>
      <w:pPr>
        <w:spacing w:after="0" w:line="230" w:lineRule="auto"/>
        <w:rPr>
          <w:sz w:val="20"/>
          <w:szCs w:val="20"/>
          <w:color w:val="auto"/>
        </w:rPr>
      </w:pPr>
      <w:r>
        <w:rPr>
          <w:rFonts w:ascii="Arial" w:cs="Arial" w:eastAsia="Arial" w:hAnsi="Arial"/>
          <w:sz w:val="22"/>
          <w:szCs w:val="22"/>
          <w:color w:val="auto"/>
        </w:rPr>
        <w:t>Section 3.11(a)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Section 1.3(a)(ii)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1.4(a)</w:t>
      </w:r>
    </w:p>
    <w:p>
      <w:pPr>
        <w:spacing w:after="0" w:line="230" w:lineRule="auto"/>
        <w:rPr>
          <w:sz w:val="20"/>
          <w:szCs w:val="20"/>
          <w:color w:val="auto"/>
        </w:rPr>
      </w:pPr>
      <w:r>
        <w:rPr>
          <w:rFonts w:ascii="Arial" w:cs="Arial" w:eastAsia="Arial" w:hAnsi="Arial"/>
          <w:sz w:val="22"/>
          <w:szCs w:val="22"/>
          <w:color w:val="auto"/>
        </w:rPr>
        <w:t>Section 1.4(a)</w:t>
      </w:r>
    </w:p>
    <w:p>
      <w:pPr>
        <w:spacing w:after="0" w:line="231" w:lineRule="auto"/>
        <w:rPr>
          <w:sz w:val="20"/>
          <w:szCs w:val="20"/>
          <w:color w:val="auto"/>
        </w:rPr>
      </w:pPr>
      <w:r>
        <w:rPr>
          <w:rFonts w:ascii="Arial" w:cs="Arial" w:eastAsia="Arial" w:hAnsi="Arial"/>
          <w:sz w:val="22"/>
          <w:szCs w:val="22"/>
          <w:color w:val="auto"/>
        </w:rPr>
        <w:t>Section 1.2</w:t>
      </w:r>
    </w:p>
    <w:p>
      <w:pPr>
        <w:spacing w:after="0" w:line="230" w:lineRule="auto"/>
        <w:rPr>
          <w:sz w:val="20"/>
          <w:szCs w:val="20"/>
          <w:color w:val="auto"/>
        </w:rPr>
      </w:pPr>
      <w:r>
        <w:rPr>
          <w:rFonts w:ascii="Arial" w:cs="Arial" w:eastAsia="Arial" w:hAnsi="Arial"/>
          <w:sz w:val="22"/>
          <w:szCs w:val="22"/>
          <w:color w:val="auto"/>
        </w:rPr>
        <w:t>Section 1.4(a)</w:t>
      </w:r>
    </w:p>
    <w:p>
      <w:pPr>
        <w:spacing w:after="0" w:line="231" w:lineRule="auto"/>
        <w:rPr>
          <w:sz w:val="20"/>
          <w:szCs w:val="20"/>
          <w:color w:val="auto"/>
        </w:rPr>
      </w:pPr>
      <w:r>
        <w:rPr>
          <w:rFonts w:ascii="Arial" w:cs="Arial" w:eastAsia="Arial" w:hAnsi="Arial"/>
          <w:sz w:val="22"/>
          <w:szCs w:val="22"/>
          <w:color w:val="auto"/>
        </w:rPr>
        <w:t>Section 1.4(a)</w:t>
      </w:r>
    </w:p>
    <w:p>
      <w:pPr>
        <w:spacing w:after="0" w:line="230" w:lineRule="auto"/>
        <w:rPr>
          <w:sz w:val="20"/>
          <w:szCs w:val="20"/>
          <w:color w:val="auto"/>
        </w:rPr>
      </w:pPr>
      <w:r>
        <w:rPr>
          <w:rFonts w:ascii="Arial" w:cs="Arial" w:eastAsia="Arial" w:hAnsi="Arial"/>
          <w:sz w:val="22"/>
          <w:szCs w:val="22"/>
          <w:color w:val="auto"/>
        </w:rPr>
        <w:t>Section 10.3(c)</w:t>
      </w:r>
    </w:p>
    <w:p>
      <w:pPr>
        <w:spacing w:after="0" w:line="231" w:lineRule="auto"/>
        <w:rPr>
          <w:sz w:val="20"/>
          <w:szCs w:val="20"/>
          <w:color w:val="auto"/>
        </w:rPr>
      </w:pPr>
      <w:r>
        <w:rPr>
          <w:rFonts w:ascii="Arial" w:cs="Arial" w:eastAsia="Arial" w:hAnsi="Arial"/>
          <w:sz w:val="22"/>
          <w:szCs w:val="22"/>
          <w:color w:val="auto"/>
        </w:rPr>
        <w:t>Section 4.5(c)</w:t>
      </w:r>
    </w:p>
    <w:p>
      <w:pPr>
        <w:spacing w:after="0" w:line="230" w:lineRule="auto"/>
        <w:rPr>
          <w:sz w:val="20"/>
          <w:szCs w:val="20"/>
          <w:color w:val="auto"/>
        </w:rPr>
      </w:pPr>
      <w:r>
        <w:rPr>
          <w:rFonts w:ascii="Arial" w:cs="Arial" w:eastAsia="Arial" w:hAnsi="Arial"/>
          <w:sz w:val="22"/>
          <w:szCs w:val="22"/>
          <w:color w:val="auto"/>
        </w:rPr>
        <w:t>Section 3.13(e)</w:t>
      </w:r>
    </w:p>
    <w:p>
      <w:pPr>
        <w:spacing w:after="0" w:line="231" w:lineRule="auto"/>
        <w:rPr>
          <w:sz w:val="20"/>
          <w:szCs w:val="20"/>
          <w:color w:val="auto"/>
        </w:rPr>
      </w:pPr>
      <w:r>
        <w:rPr>
          <w:rFonts w:ascii="Arial" w:cs="Arial" w:eastAsia="Arial" w:hAnsi="Arial"/>
          <w:sz w:val="22"/>
          <w:szCs w:val="22"/>
          <w:color w:val="auto"/>
        </w:rPr>
        <w:t>Section 1.4(d)</w:t>
      </w:r>
    </w:p>
    <w:p>
      <w:pPr>
        <w:spacing w:after="0" w:line="230" w:lineRule="auto"/>
        <w:rPr>
          <w:sz w:val="20"/>
          <w:szCs w:val="20"/>
          <w:color w:val="auto"/>
        </w:rPr>
      </w:pPr>
      <w:r>
        <w:rPr>
          <w:rFonts w:ascii="Arial" w:cs="Arial" w:eastAsia="Arial" w:hAnsi="Arial"/>
          <w:sz w:val="22"/>
          <w:szCs w:val="22"/>
          <w:color w:val="auto"/>
        </w:rPr>
        <w:t>Section 1.4(d)</w:t>
      </w:r>
    </w:p>
    <w:p>
      <w:pPr>
        <w:spacing w:after="0" w:line="231" w:lineRule="auto"/>
        <w:rPr>
          <w:sz w:val="20"/>
          <w:szCs w:val="20"/>
          <w:color w:val="auto"/>
        </w:rPr>
      </w:pPr>
      <w:r>
        <w:rPr>
          <w:rFonts w:ascii="Arial" w:cs="Arial" w:eastAsia="Arial" w:hAnsi="Arial"/>
          <w:sz w:val="22"/>
          <w:szCs w:val="22"/>
          <w:color w:val="auto"/>
        </w:rPr>
        <w:t>Section 1.4(d)</w:t>
      </w:r>
    </w:p>
    <w:p>
      <w:pPr>
        <w:spacing w:after="0" w:line="230" w:lineRule="auto"/>
        <w:rPr>
          <w:sz w:val="20"/>
          <w:szCs w:val="20"/>
          <w:color w:val="auto"/>
        </w:rPr>
      </w:pPr>
      <w:r>
        <w:rPr>
          <w:rFonts w:ascii="Arial" w:cs="Arial" w:eastAsia="Arial" w:hAnsi="Arial"/>
          <w:sz w:val="22"/>
          <w:szCs w:val="22"/>
          <w:color w:val="auto"/>
        </w:rPr>
        <w:t>Section 1.4(d)</w:t>
      </w:r>
    </w:p>
    <w:p>
      <w:pPr>
        <w:spacing w:after="0" w:line="231" w:lineRule="auto"/>
        <w:rPr>
          <w:sz w:val="20"/>
          <w:szCs w:val="20"/>
          <w:color w:val="auto"/>
        </w:rPr>
      </w:pPr>
      <w:r>
        <w:rPr>
          <w:rFonts w:ascii="Arial" w:cs="Arial" w:eastAsia="Arial" w:hAnsi="Arial"/>
          <w:sz w:val="22"/>
          <w:szCs w:val="22"/>
          <w:color w:val="auto"/>
        </w:rPr>
        <w:t>Section 1.4(d)</w:t>
      </w:r>
    </w:p>
    <w:p>
      <w:pPr>
        <w:spacing w:after="0" w:line="231" w:lineRule="auto"/>
        <w:rPr>
          <w:sz w:val="20"/>
          <w:szCs w:val="20"/>
          <w:color w:val="auto"/>
        </w:rPr>
      </w:pPr>
      <w:r>
        <w:rPr>
          <w:rFonts w:ascii="Arial" w:cs="Arial" w:eastAsia="Arial" w:hAnsi="Arial"/>
          <w:sz w:val="22"/>
          <w:szCs w:val="22"/>
          <w:color w:val="auto"/>
        </w:rPr>
        <w:t>Section 1.4(d)</w:t>
      </w:r>
    </w:p>
    <w:p>
      <w:pPr>
        <w:spacing w:after="0" w:line="230" w:lineRule="auto"/>
        <w:rPr>
          <w:sz w:val="20"/>
          <w:szCs w:val="20"/>
          <w:color w:val="auto"/>
        </w:rPr>
      </w:pPr>
      <w:r>
        <w:rPr>
          <w:rFonts w:ascii="Arial" w:cs="Arial" w:eastAsia="Arial" w:hAnsi="Arial"/>
          <w:sz w:val="22"/>
          <w:szCs w:val="22"/>
          <w:color w:val="auto"/>
        </w:rPr>
        <w:t>Section 5.5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Section 10.1</w:t>
      </w:r>
    </w:p>
    <w:p>
      <w:pPr>
        <w:spacing w:after="0" w:line="200" w:lineRule="exact"/>
        <w:rPr>
          <w:sz w:val="20"/>
          <w:szCs w:val="20"/>
          <w:color w:val="auto"/>
        </w:rPr>
      </w:pPr>
    </w:p>
    <w:p>
      <w:pPr>
        <w:sectPr>
          <w:pgSz w:w="11900" w:h="16838" w:orient="portrait"/>
          <w:cols w:equalWidth="0" w:num="2">
            <w:col w:w="6300" w:space="720"/>
            <w:col w:w="2459"/>
          </w:cols>
          <w:pgMar w:left="9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526415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31" w:right="1440"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22"/>
          <w:szCs w:val="22"/>
          <w:color w:val="auto"/>
        </w:rPr>
        <w:t>Governmental Approval</w:t>
      </w:r>
    </w:p>
    <w:p>
      <w:pPr>
        <w:spacing w:after="0" w:line="238" w:lineRule="auto"/>
        <w:rPr>
          <w:sz w:val="20"/>
          <w:szCs w:val="20"/>
          <w:color w:val="auto"/>
        </w:rPr>
      </w:pPr>
      <w:r>
        <w:rPr>
          <w:rFonts w:ascii="Arial" w:cs="Arial" w:eastAsia="Arial" w:hAnsi="Arial"/>
          <w:sz w:val="22"/>
          <w:szCs w:val="22"/>
          <w:color w:val="auto"/>
        </w:rPr>
        <w:t>Government Testing Grounds</w:t>
      </w:r>
    </w:p>
    <w:p>
      <w:pPr>
        <w:spacing w:after="0" w:line="230" w:lineRule="auto"/>
        <w:rPr>
          <w:sz w:val="20"/>
          <w:szCs w:val="20"/>
          <w:color w:val="auto"/>
        </w:rPr>
      </w:pPr>
      <w:r>
        <w:rPr>
          <w:rFonts w:ascii="Arial" w:cs="Arial" w:eastAsia="Arial" w:hAnsi="Arial"/>
          <w:sz w:val="22"/>
          <w:szCs w:val="22"/>
          <w:color w:val="auto"/>
        </w:rPr>
        <w:t>Guaranteed Obligations</w:t>
      </w:r>
    </w:p>
    <w:p>
      <w:pPr>
        <w:spacing w:after="0" w:line="231" w:lineRule="auto"/>
        <w:rPr>
          <w:sz w:val="20"/>
          <w:szCs w:val="20"/>
          <w:color w:val="auto"/>
        </w:rPr>
      </w:pPr>
      <w:r>
        <w:rPr>
          <w:rFonts w:ascii="Arial" w:cs="Arial" w:eastAsia="Arial" w:hAnsi="Arial"/>
          <w:sz w:val="22"/>
          <w:szCs w:val="22"/>
          <w:color w:val="auto"/>
        </w:rPr>
        <w:t>Honored Agreements</w:t>
      </w:r>
    </w:p>
    <w:p>
      <w:pPr>
        <w:spacing w:after="0" w:line="230" w:lineRule="auto"/>
        <w:rPr>
          <w:sz w:val="20"/>
          <w:szCs w:val="20"/>
          <w:color w:val="auto"/>
        </w:rPr>
      </w:pPr>
      <w:r>
        <w:rPr>
          <w:rFonts w:ascii="Arial" w:cs="Arial" w:eastAsia="Arial" w:hAnsi="Arial"/>
          <w:sz w:val="22"/>
          <w:szCs w:val="22"/>
          <w:color w:val="auto"/>
        </w:rPr>
        <w:t>Indemnitee</w:t>
      </w:r>
    </w:p>
    <w:p>
      <w:pPr>
        <w:spacing w:after="0" w:line="231" w:lineRule="auto"/>
        <w:rPr>
          <w:sz w:val="20"/>
          <w:szCs w:val="20"/>
          <w:color w:val="auto"/>
        </w:rPr>
      </w:pPr>
      <w:r>
        <w:rPr>
          <w:rFonts w:ascii="Arial" w:cs="Arial" w:eastAsia="Arial" w:hAnsi="Arial"/>
          <w:sz w:val="22"/>
          <w:szCs w:val="22"/>
          <w:color w:val="auto"/>
        </w:rPr>
        <w:t>Indemnitor</w:t>
      </w:r>
    </w:p>
    <w:p>
      <w:pPr>
        <w:spacing w:after="0"/>
        <w:rPr>
          <w:sz w:val="20"/>
          <w:szCs w:val="20"/>
          <w:color w:val="auto"/>
        </w:rPr>
      </w:pPr>
      <w:r>
        <w:rPr>
          <w:rFonts w:ascii="Arial" w:cs="Arial" w:eastAsia="Arial" w:hAnsi="Arial"/>
          <w:sz w:val="21"/>
          <w:szCs w:val="21"/>
          <w:color w:val="auto"/>
        </w:rPr>
        <w:t>Initial Indemnity Release Amount</w:t>
      </w:r>
    </w:p>
    <w:p>
      <w:pPr>
        <w:spacing w:after="0" w:line="231" w:lineRule="auto"/>
        <w:rPr>
          <w:sz w:val="20"/>
          <w:szCs w:val="20"/>
          <w:color w:val="auto"/>
        </w:rPr>
      </w:pPr>
      <w:r>
        <w:rPr>
          <w:rFonts w:ascii="Arial" w:cs="Arial" w:eastAsia="Arial" w:hAnsi="Arial"/>
          <w:sz w:val="22"/>
          <w:szCs w:val="22"/>
          <w:color w:val="auto"/>
        </w:rPr>
        <w:t>Insurance Contract(s)</w:t>
      </w:r>
    </w:p>
    <w:p>
      <w:pPr>
        <w:spacing w:after="0" w:line="231" w:lineRule="auto"/>
        <w:rPr>
          <w:sz w:val="20"/>
          <w:szCs w:val="20"/>
          <w:color w:val="auto"/>
        </w:rPr>
      </w:pPr>
      <w:r>
        <w:rPr>
          <w:rFonts w:ascii="Arial" w:cs="Arial" w:eastAsia="Arial" w:hAnsi="Arial"/>
          <w:sz w:val="22"/>
          <w:szCs w:val="22"/>
          <w:color w:val="auto"/>
        </w:rPr>
        <w:t>ITAR</w:t>
      </w:r>
    </w:p>
    <w:p>
      <w:pPr>
        <w:spacing w:after="0" w:line="231" w:lineRule="auto"/>
        <w:rPr>
          <w:sz w:val="20"/>
          <w:szCs w:val="20"/>
          <w:color w:val="auto"/>
        </w:rPr>
      </w:pPr>
      <w:r>
        <w:rPr>
          <w:rFonts w:ascii="Arial" w:cs="Arial" w:eastAsia="Arial" w:hAnsi="Arial"/>
          <w:sz w:val="22"/>
          <w:szCs w:val="22"/>
          <w:color w:val="auto"/>
        </w:rPr>
        <w:t>Leased Real Property</w:t>
      </w:r>
    </w:p>
    <w:p>
      <w:pPr>
        <w:spacing w:after="0" w:line="230" w:lineRule="auto"/>
        <w:rPr>
          <w:sz w:val="20"/>
          <w:szCs w:val="20"/>
          <w:color w:val="auto"/>
        </w:rPr>
      </w:pPr>
      <w:r>
        <w:rPr>
          <w:rFonts w:ascii="Arial" w:cs="Arial" w:eastAsia="Arial" w:hAnsi="Arial"/>
          <w:sz w:val="22"/>
          <w:szCs w:val="22"/>
          <w:color w:val="auto"/>
        </w:rPr>
        <w:t>Litigation</w:t>
      </w:r>
    </w:p>
    <w:p>
      <w:pPr>
        <w:spacing w:after="0" w:line="231" w:lineRule="auto"/>
        <w:rPr>
          <w:sz w:val="20"/>
          <w:szCs w:val="20"/>
          <w:color w:val="auto"/>
        </w:rPr>
      </w:pPr>
      <w:r>
        <w:rPr>
          <w:rFonts w:ascii="Arial" w:cs="Arial" w:eastAsia="Arial" w:hAnsi="Arial"/>
          <w:sz w:val="22"/>
          <w:szCs w:val="22"/>
          <w:color w:val="auto"/>
        </w:rPr>
        <w:t>Lock-Up Restriction</w:t>
      </w:r>
    </w:p>
    <w:p>
      <w:pPr>
        <w:spacing w:after="0" w:line="230" w:lineRule="auto"/>
        <w:rPr>
          <w:sz w:val="20"/>
          <w:szCs w:val="20"/>
          <w:color w:val="auto"/>
        </w:rPr>
      </w:pPr>
      <w:r>
        <w:rPr>
          <w:rFonts w:ascii="Arial" w:cs="Arial" w:eastAsia="Arial" w:hAnsi="Arial"/>
          <w:sz w:val="22"/>
          <w:szCs w:val="22"/>
          <w:color w:val="auto"/>
        </w:rPr>
        <w:t>Material Contracts</w:t>
      </w:r>
    </w:p>
    <w:p>
      <w:pPr>
        <w:spacing w:after="0" w:line="231" w:lineRule="auto"/>
        <w:rPr>
          <w:sz w:val="20"/>
          <w:szCs w:val="20"/>
          <w:color w:val="auto"/>
        </w:rPr>
      </w:pPr>
      <w:r>
        <w:rPr>
          <w:rFonts w:ascii="Arial" w:cs="Arial" w:eastAsia="Arial" w:hAnsi="Arial"/>
          <w:sz w:val="22"/>
          <w:szCs w:val="22"/>
          <w:color w:val="auto"/>
        </w:rPr>
        <w:t>Material Customers</w:t>
      </w:r>
    </w:p>
    <w:p>
      <w:pPr>
        <w:spacing w:after="0" w:line="230" w:lineRule="auto"/>
        <w:rPr>
          <w:sz w:val="20"/>
          <w:szCs w:val="20"/>
          <w:color w:val="auto"/>
        </w:rPr>
      </w:pPr>
      <w:r>
        <w:rPr>
          <w:rFonts w:ascii="Arial" w:cs="Arial" w:eastAsia="Arial" w:hAnsi="Arial"/>
          <w:sz w:val="22"/>
          <w:szCs w:val="22"/>
          <w:color w:val="auto"/>
        </w:rPr>
        <w:t>Material Vendors</w:t>
      </w:r>
    </w:p>
    <w:p>
      <w:pPr>
        <w:spacing w:after="0" w:line="231" w:lineRule="auto"/>
        <w:rPr>
          <w:sz w:val="20"/>
          <w:szCs w:val="20"/>
          <w:color w:val="auto"/>
        </w:rPr>
      </w:pPr>
      <w:r>
        <w:rPr>
          <w:rFonts w:ascii="Arial" w:cs="Arial" w:eastAsia="Arial" w:hAnsi="Arial"/>
          <w:sz w:val="22"/>
          <w:szCs w:val="22"/>
          <w:color w:val="auto"/>
        </w:rPr>
        <w:t>New Plans</w:t>
      </w:r>
    </w:p>
    <w:p>
      <w:pPr>
        <w:spacing w:after="0" w:line="230" w:lineRule="auto"/>
        <w:rPr>
          <w:sz w:val="20"/>
          <w:szCs w:val="20"/>
          <w:color w:val="auto"/>
        </w:rPr>
      </w:pPr>
      <w:r>
        <w:rPr>
          <w:rFonts w:ascii="Arial" w:cs="Arial" w:eastAsia="Arial" w:hAnsi="Arial"/>
          <w:sz w:val="22"/>
          <w:szCs w:val="22"/>
          <w:color w:val="auto"/>
        </w:rPr>
        <w:t>NISPOM</w:t>
      </w:r>
    </w:p>
    <w:p>
      <w:pPr>
        <w:spacing w:after="0" w:line="231" w:lineRule="auto"/>
        <w:rPr>
          <w:sz w:val="20"/>
          <w:szCs w:val="20"/>
          <w:color w:val="auto"/>
        </w:rPr>
      </w:pPr>
      <w:r>
        <w:rPr>
          <w:rFonts w:ascii="Arial" w:cs="Arial" w:eastAsia="Arial" w:hAnsi="Arial"/>
          <w:sz w:val="22"/>
          <w:szCs w:val="22"/>
          <w:color w:val="auto"/>
        </w:rPr>
        <w:t>NOL</w:t>
      </w:r>
    </w:p>
    <w:p>
      <w:pPr>
        <w:spacing w:after="0" w:line="230" w:lineRule="auto"/>
        <w:rPr>
          <w:sz w:val="20"/>
          <w:szCs w:val="20"/>
          <w:color w:val="auto"/>
        </w:rPr>
      </w:pPr>
      <w:r>
        <w:rPr>
          <w:rFonts w:ascii="Arial" w:cs="Arial" w:eastAsia="Arial" w:hAnsi="Arial"/>
          <w:sz w:val="22"/>
          <w:szCs w:val="22"/>
          <w:color w:val="auto"/>
        </w:rPr>
        <w:t>Non-Party Affiliates</w:t>
      </w:r>
    </w:p>
    <w:p>
      <w:pPr>
        <w:spacing w:after="0" w:line="231" w:lineRule="auto"/>
        <w:rPr>
          <w:sz w:val="20"/>
          <w:szCs w:val="20"/>
          <w:color w:val="auto"/>
        </w:rPr>
      </w:pPr>
      <w:r>
        <w:rPr>
          <w:rFonts w:ascii="Arial" w:cs="Arial" w:eastAsia="Arial" w:hAnsi="Arial"/>
          <w:sz w:val="22"/>
          <w:szCs w:val="22"/>
          <w:color w:val="auto"/>
        </w:rPr>
        <w:t>Outside Date</w:t>
      </w:r>
    </w:p>
    <w:p>
      <w:pPr>
        <w:spacing w:after="0" w:line="231" w:lineRule="auto"/>
        <w:rPr>
          <w:sz w:val="20"/>
          <w:szCs w:val="20"/>
          <w:color w:val="auto"/>
        </w:rPr>
      </w:pPr>
      <w:r>
        <w:rPr>
          <w:rFonts w:ascii="Arial" w:cs="Arial" w:eastAsia="Arial" w:hAnsi="Arial"/>
          <w:sz w:val="22"/>
          <w:szCs w:val="22"/>
          <w:color w:val="auto"/>
        </w:rPr>
        <w:t>Outstanding Claim</w:t>
      </w:r>
    </w:p>
    <w:p>
      <w:pPr>
        <w:spacing w:after="0" w:line="230" w:lineRule="auto"/>
        <w:rPr>
          <w:sz w:val="20"/>
          <w:szCs w:val="20"/>
          <w:color w:val="auto"/>
        </w:rPr>
      </w:pPr>
      <w:r>
        <w:rPr>
          <w:rFonts w:ascii="Arial" w:cs="Arial" w:eastAsia="Arial" w:hAnsi="Arial"/>
          <w:sz w:val="22"/>
          <w:szCs w:val="22"/>
          <w:color w:val="auto"/>
        </w:rPr>
        <w:t>Party(ies)</w:t>
      </w:r>
    </w:p>
    <w:p>
      <w:pPr>
        <w:spacing w:after="0" w:line="231" w:lineRule="auto"/>
        <w:rPr>
          <w:sz w:val="20"/>
          <w:szCs w:val="20"/>
          <w:color w:val="auto"/>
        </w:rPr>
      </w:pPr>
      <w:r>
        <w:rPr>
          <w:rFonts w:ascii="Arial" w:cs="Arial" w:eastAsia="Arial" w:hAnsi="Arial"/>
          <w:sz w:val="22"/>
          <w:szCs w:val="22"/>
          <w:color w:val="auto"/>
        </w:rPr>
        <w:t>Pay-Off Letters</w:t>
      </w:r>
    </w:p>
    <w:p>
      <w:pPr>
        <w:spacing w:after="0" w:line="230" w:lineRule="auto"/>
        <w:rPr>
          <w:sz w:val="20"/>
          <w:szCs w:val="20"/>
          <w:color w:val="auto"/>
        </w:rPr>
      </w:pPr>
      <w:r>
        <w:rPr>
          <w:rFonts w:ascii="Arial" w:cs="Arial" w:eastAsia="Arial" w:hAnsi="Arial"/>
          <w:sz w:val="22"/>
          <w:szCs w:val="22"/>
          <w:color w:val="auto"/>
        </w:rPr>
        <w:t>PDF</w:t>
      </w:r>
    </w:p>
    <w:p>
      <w:pPr>
        <w:spacing w:after="0" w:line="231" w:lineRule="auto"/>
        <w:rPr>
          <w:sz w:val="20"/>
          <w:szCs w:val="20"/>
          <w:color w:val="auto"/>
        </w:rPr>
      </w:pPr>
      <w:r>
        <w:rPr>
          <w:rFonts w:ascii="Arial" w:cs="Arial" w:eastAsia="Arial" w:hAnsi="Arial"/>
          <w:sz w:val="22"/>
          <w:szCs w:val="22"/>
          <w:color w:val="auto"/>
        </w:rPr>
        <w:t>Pre-Closing Statement</w:t>
      </w:r>
    </w:p>
    <w:p>
      <w:pPr>
        <w:spacing w:after="0" w:line="230" w:lineRule="auto"/>
        <w:rPr>
          <w:sz w:val="20"/>
          <w:szCs w:val="20"/>
          <w:color w:val="auto"/>
        </w:rPr>
      </w:pPr>
      <w:r>
        <w:rPr>
          <w:rFonts w:ascii="Arial" w:cs="Arial" w:eastAsia="Arial" w:hAnsi="Arial"/>
          <w:sz w:val="22"/>
          <w:szCs w:val="22"/>
          <w:color w:val="auto"/>
        </w:rPr>
        <w:t>Pre-Closing Tax Contest</w:t>
      </w:r>
    </w:p>
    <w:p>
      <w:pPr>
        <w:spacing w:after="0" w:line="231" w:lineRule="auto"/>
        <w:rPr>
          <w:sz w:val="20"/>
          <w:szCs w:val="20"/>
          <w:color w:val="auto"/>
        </w:rPr>
      </w:pPr>
      <w:r>
        <w:rPr>
          <w:rFonts w:ascii="Arial" w:cs="Arial" w:eastAsia="Arial" w:hAnsi="Arial"/>
          <w:sz w:val="22"/>
          <w:szCs w:val="22"/>
          <w:color w:val="auto"/>
        </w:rPr>
        <w:t>Public Reports</w:t>
      </w:r>
    </w:p>
    <w:p>
      <w:pPr>
        <w:spacing w:after="0" w:line="230" w:lineRule="auto"/>
        <w:rPr>
          <w:sz w:val="20"/>
          <w:szCs w:val="20"/>
          <w:color w:val="auto"/>
        </w:rPr>
      </w:pPr>
      <w:r>
        <w:rPr>
          <w:rFonts w:ascii="Arial" w:cs="Arial" w:eastAsia="Arial" w:hAnsi="Arial"/>
          <w:sz w:val="22"/>
          <w:szCs w:val="22"/>
          <w:color w:val="auto"/>
        </w:rPr>
        <w:t>Purchaser 401(k) Plan</w:t>
      </w:r>
    </w:p>
    <w:p>
      <w:pPr>
        <w:spacing w:after="0" w:line="231" w:lineRule="auto"/>
        <w:rPr>
          <w:sz w:val="20"/>
          <w:szCs w:val="20"/>
          <w:color w:val="auto"/>
        </w:rPr>
      </w:pPr>
      <w:r>
        <w:rPr>
          <w:rFonts w:ascii="Arial" w:cs="Arial" w:eastAsia="Arial" w:hAnsi="Arial"/>
          <w:sz w:val="22"/>
          <w:szCs w:val="22"/>
          <w:color w:val="auto"/>
        </w:rPr>
        <w:t>Purchase Price</w:t>
      </w:r>
    </w:p>
    <w:p>
      <w:pPr>
        <w:spacing w:after="0" w:line="230" w:lineRule="auto"/>
        <w:rPr>
          <w:sz w:val="20"/>
          <w:szCs w:val="20"/>
          <w:color w:val="auto"/>
        </w:rPr>
      </w:pPr>
      <w:r>
        <w:rPr>
          <w:rFonts w:ascii="Arial" w:cs="Arial" w:eastAsia="Arial" w:hAnsi="Arial"/>
          <w:sz w:val="22"/>
          <w:szCs w:val="22"/>
          <w:color w:val="auto"/>
        </w:rPr>
        <w:t>Purchaser</w:t>
      </w:r>
    </w:p>
    <w:p>
      <w:pPr>
        <w:spacing w:after="0" w:line="231" w:lineRule="auto"/>
        <w:rPr>
          <w:sz w:val="20"/>
          <w:szCs w:val="20"/>
          <w:color w:val="auto"/>
        </w:rPr>
      </w:pPr>
      <w:r>
        <w:rPr>
          <w:rFonts w:ascii="Arial" w:cs="Arial" w:eastAsia="Arial" w:hAnsi="Arial"/>
          <w:sz w:val="22"/>
          <w:szCs w:val="22"/>
          <w:color w:val="auto"/>
        </w:rPr>
        <w:t>Purchaser Indemnified Parties</w:t>
      </w:r>
    </w:p>
    <w:p>
      <w:pPr>
        <w:spacing w:after="0" w:line="231" w:lineRule="auto"/>
        <w:rPr>
          <w:sz w:val="20"/>
          <w:szCs w:val="20"/>
          <w:color w:val="auto"/>
        </w:rPr>
      </w:pPr>
      <w:r>
        <w:rPr>
          <w:rFonts w:ascii="Arial" w:cs="Arial" w:eastAsia="Arial" w:hAnsi="Arial"/>
          <w:sz w:val="22"/>
          <w:szCs w:val="22"/>
          <w:color w:val="auto"/>
        </w:rPr>
        <w:t>Purchaser Shares</w:t>
      </w:r>
    </w:p>
    <w:p>
      <w:pPr>
        <w:spacing w:after="0" w:line="230" w:lineRule="auto"/>
        <w:rPr>
          <w:sz w:val="20"/>
          <w:szCs w:val="20"/>
          <w:color w:val="auto"/>
        </w:rPr>
      </w:pPr>
      <w:r>
        <w:rPr>
          <w:rFonts w:ascii="Arial" w:cs="Arial" w:eastAsia="Arial" w:hAnsi="Arial"/>
          <w:sz w:val="22"/>
          <w:szCs w:val="22"/>
          <w:color w:val="auto"/>
        </w:rPr>
        <w:t>Real Property Lease</w:t>
      </w:r>
    </w:p>
    <w:p>
      <w:pPr>
        <w:spacing w:after="0" w:line="231" w:lineRule="auto"/>
        <w:rPr>
          <w:sz w:val="20"/>
          <w:szCs w:val="20"/>
          <w:color w:val="auto"/>
        </w:rPr>
      </w:pPr>
      <w:r>
        <w:rPr>
          <w:rFonts w:ascii="Arial" w:cs="Arial" w:eastAsia="Arial" w:hAnsi="Arial"/>
          <w:sz w:val="22"/>
          <w:szCs w:val="22"/>
          <w:color w:val="auto"/>
        </w:rPr>
        <w:t>Registered Intellectual Property</w:t>
      </w:r>
    </w:p>
    <w:p>
      <w:pPr>
        <w:spacing w:after="0" w:line="230" w:lineRule="auto"/>
        <w:rPr>
          <w:sz w:val="20"/>
          <w:szCs w:val="20"/>
          <w:color w:val="auto"/>
        </w:rPr>
      </w:pPr>
      <w:r>
        <w:rPr>
          <w:rFonts w:ascii="Arial" w:cs="Arial" w:eastAsia="Arial" w:hAnsi="Arial"/>
          <w:sz w:val="22"/>
          <w:szCs w:val="22"/>
          <w:color w:val="auto"/>
        </w:rPr>
        <w:t>Related Party</w:t>
      </w:r>
    </w:p>
    <w:p>
      <w:pPr>
        <w:spacing w:after="0" w:line="231" w:lineRule="auto"/>
        <w:rPr>
          <w:sz w:val="20"/>
          <w:szCs w:val="20"/>
          <w:color w:val="auto"/>
        </w:rPr>
      </w:pPr>
      <w:r>
        <w:rPr>
          <w:rFonts w:ascii="Arial" w:cs="Arial" w:eastAsia="Arial" w:hAnsi="Arial"/>
          <w:sz w:val="22"/>
          <w:szCs w:val="22"/>
          <w:color w:val="auto"/>
        </w:rPr>
        <w:t>Related Party Pay-off Letter</w:t>
      </w:r>
    </w:p>
    <w:p>
      <w:pPr>
        <w:spacing w:after="0" w:line="230" w:lineRule="auto"/>
        <w:rPr>
          <w:sz w:val="20"/>
          <w:szCs w:val="20"/>
          <w:color w:val="auto"/>
        </w:rPr>
      </w:pPr>
      <w:r>
        <w:rPr>
          <w:rFonts w:ascii="Arial" w:cs="Arial" w:eastAsia="Arial" w:hAnsi="Arial"/>
          <w:sz w:val="22"/>
          <w:szCs w:val="22"/>
          <w:color w:val="auto"/>
        </w:rPr>
        <w:t>Released Persons</w:t>
      </w:r>
    </w:p>
    <w:p>
      <w:pPr>
        <w:spacing w:after="0" w:line="231" w:lineRule="auto"/>
        <w:rPr>
          <w:sz w:val="20"/>
          <w:szCs w:val="20"/>
          <w:color w:val="auto"/>
        </w:rPr>
      </w:pPr>
      <w:r>
        <w:rPr>
          <w:rFonts w:ascii="Arial" w:cs="Arial" w:eastAsia="Arial" w:hAnsi="Arial"/>
          <w:sz w:val="22"/>
          <w:szCs w:val="22"/>
          <w:color w:val="auto"/>
        </w:rPr>
        <w:t>Releasing Parties</w:t>
      </w:r>
    </w:p>
    <w:p>
      <w:pPr>
        <w:spacing w:after="0" w:line="230" w:lineRule="auto"/>
        <w:rPr>
          <w:sz w:val="20"/>
          <w:szCs w:val="20"/>
          <w:color w:val="auto"/>
        </w:rPr>
      </w:pPr>
      <w:r>
        <w:rPr>
          <w:rFonts w:ascii="Arial" w:cs="Arial" w:eastAsia="Arial" w:hAnsi="Arial"/>
          <w:sz w:val="22"/>
          <w:szCs w:val="22"/>
          <w:color w:val="auto"/>
        </w:rPr>
        <w:t>Resolved Amount</w:t>
      </w:r>
    </w:p>
    <w:p>
      <w:pPr>
        <w:spacing w:after="0" w:line="231" w:lineRule="auto"/>
        <w:rPr>
          <w:sz w:val="20"/>
          <w:szCs w:val="20"/>
          <w:color w:val="auto"/>
        </w:rPr>
      </w:pPr>
      <w:r>
        <w:rPr>
          <w:rFonts w:ascii="Arial" w:cs="Arial" w:eastAsia="Arial" w:hAnsi="Arial"/>
          <w:sz w:val="22"/>
          <w:szCs w:val="22"/>
          <w:color w:val="auto"/>
        </w:rPr>
        <w:t>Restricted Persons</w:t>
      </w:r>
    </w:p>
    <w:p>
      <w:pPr>
        <w:spacing w:after="0" w:line="230" w:lineRule="auto"/>
        <w:rPr>
          <w:sz w:val="20"/>
          <w:szCs w:val="20"/>
          <w:color w:val="auto"/>
        </w:rPr>
      </w:pPr>
      <w:r>
        <w:rPr>
          <w:rFonts w:ascii="Arial" w:cs="Arial" w:eastAsia="Arial" w:hAnsi="Arial"/>
          <w:sz w:val="22"/>
          <w:szCs w:val="22"/>
          <w:color w:val="auto"/>
        </w:rPr>
        <w:t>Schedule Supplement</w:t>
      </w:r>
    </w:p>
    <w:p>
      <w:pPr>
        <w:spacing w:after="0" w:line="231" w:lineRule="auto"/>
        <w:rPr>
          <w:sz w:val="20"/>
          <w:szCs w:val="20"/>
          <w:color w:val="auto"/>
        </w:rPr>
      </w:pPr>
      <w:r>
        <w:rPr>
          <w:rFonts w:ascii="Arial" w:cs="Arial" w:eastAsia="Arial" w:hAnsi="Arial"/>
          <w:sz w:val="22"/>
          <w:szCs w:val="22"/>
          <w:color w:val="auto"/>
        </w:rPr>
        <w:t>SEC</w:t>
      </w:r>
    </w:p>
    <w:p>
      <w:pPr>
        <w:spacing w:after="0" w:line="231" w:lineRule="auto"/>
        <w:rPr>
          <w:sz w:val="20"/>
          <w:szCs w:val="20"/>
          <w:color w:val="auto"/>
        </w:rPr>
      </w:pPr>
      <w:r>
        <w:rPr>
          <w:rFonts w:ascii="Arial" w:cs="Arial" w:eastAsia="Arial" w:hAnsi="Arial"/>
          <w:sz w:val="22"/>
          <w:szCs w:val="22"/>
          <w:color w:val="auto"/>
        </w:rPr>
        <w:t>SEC Reports</w:t>
      </w:r>
    </w:p>
    <w:p>
      <w:pPr>
        <w:spacing w:after="0" w:line="230" w:lineRule="auto"/>
        <w:rPr>
          <w:sz w:val="20"/>
          <w:szCs w:val="20"/>
          <w:color w:val="auto"/>
        </w:rPr>
      </w:pPr>
      <w:r>
        <w:rPr>
          <w:rFonts w:ascii="Arial" w:cs="Arial" w:eastAsia="Arial" w:hAnsi="Arial"/>
          <w:sz w:val="22"/>
          <w:szCs w:val="22"/>
          <w:color w:val="auto"/>
        </w:rPr>
        <w:t>Seller(s)</w:t>
      </w:r>
    </w:p>
    <w:p>
      <w:pPr>
        <w:spacing w:after="0" w:line="231" w:lineRule="auto"/>
        <w:rPr>
          <w:sz w:val="20"/>
          <w:szCs w:val="20"/>
          <w:color w:val="auto"/>
        </w:rPr>
      </w:pPr>
      <w:r>
        <w:rPr>
          <w:rFonts w:ascii="Arial" w:cs="Arial" w:eastAsia="Arial" w:hAnsi="Arial"/>
          <w:sz w:val="22"/>
          <w:szCs w:val="22"/>
          <w:color w:val="auto"/>
        </w:rPr>
        <w:t>Seller Disclosure Schedule</w:t>
      </w:r>
    </w:p>
    <w:p>
      <w:pPr>
        <w:spacing w:after="0"/>
        <w:rPr>
          <w:sz w:val="20"/>
          <w:szCs w:val="20"/>
          <w:color w:val="auto"/>
        </w:rPr>
      </w:pPr>
      <w:r>
        <w:rPr>
          <w:rFonts w:ascii="Arial" w:cs="Arial" w:eastAsia="Arial" w:hAnsi="Arial"/>
          <w:sz w:val="19"/>
          <w:szCs w:val="19"/>
          <w:color w:val="auto"/>
        </w:rPr>
        <w:t>Seller Fundamental Representations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Section 3.2(c)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Section 3.24(h)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7.18</w:t>
      </w:r>
    </w:p>
    <w:p>
      <w:pPr>
        <w:spacing w:after="0"/>
        <w:rPr>
          <w:sz w:val="20"/>
          <w:szCs w:val="20"/>
          <w:color w:val="auto"/>
        </w:rPr>
      </w:pPr>
      <w:r>
        <w:rPr>
          <w:rFonts w:ascii="Arial" w:cs="Arial" w:eastAsia="Arial" w:hAnsi="Arial"/>
          <w:sz w:val="21"/>
          <w:szCs w:val="21"/>
          <w:color w:val="auto"/>
        </w:rPr>
        <w:t>Section 7.7(h)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10.5(a)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10.5(a)</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10.7</w:t>
      </w:r>
    </w:p>
    <w:p>
      <w:pPr>
        <w:spacing w:after="0" w:line="230" w:lineRule="auto"/>
        <w:rPr>
          <w:sz w:val="20"/>
          <w:szCs w:val="20"/>
          <w:color w:val="auto"/>
        </w:rPr>
      </w:pPr>
      <w:r>
        <w:rPr>
          <w:rFonts w:ascii="Arial" w:cs="Arial" w:eastAsia="Arial" w:hAnsi="Arial"/>
          <w:sz w:val="22"/>
          <w:szCs w:val="22"/>
          <w:color w:val="auto"/>
        </w:rPr>
        <w:t>Section 3.19</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5.3(b)</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3.24(b)</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11.4</w:t>
      </w:r>
    </w:p>
    <w:p>
      <w:pPr>
        <w:spacing w:after="0"/>
        <w:rPr>
          <w:sz w:val="20"/>
          <w:szCs w:val="20"/>
          <w:color w:val="auto"/>
        </w:rPr>
      </w:pPr>
      <w:r>
        <w:rPr>
          <w:rFonts w:ascii="Arial" w:cs="Arial" w:eastAsia="Arial" w:hAnsi="Arial"/>
          <w:sz w:val="19"/>
          <w:szCs w:val="19"/>
          <w:color w:val="auto"/>
        </w:rPr>
        <w:t>Section 7.16(c)</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3.12(a)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3.21(a)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3.21(b)</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Section 7.7(c)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3.13(h)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11.1(d)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Section 11.17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Section 9.1(b)</w:t>
      </w:r>
    </w:p>
    <w:p>
      <w:pPr>
        <w:spacing w:after="0" w:line="231" w:lineRule="auto"/>
        <w:rPr>
          <w:sz w:val="20"/>
          <w:szCs w:val="20"/>
          <w:color w:val="auto"/>
        </w:rPr>
      </w:pPr>
      <w:r>
        <w:rPr>
          <w:rFonts w:ascii="Arial" w:cs="Arial" w:eastAsia="Arial" w:hAnsi="Arial"/>
          <w:sz w:val="22"/>
          <w:szCs w:val="22"/>
          <w:color w:val="auto"/>
        </w:rPr>
        <w:t>Section 10.7</w:t>
      </w:r>
    </w:p>
    <w:p>
      <w:pPr>
        <w:spacing w:after="0" w:line="231" w:lineRule="auto"/>
        <w:rPr>
          <w:sz w:val="20"/>
          <w:szCs w:val="20"/>
          <w:color w:val="auto"/>
        </w:rPr>
      </w:pPr>
      <w:r>
        <w:rPr>
          <w:rFonts w:ascii="Arial" w:cs="Arial" w:eastAsia="Arial" w:hAnsi="Arial"/>
          <w:sz w:val="22"/>
          <w:szCs w:val="22"/>
          <w:color w:val="auto"/>
        </w:rPr>
        <w:t>Preamble</w:t>
      </w:r>
    </w:p>
    <w:p>
      <w:pPr>
        <w:spacing w:after="0" w:line="231" w:lineRule="auto"/>
        <w:rPr>
          <w:sz w:val="20"/>
          <w:szCs w:val="20"/>
          <w:color w:val="auto"/>
        </w:rPr>
      </w:pPr>
      <w:r>
        <w:rPr>
          <w:rFonts w:ascii="Arial" w:cs="Arial" w:eastAsia="Arial" w:hAnsi="Arial"/>
          <w:sz w:val="22"/>
          <w:szCs w:val="22"/>
          <w:color w:val="auto"/>
        </w:rPr>
        <w:t>Section 7.6</w:t>
      </w:r>
    </w:p>
    <w:p>
      <w:pPr>
        <w:spacing w:after="0" w:line="230" w:lineRule="auto"/>
        <w:rPr>
          <w:sz w:val="20"/>
          <w:szCs w:val="20"/>
          <w:color w:val="auto"/>
        </w:rPr>
      </w:pPr>
      <w:r>
        <w:rPr>
          <w:rFonts w:ascii="Arial" w:cs="Arial" w:eastAsia="Arial" w:hAnsi="Arial"/>
          <w:sz w:val="22"/>
          <w:szCs w:val="22"/>
          <w:color w:val="auto"/>
        </w:rPr>
        <w:t>Section 11.9</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1.4(a)</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11.1(e)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Section 4.5(b)</w:t>
      </w:r>
    </w:p>
    <w:p>
      <w:pPr>
        <w:spacing w:after="0" w:line="231" w:lineRule="auto"/>
        <w:rPr>
          <w:sz w:val="20"/>
          <w:szCs w:val="20"/>
          <w:color w:val="auto"/>
        </w:rPr>
      </w:pPr>
      <w:r>
        <w:rPr>
          <w:rFonts w:ascii="Arial" w:cs="Arial" w:eastAsia="Arial" w:hAnsi="Arial"/>
          <w:sz w:val="22"/>
          <w:szCs w:val="22"/>
          <w:color w:val="auto"/>
        </w:rPr>
        <w:t>Section 7.7(f)</w:t>
      </w:r>
    </w:p>
    <w:p>
      <w:pPr>
        <w:spacing w:after="0" w:line="231" w:lineRule="auto"/>
        <w:rPr>
          <w:sz w:val="20"/>
          <w:szCs w:val="20"/>
          <w:color w:val="auto"/>
        </w:rPr>
      </w:pPr>
      <w:r>
        <w:rPr>
          <w:rFonts w:ascii="Arial" w:cs="Arial" w:eastAsia="Arial" w:hAnsi="Arial"/>
          <w:sz w:val="22"/>
          <w:szCs w:val="22"/>
          <w:color w:val="auto"/>
        </w:rPr>
        <w:t>Section 1.2</w:t>
      </w:r>
    </w:p>
    <w:p>
      <w:pPr>
        <w:spacing w:after="0" w:line="231" w:lineRule="auto"/>
        <w:rPr>
          <w:sz w:val="20"/>
          <w:szCs w:val="20"/>
          <w:color w:val="auto"/>
        </w:rPr>
      </w:pPr>
      <w:r>
        <w:rPr>
          <w:rFonts w:ascii="Arial" w:cs="Arial" w:eastAsia="Arial" w:hAnsi="Arial"/>
          <w:sz w:val="22"/>
          <w:szCs w:val="22"/>
          <w:color w:val="auto"/>
        </w:rPr>
        <w:t>Preamble</w:t>
      </w:r>
    </w:p>
    <w:p>
      <w:pPr>
        <w:spacing w:after="0"/>
        <w:rPr>
          <w:sz w:val="20"/>
          <w:szCs w:val="20"/>
          <w:color w:val="auto"/>
        </w:rPr>
      </w:pPr>
      <w:r>
        <w:rPr>
          <w:rFonts w:ascii="Arial" w:cs="Arial" w:eastAsia="Arial" w:hAnsi="Arial"/>
          <w:sz w:val="19"/>
          <w:szCs w:val="19"/>
          <w:color w:val="auto"/>
        </w:rPr>
        <w:t>Section 10.2(a)</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1.2</w:t>
      </w:r>
    </w:p>
    <w:p>
      <w:pPr>
        <w:spacing w:after="0"/>
        <w:rPr>
          <w:sz w:val="20"/>
          <w:szCs w:val="20"/>
          <w:color w:val="auto"/>
        </w:rPr>
      </w:pPr>
      <w:r>
        <w:rPr>
          <w:rFonts w:ascii="Arial" w:cs="Arial" w:eastAsia="Arial" w:hAnsi="Arial"/>
          <w:sz w:val="19"/>
          <w:szCs w:val="19"/>
          <w:color w:val="auto"/>
        </w:rPr>
        <w:t>Section 3.24(b)</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3.14(a)</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3.18</w:t>
      </w:r>
    </w:p>
    <w:p>
      <w:pPr>
        <w:spacing w:after="0"/>
        <w:rPr>
          <w:sz w:val="20"/>
          <w:szCs w:val="20"/>
          <w:color w:val="auto"/>
        </w:rPr>
      </w:pPr>
      <w:r>
        <w:rPr>
          <w:rFonts w:ascii="Arial" w:cs="Arial" w:eastAsia="Arial" w:hAnsi="Arial"/>
          <w:sz w:val="21"/>
          <w:szCs w:val="21"/>
          <w:color w:val="auto"/>
        </w:rPr>
        <w:t>Section 2.2(h)</w:t>
      </w:r>
    </w:p>
    <w:p>
      <w:pPr>
        <w:spacing w:after="0" w:line="231" w:lineRule="auto"/>
        <w:rPr>
          <w:sz w:val="20"/>
          <w:szCs w:val="20"/>
          <w:color w:val="auto"/>
        </w:rPr>
      </w:pPr>
      <w:r>
        <w:rPr>
          <w:rFonts w:ascii="Arial" w:cs="Arial" w:eastAsia="Arial" w:hAnsi="Arial"/>
          <w:sz w:val="22"/>
          <w:szCs w:val="22"/>
          <w:color w:val="auto"/>
        </w:rPr>
        <w:t>Section 7.12</w:t>
      </w:r>
    </w:p>
    <w:p>
      <w:pPr>
        <w:spacing w:after="0" w:line="231" w:lineRule="auto"/>
        <w:rPr>
          <w:sz w:val="20"/>
          <w:szCs w:val="20"/>
          <w:color w:val="auto"/>
        </w:rPr>
      </w:pPr>
      <w:r>
        <w:rPr>
          <w:rFonts w:ascii="Arial" w:cs="Arial" w:eastAsia="Arial" w:hAnsi="Arial"/>
          <w:sz w:val="22"/>
          <w:szCs w:val="22"/>
          <w:color w:val="auto"/>
        </w:rPr>
        <w:t>Section 7.12</w:t>
      </w:r>
    </w:p>
    <w:p>
      <w:pPr>
        <w:spacing w:after="0" w:line="231" w:lineRule="auto"/>
        <w:rPr>
          <w:sz w:val="20"/>
          <w:szCs w:val="20"/>
          <w:color w:val="auto"/>
        </w:rPr>
      </w:pPr>
      <w:r>
        <w:rPr>
          <w:rFonts w:ascii="Arial" w:cs="Arial" w:eastAsia="Arial" w:hAnsi="Arial"/>
          <w:sz w:val="22"/>
          <w:szCs w:val="22"/>
          <w:color w:val="auto"/>
        </w:rPr>
        <w:t>Section 10.7</w:t>
      </w:r>
    </w:p>
    <w:p>
      <w:pPr>
        <w:spacing w:after="0"/>
        <w:rPr>
          <w:sz w:val="20"/>
          <w:szCs w:val="20"/>
          <w:color w:val="auto"/>
        </w:rPr>
      </w:pPr>
      <w:r>
        <w:rPr>
          <w:rFonts w:ascii="Arial" w:cs="Arial" w:eastAsia="Arial" w:hAnsi="Arial"/>
          <w:sz w:val="19"/>
          <w:szCs w:val="19"/>
          <w:color w:val="auto"/>
        </w:rPr>
        <w:t>Section 7.13(a)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7.11(b)</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Section 4.5(b)</w:t>
      </w:r>
    </w:p>
    <w:p>
      <w:pPr>
        <w:spacing w:after="0" w:line="231" w:lineRule="auto"/>
        <w:rPr>
          <w:sz w:val="20"/>
          <w:szCs w:val="20"/>
          <w:color w:val="auto"/>
        </w:rPr>
      </w:pPr>
      <w:r>
        <w:rPr>
          <w:rFonts w:ascii="Arial" w:cs="Arial" w:eastAsia="Arial" w:hAnsi="Arial"/>
          <w:sz w:val="22"/>
          <w:szCs w:val="22"/>
          <w:color w:val="auto"/>
        </w:rPr>
        <w:t>Section 5.11</w:t>
      </w:r>
    </w:p>
    <w:p>
      <w:pPr>
        <w:spacing w:after="0" w:line="231" w:lineRule="auto"/>
        <w:rPr>
          <w:sz w:val="20"/>
          <w:szCs w:val="20"/>
          <w:color w:val="auto"/>
        </w:rPr>
      </w:pPr>
      <w:r>
        <w:rPr>
          <w:rFonts w:ascii="Arial" w:cs="Arial" w:eastAsia="Arial" w:hAnsi="Arial"/>
          <w:sz w:val="22"/>
          <w:szCs w:val="22"/>
          <w:color w:val="auto"/>
        </w:rPr>
        <w:t>Preamble</w:t>
      </w:r>
    </w:p>
    <w:p>
      <w:pPr>
        <w:spacing w:after="0" w:line="231" w:lineRule="auto"/>
        <w:rPr>
          <w:sz w:val="20"/>
          <w:szCs w:val="20"/>
          <w:color w:val="auto"/>
        </w:rPr>
      </w:pPr>
      <w:r>
        <w:rPr>
          <w:rFonts w:ascii="Arial" w:cs="Arial" w:eastAsia="Arial" w:hAnsi="Arial"/>
          <w:sz w:val="22"/>
          <w:szCs w:val="22"/>
          <w:color w:val="auto"/>
        </w:rPr>
        <w:t>Article IV</w:t>
      </w:r>
    </w:p>
    <w:p>
      <w:pPr>
        <w:spacing w:after="0"/>
        <w:rPr>
          <w:sz w:val="20"/>
          <w:szCs w:val="20"/>
          <w:color w:val="auto"/>
        </w:rPr>
      </w:pPr>
      <w:r>
        <w:rPr>
          <w:rFonts w:ascii="Arial" w:cs="Arial" w:eastAsia="Arial" w:hAnsi="Arial"/>
          <w:sz w:val="21"/>
          <w:szCs w:val="21"/>
          <w:color w:val="auto"/>
        </w:rPr>
        <w:t>Section 8.2(b)</w:t>
      </w:r>
    </w:p>
    <w:p>
      <w:pPr>
        <w:spacing w:after="0" w:line="200" w:lineRule="exact"/>
        <w:rPr>
          <w:sz w:val="20"/>
          <w:szCs w:val="20"/>
          <w:color w:val="auto"/>
        </w:rPr>
      </w:pPr>
    </w:p>
    <w:p>
      <w:pPr>
        <w:sectPr>
          <w:pgSz w:w="11900" w:h="16838" w:orient="portrait"/>
          <w:cols w:equalWidth="0" w:num="2">
            <w:col w:w="6300" w:space="720"/>
            <w:col w:w="2459"/>
          </w:cols>
          <w:pgMar w:left="9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526415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31" w:right="1440"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22"/>
          <w:szCs w:val="22"/>
          <w:color w:val="auto"/>
        </w:rPr>
        <w:t>Seller Indemnified Parties</w:t>
      </w:r>
    </w:p>
    <w:p>
      <w:pPr>
        <w:spacing w:after="0" w:line="238" w:lineRule="auto"/>
        <w:rPr>
          <w:sz w:val="20"/>
          <w:szCs w:val="20"/>
          <w:color w:val="auto"/>
        </w:rPr>
      </w:pPr>
      <w:r>
        <w:rPr>
          <w:rFonts w:ascii="Arial" w:cs="Arial" w:eastAsia="Arial" w:hAnsi="Arial"/>
          <w:sz w:val="22"/>
          <w:szCs w:val="22"/>
          <w:color w:val="auto"/>
        </w:rPr>
        <w:t>Sellers’ Representative</w:t>
      </w:r>
    </w:p>
    <w:p>
      <w:pPr>
        <w:spacing w:after="0" w:line="231" w:lineRule="auto"/>
        <w:rPr>
          <w:sz w:val="20"/>
          <w:szCs w:val="20"/>
          <w:color w:val="auto"/>
        </w:rPr>
      </w:pPr>
      <w:r>
        <w:rPr>
          <w:rFonts w:ascii="Arial" w:cs="Arial" w:eastAsia="Arial" w:hAnsi="Arial"/>
          <w:sz w:val="22"/>
          <w:szCs w:val="22"/>
          <w:color w:val="auto"/>
        </w:rPr>
        <w:t>Shareholder Guarantees</w:t>
      </w:r>
    </w:p>
    <w:p>
      <w:pPr>
        <w:spacing w:after="0" w:line="230" w:lineRule="auto"/>
        <w:rPr>
          <w:sz w:val="20"/>
          <w:szCs w:val="20"/>
          <w:color w:val="auto"/>
        </w:rPr>
      </w:pPr>
      <w:r>
        <w:rPr>
          <w:rFonts w:ascii="Arial" w:cs="Arial" w:eastAsia="Arial" w:hAnsi="Arial"/>
          <w:sz w:val="22"/>
          <w:szCs w:val="22"/>
          <w:color w:val="auto"/>
        </w:rPr>
        <w:t>Shares</w:t>
      </w:r>
    </w:p>
    <w:p>
      <w:pPr>
        <w:spacing w:after="0" w:line="231" w:lineRule="auto"/>
        <w:rPr>
          <w:sz w:val="20"/>
          <w:szCs w:val="20"/>
          <w:color w:val="auto"/>
        </w:rPr>
      </w:pPr>
      <w:r>
        <w:rPr>
          <w:rFonts w:ascii="Arial" w:cs="Arial" w:eastAsia="Arial" w:hAnsi="Arial"/>
          <w:sz w:val="22"/>
          <w:szCs w:val="22"/>
          <w:color w:val="auto"/>
        </w:rPr>
        <w:t>Short Sales</w:t>
      </w:r>
    </w:p>
    <w:p>
      <w:pPr>
        <w:spacing w:after="0" w:line="230" w:lineRule="auto"/>
        <w:rPr>
          <w:sz w:val="20"/>
          <w:szCs w:val="20"/>
          <w:color w:val="auto"/>
        </w:rPr>
      </w:pPr>
      <w:r>
        <w:rPr>
          <w:rFonts w:ascii="Arial" w:cs="Arial" w:eastAsia="Arial" w:hAnsi="Arial"/>
          <w:sz w:val="22"/>
          <w:szCs w:val="22"/>
          <w:color w:val="auto"/>
        </w:rPr>
        <w:t>Specified Taxes</w:t>
      </w:r>
    </w:p>
    <w:p>
      <w:pPr>
        <w:spacing w:after="0" w:line="231" w:lineRule="auto"/>
        <w:rPr>
          <w:sz w:val="20"/>
          <w:szCs w:val="20"/>
          <w:color w:val="auto"/>
        </w:rPr>
      </w:pPr>
      <w:r>
        <w:rPr>
          <w:rFonts w:ascii="Arial" w:cs="Arial" w:eastAsia="Arial" w:hAnsi="Arial"/>
          <w:sz w:val="22"/>
          <w:szCs w:val="22"/>
          <w:color w:val="auto"/>
        </w:rPr>
        <w:t>Stock Consideration</w:t>
      </w:r>
    </w:p>
    <w:p>
      <w:pPr>
        <w:spacing w:after="0" w:line="231" w:lineRule="auto"/>
        <w:rPr>
          <w:sz w:val="20"/>
          <w:szCs w:val="20"/>
          <w:color w:val="auto"/>
        </w:rPr>
      </w:pPr>
      <w:r>
        <w:rPr>
          <w:rFonts w:ascii="Arial" w:cs="Arial" w:eastAsia="Arial" w:hAnsi="Arial"/>
          <w:sz w:val="22"/>
          <w:szCs w:val="22"/>
          <w:color w:val="auto"/>
        </w:rPr>
        <w:t>Subleases</w:t>
      </w:r>
    </w:p>
    <w:p>
      <w:pPr>
        <w:spacing w:after="0" w:line="230" w:lineRule="auto"/>
        <w:rPr>
          <w:sz w:val="20"/>
          <w:szCs w:val="20"/>
          <w:color w:val="auto"/>
        </w:rPr>
      </w:pPr>
      <w:r>
        <w:rPr>
          <w:rFonts w:ascii="Arial" w:cs="Arial" w:eastAsia="Arial" w:hAnsi="Arial"/>
          <w:sz w:val="22"/>
          <w:szCs w:val="22"/>
          <w:color w:val="auto"/>
        </w:rPr>
        <w:t>Surplus</w:t>
      </w:r>
    </w:p>
    <w:p>
      <w:pPr>
        <w:spacing w:after="0" w:line="231" w:lineRule="auto"/>
        <w:rPr>
          <w:sz w:val="20"/>
          <w:szCs w:val="20"/>
          <w:color w:val="auto"/>
        </w:rPr>
      </w:pPr>
      <w:r>
        <w:rPr>
          <w:rFonts w:ascii="Arial" w:cs="Arial" w:eastAsia="Arial" w:hAnsi="Arial"/>
          <w:sz w:val="22"/>
          <w:szCs w:val="22"/>
          <w:color w:val="auto"/>
        </w:rPr>
        <w:t>Third-Party Acquisition</w:t>
      </w:r>
    </w:p>
    <w:p>
      <w:pPr>
        <w:spacing w:after="0" w:line="230" w:lineRule="auto"/>
        <w:rPr>
          <w:sz w:val="20"/>
          <w:szCs w:val="20"/>
          <w:color w:val="auto"/>
        </w:rPr>
      </w:pPr>
      <w:r>
        <w:rPr>
          <w:rFonts w:ascii="Arial" w:cs="Arial" w:eastAsia="Arial" w:hAnsi="Arial"/>
          <w:sz w:val="22"/>
          <w:szCs w:val="22"/>
          <w:color w:val="auto"/>
        </w:rPr>
        <w:t>Third-Party Claim</w:t>
      </w:r>
    </w:p>
    <w:p>
      <w:pPr>
        <w:spacing w:after="0" w:line="231" w:lineRule="auto"/>
        <w:rPr>
          <w:sz w:val="20"/>
          <w:szCs w:val="20"/>
          <w:color w:val="auto"/>
        </w:rPr>
      </w:pPr>
      <w:r>
        <w:rPr>
          <w:rFonts w:ascii="Arial" w:cs="Arial" w:eastAsia="Arial" w:hAnsi="Arial"/>
          <w:sz w:val="22"/>
          <w:szCs w:val="22"/>
          <w:color w:val="auto"/>
        </w:rPr>
        <w:t>Third-Party Claim Notice</w:t>
      </w:r>
    </w:p>
    <w:p>
      <w:pPr>
        <w:spacing w:after="0" w:line="230" w:lineRule="auto"/>
        <w:rPr>
          <w:sz w:val="20"/>
          <w:szCs w:val="20"/>
          <w:color w:val="auto"/>
        </w:rPr>
      </w:pPr>
      <w:r>
        <w:rPr>
          <w:rFonts w:ascii="Arial" w:cs="Arial" w:eastAsia="Arial" w:hAnsi="Arial"/>
          <w:sz w:val="22"/>
          <w:szCs w:val="22"/>
          <w:color w:val="auto"/>
        </w:rPr>
        <w:t>Trade Compliance Laws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Unaudited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Section 10.2(c)</w:t>
      </w:r>
    </w:p>
    <w:p>
      <w:pPr>
        <w:spacing w:after="0" w:line="238" w:lineRule="auto"/>
        <w:rPr>
          <w:sz w:val="20"/>
          <w:szCs w:val="20"/>
          <w:color w:val="auto"/>
        </w:rPr>
      </w:pPr>
      <w:r>
        <w:rPr>
          <w:rFonts w:ascii="Arial" w:cs="Arial" w:eastAsia="Arial" w:hAnsi="Arial"/>
          <w:sz w:val="22"/>
          <w:szCs w:val="22"/>
          <w:color w:val="auto"/>
        </w:rPr>
        <w:t>Preamble</w:t>
      </w:r>
    </w:p>
    <w:p>
      <w:pPr>
        <w:spacing w:after="0" w:line="231" w:lineRule="auto"/>
        <w:rPr>
          <w:sz w:val="20"/>
          <w:szCs w:val="20"/>
          <w:color w:val="auto"/>
        </w:rPr>
      </w:pPr>
      <w:r>
        <w:rPr>
          <w:rFonts w:ascii="Arial" w:cs="Arial" w:eastAsia="Arial" w:hAnsi="Arial"/>
          <w:sz w:val="22"/>
          <w:szCs w:val="22"/>
          <w:color w:val="auto"/>
        </w:rPr>
        <w:t>Section 7.18</w:t>
      </w:r>
    </w:p>
    <w:p>
      <w:pPr>
        <w:spacing w:after="0" w:line="230" w:lineRule="auto"/>
        <w:rPr>
          <w:sz w:val="20"/>
          <w:szCs w:val="20"/>
          <w:color w:val="auto"/>
        </w:rPr>
      </w:pPr>
      <w:r>
        <w:rPr>
          <w:rFonts w:ascii="Arial" w:cs="Arial" w:eastAsia="Arial" w:hAnsi="Arial"/>
          <w:sz w:val="22"/>
          <w:szCs w:val="22"/>
          <w:color w:val="auto"/>
        </w:rPr>
        <w:t>Recitals</w:t>
      </w:r>
    </w:p>
    <w:p>
      <w:pPr>
        <w:spacing w:after="0" w:line="231" w:lineRule="auto"/>
        <w:rPr>
          <w:sz w:val="20"/>
          <w:szCs w:val="20"/>
          <w:color w:val="auto"/>
        </w:rPr>
      </w:pPr>
      <w:r>
        <w:rPr>
          <w:rFonts w:ascii="Arial" w:cs="Arial" w:eastAsia="Arial" w:hAnsi="Arial"/>
          <w:sz w:val="22"/>
          <w:szCs w:val="22"/>
          <w:color w:val="auto"/>
        </w:rPr>
        <w:t>Section 4.5(c)</w:t>
      </w:r>
    </w:p>
    <w:p>
      <w:pPr>
        <w:spacing w:after="0"/>
        <w:rPr>
          <w:sz w:val="20"/>
          <w:szCs w:val="20"/>
          <w:color w:val="auto"/>
        </w:rPr>
      </w:pPr>
      <w:r>
        <w:rPr>
          <w:rFonts w:ascii="Arial" w:cs="Arial" w:eastAsia="Arial" w:hAnsi="Arial"/>
          <w:sz w:val="21"/>
          <w:szCs w:val="21"/>
          <w:color w:val="auto"/>
        </w:rPr>
        <w:t>Section 10.2(a)</w:t>
      </w:r>
    </w:p>
    <w:p>
      <w:pPr>
        <w:spacing w:after="0" w:line="231" w:lineRule="auto"/>
        <w:rPr>
          <w:sz w:val="20"/>
          <w:szCs w:val="20"/>
          <w:color w:val="auto"/>
        </w:rPr>
      </w:pPr>
      <w:r>
        <w:rPr>
          <w:rFonts w:ascii="Arial" w:cs="Arial" w:eastAsia="Arial" w:hAnsi="Arial"/>
          <w:sz w:val="22"/>
          <w:szCs w:val="22"/>
          <w:color w:val="auto"/>
        </w:rPr>
        <w:t>Section 1.2</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3.24(g)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1.4(d)(i)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 7.10</w:t>
      </w:r>
    </w:p>
    <w:p>
      <w:pPr>
        <w:spacing w:after="0"/>
        <w:rPr>
          <w:sz w:val="20"/>
          <w:szCs w:val="20"/>
          <w:color w:val="auto"/>
        </w:rPr>
      </w:pPr>
      <w:r>
        <w:rPr>
          <w:rFonts w:ascii="Arial" w:cs="Arial" w:eastAsia="Arial" w:hAnsi="Arial"/>
          <w:sz w:val="21"/>
          <w:szCs w:val="21"/>
          <w:color w:val="auto"/>
        </w:rPr>
        <w:t>Section 10.5(b)</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Section 10.5(b)</w:t>
      </w:r>
    </w:p>
    <w:p>
      <w:pPr>
        <w:spacing w:after="0" w:line="231" w:lineRule="auto"/>
        <w:rPr>
          <w:sz w:val="20"/>
          <w:szCs w:val="20"/>
          <w:color w:val="auto"/>
        </w:rPr>
      </w:pPr>
      <w:r>
        <w:rPr>
          <w:rFonts w:ascii="Arial" w:cs="Arial" w:eastAsia="Arial" w:hAnsi="Arial"/>
          <w:sz w:val="22"/>
          <w:szCs w:val="22"/>
          <w:color w:val="auto"/>
        </w:rPr>
        <w:t>Section 3.15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Section 3.4(a)(ii)</w:t>
      </w:r>
    </w:p>
    <w:p>
      <w:pPr>
        <w:spacing w:after="0" w:line="200" w:lineRule="exact"/>
        <w:rPr>
          <w:sz w:val="20"/>
          <w:szCs w:val="20"/>
          <w:color w:val="auto"/>
        </w:rPr>
      </w:pPr>
    </w:p>
    <w:p>
      <w:pPr>
        <w:sectPr>
          <w:pgSz w:w="11900" w:h="16838" w:orient="portrait"/>
          <w:cols w:equalWidth="0" w:num="2">
            <w:col w:w="6300" w:space="720"/>
            <w:col w:w="2900"/>
          </w:cols>
          <w:pgMar w:left="980" w:top="118" w:right="999" w:bottom="1440" w:gutter="0" w:footer="0" w:header="0"/>
        </w:sectPr>
      </w:pPr>
    </w:p>
    <w:p>
      <w:pPr>
        <w:spacing w:after="0" w:line="15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010000"/>
        </w:rPr>
        <w:t xml:space="preserve">12.2 </w:t>
      </w:r>
      <w:r>
        <w:rPr>
          <w:rFonts w:ascii="Arial" w:cs="Arial" w:eastAsia="Arial" w:hAnsi="Arial"/>
          <w:sz w:val="22"/>
          <w:szCs w:val="22"/>
          <w:u w:val="single" w:color="auto"/>
          <w:color w:val="000000"/>
        </w:rPr>
        <w:t>Rules of Construction</w:t>
      </w:r>
      <w:r>
        <w:rPr>
          <w:rFonts w:ascii="Arial" w:cs="Arial" w:eastAsia="Arial" w:hAnsi="Arial"/>
          <w:sz w:val="22"/>
          <w:szCs w:val="22"/>
          <w:color w:val="000000"/>
        </w:rPr>
        <w:t>. In this Agreement, except to the extent otherwise provided or that the</w:t>
      </w:r>
      <w:r>
        <w:rPr>
          <w:rFonts w:ascii="Arial" w:cs="Arial" w:eastAsia="Arial" w:hAnsi="Arial"/>
          <w:sz w:val="22"/>
          <w:szCs w:val="22"/>
          <w:color w:val="010000"/>
        </w:rPr>
        <w:t xml:space="preserve"> </w:t>
      </w:r>
      <w:r>
        <w:rPr>
          <w:rFonts w:ascii="Arial" w:cs="Arial" w:eastAsia="Arial" w:hAnsi="Arial"/>
          <w:sz w:val="22"/>
          <w:szCs w:val="22"/>
          <w:color w:val="000000"/>
        </w:rPr>
        <w:t>context otherwise requires:</w:t>
      </w:r>
    </w:p>
    <w:p>
      <w:pPr>
        <w:spacing w:after="0" w:line="67" w:lineRule="exact"/>
        <w:rPr>
          <w:sz w:val="20"/>
          <w:szCs w:val="20"/>
          <w:color w:val="auto"/>
        </w:rPr>
      </w:pPr>
    </w:p>
    <w:p>
      <w:pPr>
        <w:ind w:left="2300" w:hanging="672"/>
        <w:spacing w:after="0"/>
        <w:tabs>
          <w:tab w:leader="none" w:pos="2300"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a capitalized term has the meaning assigned to it herein;</w:t>
      </w:r>
    </w:p>
    <w:p>
      <w:pPr>
        <w:spacing w:after="0" w:line="206" w:lineRule="exact"/>
        <w:rPr>
          <w:rFonts w:ascii="Arial" w:cs="Arial" w:eastAsia="Arial" w:hAnsi="Arial"/>
          <w:sz w:val="22"/>
          <w:szCs w:val="22"/>
          <w:color w:val="010000"/>
        </w:rPr>
      </w:pPr>
    </w:p>
    <w:p>
      <w:pPr>
        <w:ind w:left="2360" w:hanging="732"/>
        <w:spacing w:after="0"/>
        <w:tabs>
          <w:tab w:leader="none" w:pos="2360"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an accounting term not otherwise defined has the meaning assigned to it in accordance</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GAAP;</w:t>
      </w:r>
    </w:p>
    <w:p>
      <w:pPr>
        <w:spacing w:after="0" w:line="188" w:lineRule="exact"/>
        <w:rPr>
          <w:sz w:val="20"/>
          <w:szCs w:val="20"/>
          <w:color w:val="auto"/>
        </w:rPr>
      </w:pPr>
    </w:p>
    <w:p>
      <w:pPr>
        <w:jc w:val="both"/>
        <w:ind w:left="340" w:firstLine="1288"/>
        <w:spacing w:after="0" w:line="238" w:lineRule="auto"/>
        <w:tabs>
          <w:tab w:leader="none" w:pos="2362"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references in the singular or to “him,” “her,” “it,” “itself,” or other like references, and references in the plural or the feminine or masculine reference, as the case may be, shall also, when the context so requires, be deemed to include the plural or singular, or the masculine or feminine reference, as the case may be;</w:t>
      </w:r>
    </w:p>
    <w:p>
      <w:pPr>
        <w:spacing w:after="0" w:line="184" w:lineRule="exact"/>
        <w:rPr>
          <w:rFonts w:ascii="Arial" w:cs="Arial" w:eastAsia="Arial" w:hAnsi="Arial"/>
          <w:sz w:val="22"/>
          <w:szCs w:val="22"/>
          <w:color w:val="010000"/>
        </w:rPr>
      </w:pPr>
    </w:p>
    <w:p>
      <w:pPr>
        <w:jc w:val="both"/>
        <w:ind w:left="340" w:firstLine="1288"/>
        <w:spacing w:after="0"/>
        <w:tabs>
          <w:tab w:leader="none" w:pos="2482"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the Exhibits and Schedules attached to this Agreement or delivered herewith are an integral part of this Agreement and are hereby incorporated herein and made a part hereof as if set forth herein;</w:t>
      </w:r>
    </w:p>
    <w:p>
      <w:pPr>
        <w:spacing w:after="0" w:line="186" w:lineRule="exact"/>
        <w:rPr>
          <w:rFonts w:ascii="Arial" w:cs="Arial" w:eastAsia="Arial" w:hAnsi="Arial"/>
          <w:sz w:val="22"/>
          <w:szCs w:val="22"/>
          <w:color w:val="010000"/>
        </w:rPr>
      </w:pPr>
    </w:p>
    <w:p>
      <w:pPr>
        <w:ind w:left="340" w:firstLine="1288"/>
        <w:spacing w:after="0" w:line="250" w:lineRule="auto"/>
        <w:tabs>
          <w:tab w:leader="none" w:pos="2591"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references to Articles, Sections, and Exhibits shall refer to articles, sections, and exhibits of this Agreement, unless otherwise specified;</w:t>
      </w:r>
    </w:p>
    <w:p>
      <w:pPr>
        <w:spacing w:after="0" w:line="174" w:lineRule="exact"/>
        <w:rPr>
          <w:rFonts w:ascii="Arial" w:cs="Arial" w:eastAsia="Arial" w:hAnsi="Arial"/>
          <w:sz w:val="22"/>
          <w:szCs w:val="22"/>
          <w:color w:val="010000"/>
        </w:rPr>
      </w:pPr>
    </w:p>
    <w:p>
      <w:pPr>
        <w:jc w:val="both"/>
        <w:ind w:left="340" w:firstLine="1288"/>
        <w:spacing w:after="0"/>
        <w:tabs>
          <w:tab w:leader="none" w:pos="2675"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the table of contents and headings in this Agreement are for convenience and identification only and are not intended to describe, interpret, define or limit the scope, extent or intent of this Agreement or any provision thereof;</w:t>
      </w:r>
    </w:p>
    <w:p>
      <w:pPr>
        <w:spacing w:after="0" w:line="186" w:lineRule="exact"/>
        <w:rPr>
          <w:rFonts w:ascii="Arial" w:cs="Arial" w:eastAsia="Arial" w:hAnsi="Arial"/>
          <w:sz w:val="22"/>
          <w:szCs w:val="22"/>
          <w:color w:val="010000"/>
        </w:rPr>
      </w:pPr>
    </w:p>
    <w:p>
      <w:pPr>
        <w:jc w:val="both"/>
        <w:ind w:left="340" w:right="20" w:firstLine="1288"/>
        <w:spacing w:after="0" w:line="297" w:lineRule="auto"/>
        <w:tabs>
          <w:tab w:leader="none" w:pos="2360"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the words “hereof,” “herein,” and “hereunder” and words of similar import, when used in this Agreement, refer to this Agreement as a whole and not to any particular provision of this Agreement, and the words “the date hereof” when used in this Agreement refer to the date of this Agreement;</w:t>
      </w:r>
    </w:p>
    <w:p>
      <w:pPr>
        <w:spacing w:after="0" w:line="133" w:lineRule="exact"/>
        <w:rPr>
          <w:rFonts w:ascii="Arial" w:cs="Arial" w:eastAsia="Arial" w:hAnsi="Arial"/>
          <w:sz w:val="19"/>
          <w:szCs w:val="19"/>
          <w:color w:val="010000"/>
        </w:rPr>
      </w:pPr>
    </w:p>
    <w:p>
      <w:pPr>
        <w:jc w:val="both"/>
        <w:ind w:left="340" w:firstLine="1288"/>
        <w:spacing w:after="0" w:line="238" w:lineRule="auto"/>
        <w:tabs>
          <w:tab w:leader="none" w:pos="2455"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where used with respect to information, the phrases “delivered” or “made available” shall mean that the information referred to has been physically or electronically delivered to the relevant Parties or their representatives, including, in the case of “made available” to Purchaser, material that has been posted in the Data Room at least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22"/>
          <w:szCs w:val="22"/>
          <w:color w:val="auto"/>
        </w:rPr>
        <w:t>Business Day prior to the date hereof;</w:t>
      </w:r>
    </w:p>
    <w:p>
      <w:pPr>
        <w:spacing w:after="0" w:line="207" w:lineRule="exact"/>
        <w:rPr>
          <w:sz w:val="20"/>
          <w:szCs w:val="20"/>
          <w:color w:val="auto"/>
        </w:rPr>
      </w:pPr>
    </w:p>
    <w:p>
      <w:pPr>
        <w:ind w:firstLine="1288"/>
        <w:spacing w:after="0" w:line="274" w:lineRule="auto"/>
        <w:tabs>
          <w:tab w:leader="none" w:pos="2188"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this Agreement shall be construed without regard to any presumption or other rule requiring construction against the Party that drafted and caused this Agreement to be drafted;</w:t>
      </w:r>
    </w:p>
    <w:p>
      <w:pPr>
        <w:spacing w:after="0" w:line="150" w:lineRule="exact"/>
        <w:rPr>
          <w:rFonts w:ascii="Arial" w:cs="Arial" w:eastAsia="Arial" w:hAnsi="Arial"/>
          <w:sz w:val="21"/>
          <w:szCs w:val="21"/>
          <w:color w:val="010000"/>
        </w:rPr>
      </w:pPr>
    </w:p>
    <w:p>
      <w:pPr>
        <w:jc w:val="both"/>
        <w:ind w:firstLine="1288"/>
        <w:spacing w:after="0"/>
        <w:tabs>
          <w:tab w:leader="none" w:pos="2229"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all terms defined in this Agreement have the defined meanings when used in any Schedule or Exhibit to this Agreement, any certificate or other document delivered or made available pursuant hereto, unless otherwise defined therein;</w:t>
      </w:r>
    </w:p>
    <w:p>
      <w:pPr>
        <w:spacing w:after="0" w:line="186" w:lineRule="exact"/>
        <w:rPr>
          <w:rFonts w:ascii="Arial" w:cs="Arial" w:eastAsia="Arial" w:hAnsi="Arial"/>
          <w:sz w:val="22"/>
          <w:szCs w:val="22"/>
          <w:color w:val="010000"/>
        </w:rPr>
      </w:pPr>
    </w:p>
    <w:p>
      <w:pPr>
        <w:jc w:val="both"/>
        <w:ind w:firstLine="1288"/>
        <w:spacing w:after="0" w:line="236" w:lineRule="auto"/>
        <w:tabs>
          <w:tab w:leader="none" w:pos="2358"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time is of the essence for each and every provision of this Agreement. When calculating the period of time before which, within which or following which any act is to be done or step taken pursuant to this Agreement, the date that is the reference date in calculating such period shall be excluded. If the last day of such period is not a Business Day, the period in question shall end on the next succeeding Business Day;</w:t>
      </w:r>
    </w:p>
    <w:p>
      <w:pPr>
        <w:spacing w:after="0" w:line="187" w:lineRule="exact"/>
        <w:rPr>
          <w:rFonts w:ascii="Arial" w:cs="Arial" w:eastAsia="Arial" w:hAnsi="Arial"/>
          <w:sz w:val="22"/>
          <w:szCs w:val="22"/>
          <w:color w:val="010000"/>
        </w:rPr>
      </w:pPr>
    </w:p>
    <w:p>
      <w:pPr>
        <w:ind w:left="1980" w:hanging="692"/>
        <w:spacing w:after="0"/>
        <w:tabs>
          <w:tab w:leader="none" w:pos="1980"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all monetary figures shall be in United States dollars unless otherwise specified;</w:t>
      </w:r>
    </w:p>
    <w:p>
      <w:pPr>
        <w:spacing w:after="0" w:line="217" w:lineRule="exact"/>
        <w:rPr>
          <w:rFonts w:ascii="Arial" w:cs="Arial" w:eastAsia="Arial" w:hAnsi="Arial"/>
          <w:sz w:val="21"/>
          <w:szCs w:val="21"/>
          <w:color w:val="010000"/>
        </w:rPr>
      </w:pPr>
    </w:p>
    <w:p>
      <w:pPr>
        <w:ind w:firstLine="1288"/>
        <w:spacing w:after="0" w:line="250" w:lineRule="auto"/>
        <w:tabs>
          <w:tab w:leader="none" w:pos="2040"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references to “include,” “includes” or “including” in this Agreement are deemed to be followed by the words “without limitation,” whether or not so specified;</w:t>
      </w:r>
    </w:p>
    <w:p>
      <w:pPr>
        <w:spacing w:after="0" w:line="174" w:lineRule="exact"/>
        <w:rPr>
          <w:rFonts w:ascii="Arial" w:cs="Arial" w:eastAsia="Arial" w:hAnsi="Arial"/>
          <w:sz w:val="22"/>
          <w:szCs w:val="22"/>
          <w:color w:val="010000"/>
        </w:rPr>
      </w:pPr>
    </w:p>
    <w:p>
      <w:pPr>
        <w:ind w:left="1980" w:hanging="692"/>
        <w:spacing w:after="0"/>
        <w:tabs>
          <w:tab w:leader="none" w:pos="1980"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references to “day” or “days” are to calendar days;</w:t>
      </w:r>
    </w:p>
    <w:p>
      <w:pPr>
        <w:spacing w:after="0" w:line="206" w:lineRule="exact"/>
        <w:rPr>
          <w:rFonts w:ascii="Arial" w:cs="Arial" w:eastAsia="Arial" w:hAnsi="Arial"/>
          <w:sz w:val="22"/>
          <w:szCs w:val="22"/>
          <w:color w:val="010000"/>
        </w:rPr>
      </w:pPr>
    </w:p>
    <w:p>
      <w:pPr>
        <w:ind w:left="1980" w:hanging="692"/>
        <w:spacing w:after="0"/>
        <w:tabs>
          <w:tab w:leader="none" w:pos="1980"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references to time are to US Eastern Time unless otherwise expressly specified;</w:t>
      </w:r>
    </w:p>
    <w:p>
      <w:pPr>
        <w:spacing w:after="0" w:line="217" w:lineRule="exact"/>
        <w:rPr>
          <w:rFonts w:ascii="Arial" w:cs="Arial" w:eastAsia="Arial" w:hAnsi="Arial"/>
          <w:sz w:val="21"/>
          <w:szCs w:val="21"/>
          <w:color w:val="010000"/>
        </w:rPr>
      </w:pPr>
    </w:p>
    <w:p>
      <w:pPr>
        <w:ind w:left="1980" w:hanging="692"/>
        <w:spacing w:after="0"/>
        <w:tabs>
          <w:tab w:leader="none" w:pos="1980"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references to a Person are also to its successors and permitted assigns; and</w:t>
      </w:r>
    </w:p>
    <w:p>
      <w:pPr>
        <w:spacing w:after="0" w:line="206" w:lineRule="exact"/>
        <w:rPr>
          <w:rFonts w:ascii="Arial" w:cs="Arial" w:eastAsia="Arial" w:hAnsi="Arial"/>
          <w:sz w:val="22"/>
          <w:szCs w:val="22"/>
          <w:color w:val="010000"/>
        </w:rPr>
      </w:pPr>
    </w:p>
    <w:p>
      <w:pPr>
        <w:ind w:left="1580" w:right="400" w:hanging="292"/>
        <w:spacing w:after="0" w:line="488" w:lineRule="auto"/>
        <w:tabs>
          <w:tab w:leader="none" w:pos="1981"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the use of “or” is not intended to be exclusive unless expressly indicated otherwise. [Remainder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504190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154" w:name="page155"/>
    <w:bookmarkEnd w:id="154"/>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thereunto duly authorized, as of the date first written above.</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PURCHASER:</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AEROVIRONMENT, INC.</w:t>
      </w:r>
    </w:p>
    <w:p>
      <w:pPr>
        <w:spacing w:after="0" w:line="215"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6985</wp:posOffset>
            </wp:positionV>
            <wp:extent cx="31032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Wahid Nawabi</w:t>
      </w:r>
    </w:p>
    <w:p>
      <w:pPr>
        <w:ind w:left="50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55" w:name="page156"/>
    <w:bookmarkEnd w:id="155"/>
    <w:p>
      <w:pPr>
        <w:ind w:left="4080"/>
        <w:spacing w:after="0"/>
        <w:rPr>
          <w:sz w:val="20"/>
          <w:szCs w:val="20"/>
          <w:color w:val="auto"/>
        </w:rPr>
      </w:pPr>
      <w:r>
        <w:rPr>
          <w:rFonts w:ascii="Arial" w:cs="Arial" w:eastAsia="Arial" w:hAnsi="Arial"/>
          <w:sz w:val="22"/>
          <w:szCs w:val="22"/>
          <w:b w:val="1"/>
          <w:bCs w:val="1"/>
          <w:color w:val="auto"/>
        </w:rPr>
        <w:t>COMPANY:</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ARCTURUS UAV, INC.</w:t>
      </w:r>
    </w:p>
    <w:p>
      <w:pPr>
        <w:spacing w:after="0" w:line="215" w:lineRule="exact"/>
        <w:rPr>
          <w:sz w:val="20"/>
          <w:szCs w:val="20"/>
          <w:color w:val="auto"/>
        </w:rPr>
      </w:pPr>
    </w:p>
    <w:p>
      <w:pPr>
        <w:ind w:left="408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/s/D’Milo Hallerberg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auto"/>
        </w:rPr>
        <w:t>Name: D’Milo Hallerberg</w:t>
      </w:r>
    </w:p>
    <w:p>
      <w:pPr>
        <w:jc w:val="right"/>
        <w:ind w:right="1859"/>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526415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6" w:name="page157"/>
    <w:bookmarkEnd w:id="156"/>
    <w:p>
      <w:pPr>
        <w:ind w:left="4080"/>
        <w:spacing w:after="0"/>
        <w:rPr>
          <w:sz w:val="20"/>
          <w:szCs w:val="20"/>
          <w:color w:val="auto"/>
        </w:rPr>
      </w:pPr>
      <w:r>
        <w:rPr>
          <w:rFonts w:ascii="Arial" w:cs="Arial" w:eastAsia="Arial" w:hAnsi="Arial"/>
          <w:sz w:val="22"/>
          <w:szCs w:val="22"/>
          <w:b w:val="1"/>
          <w:bCs w:val="1"/>
          <w:color w:val="auto"/>
        </w:rPr>
        <w:t>SELLERS:</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D’Milo Hallerberg Trust</w:t>
      </w:r>
    </w:p>
    <w:p>
      <w:pPr>
        <w:spacing w:after="0" w:line="215" w:lineRule="exact"/>
        <w:rPr>
          <w:sz w:val="20"/>
          <w:szCs w:val="20"/>
          <w:color w:val="auto"/>
        </w:rPr>
      </w:pPr>
    </w:p>
    <w:p>
      <w:pPr>
        <w:ind w:left="408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/s/D’Milo Hallerberg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auto"/>
        </w:rPr>
        <w:t>Name: D’Milo Hallerberg</w:t>
      </w:r>
    </w:p>
    <w:p>
      <w:pPr>
        <w:ind w:left="4580"/>
        <w:spacing w:after="0"/>
        <w:rPr>
          <w:sz w:val="20"/>
          <w:szCs w:val="20"/>
          <w:color w:val="auto"/>
        </w:rPr>
      </w:pPr>
      <w:r>
        <w:rPr>
          <w:rFonts w:ascii="Arial" w:cs="Arial" w:eastAsia="Arial" w:hAnsi="Arial"/>
          <w:sz w:val="22"/>
          <w:szCs w:val="22"/>
          <w:color w:val="auto"/>
        </w:rPr>
        <w:t>Title: Trustee</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/s/Chase Hallerberg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Chase Hallerberg</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/s/Olivia Rivas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Olivia Rivas</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/s/Claudia Rivas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Claudia Rivas</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/s/Mark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Mark Allen</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/s/Philip Mahill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Philip Mahill</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/s/John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John Champion</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/s/Andrew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Andrew Robinson</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/s/Dylan Hallerberg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Dylan Hallerberg</w:t>
      </w:r>
    </w:p>
    <w:p>
      <w:pPr>
        <w:spacing w:after="0" w:line="209" w:lineRule="exact"/>
        <w:rPr>
          <w:sz w:val="20"/>
          <w:szCs w:val="20"/>
          <w:color w:val="auto"/>
        </w:rPr>
      </w:pPr>
    </w:p>
    <w:p>
      <w:pPr>
        <w:jc w:val="right"/>
        <w:ind w:right="1299"/>
        <w:spacing w:after="0"/>
        <w:rPr>
          <w:sz w:val="20"/>
          <w:szCs w:val="20"/>
          <w:color w:val="auto"/>
        </w:rPr>
      </w:pPr>
      <w:r>
        <w:rPr>
          <w:rFonts w:ascii="Arial" w:cs="Arial" w:eastAsia="Arial" w:hAnsi="Arial"/>
          <w:sz w:val="22"/>
          <w:szCs w:val="22"/>
          <w:b w:val="1"/>
          <w:bCs w:val="1"/>
          <w:color w:val="auto"/>
        </w:rPr>
        <w:t>THE SELLERS’ REPRESENTATIVE:</w:t>
      </w:r>
    </w:p>
    <w:p>
      <w:pPr>
        <w:spacing w:after="0" w:line="23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/s/D’Milo Hallerberg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D’Milo Hallerberg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526415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7" w:name="page158"/>
    <w:bookmarkEnd w:id="157"/>
    <w:p>
      <w:pPr>
        <w:ind w:left="900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color w:val="auto"/>
        </w:rPr>
        <w:t>The representations and warranties contained in this agreement were made for the purposes of allocating contractual risk between the parties and not as a means of establishing facts and are qualified by information in disclosure schedules that the parties exchanged in connection with the signing of this agreement. Moreover, the representations and warranties were made only as of the date of execution of this agreement and information concerning the subject matter of the representations and warranties may change after the date of this agreement. Only parties to this agreement have a right to enforce the agreement. Accordingly, third parties, including securityholders and prospective investors, should not rely on the representations and warranties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146050</wp:posOffset>
            </wp:positionV>
            <wp:extent cx="5709285" cy="3257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57092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January 11,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900 Innovators Way</w:t>
      </w:r>
    </w:p>
    <w:p>
      <w:pPr>
        <w:spacing w:after="0"/>
        <w:rPr>
          <w:sz w:val="20"/>
          <w:szCs w:val="20"/>
          <w:color w:val="auto"/>
        </w:rPr>
      </w:pPr>
      <w:r>
        <w:rPr>
          <w:rFonts w:ascii="Arial" w:cs="Arial" w:eastAsia="Arial" w:hAnsi="Arial"/>
          <w:sz w:val="20"/>
          <w:szCs w:val="20"/>
          <w:color w:val="auto"/>
        </w:rPr>
        <w:t>Simi Valley, CA 93065-0906</w:t>
      </w:r>
    </w:p>
    <w:p>
      <w:pPr>
        <w:spacing w:after="0" w:line="200"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Commitment Letter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AeroVironment, Inc., a Delaware corporation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 has advised Bank of America, N.A. (through itself or one of its designated affiliates or branch offices, “</w:t>
      </w:r>
      <w:r>
        <w:rPr>
          <w:rFonts w:ascii="Arial" w:cs="Arial" w:eastAsia="Arial" w:hAnsi="Arial"/>
          <w:sz w:val="18"/>
          <w:szCs w:val="18"/>
          <w:b w:val="1"/>
          <w:bCs w:val="1"/>
          <w:i w:val="1"/>
          <w:iCs w:val="1"/>
          <w:color w:val="auto"/>
        </w:rPr>
        <w:t>Bank of America</w:t>
      </w:r>
      <w:r>
        <w:rPr>
          <w:rFonts w:ascii="Arial" w:cs="Arial" w:eastAsia="Arial" w:hAnsi="Arial"/>
          <w:sz w:val="18"/>
          <w:szCs w:val="18"/>
          <w:color w:val="auto"/>
        </w:rPr>
        <w:t>”), BofA Securities, Inc. (or any of its designated affiliates, “</w:t>
      </w:r>
      <w:r>
        <w:rPr>
          <w:rFonts w:ascii="Arial" w:cs="Arial" w:eastAsia="Arial" w:hAnsi="Arial"/>
          <w:sz w:val="18"/>
          <w:szCs w:val="18"/>
          <w:b w:val="1"/>
          <w:bCs w:val="1"/>
          <w:i w:val="1"/>
          <w:iCs w:val="1"/>
          <w:color w:val="auto"/>
        </w:rPr>
        <w:t>BofA Securities</w:t>
      </w:r>
      <w:r>
        <w:rPr>
          <w:rFonts w:ascii="Arial" w:cs="Arial" w:eastAsia="Arial" w:hAnsi="Arial"/>
          <w:sz w:val="18"/>
          <w:szCs w:val="18"/>
          <w:color w:val="auto"/>
        </w:rPr>
        <w:t>”), JPMorgan Chase Bank, N.A. (“</w:t>
      </w:r>
      <w:r>
        <w:rPr>
          <w:rFonts w:ascii="Arial" w:cs="Arial" w:eastAsia="Arial" w:hAnsi="Arial"/>
          <w:sz w:val="18"/>
          <w:szCs w:val="18"/>
          <w:b w:val="1"/>
          <w:bCs w:val="1"/>
          <w:i w:val="1"/>
          <w:iCs w:val="1"/>
          <w:color w:val="auto"/>
        </w:rPr>
        <w:t>JPM</w:t>
      </w:r>
      <w:r>
        <w:rPr>
          <w:rFonts w:ascii="Arial" w:cs="Arial" w:eastAsia="Arial" w:hAnsi="Arial"/>
          <w:sz w:val="18"/>
          <w:szCs w:val="18"/>
          <w:color w:val="auto"/>
        </w:rPr>
        <w:t>”) and U.S. Bank National Association (“</w:t>
      </w:r>
      <w:r>
        <w:rPr>
          <w:rFonts w:ascii="Arial" w:cs="Arial" w:eastAsia="Arial" w:hAnsi="Arial"/>
          <w:sz w:val="18"/>
          <w:szCs w:val="18"/>
          <w:b w:val="1"/>
          <w:bCs w:val="1"/>
          <w:i w:val="1"/>
          <w:iCs w:val="1"/>
          <w:color w:val="auto"/>
        </w:rPr>
        <w:t>U.S. Bank</w:t>
      </w:r>
      <w:r>
        <w:rPr>
          <w:rFonts w:ascii="Arial" w:cs="Arial" w:eastAsia="Arial" w:hAnsi="Arial"/>
          <w:sz w:val="18"/>
          <w:szCs w:val="18"/>
          <w:color w:val="auto"/>
        </w:rPr>
        <w:t>”; U.S. Bank, together with Bank of America, BofA Securities and JPM, the “</w:t>
      </w:r>
      <w:r>
        <w:rPr>
          <w:rFonts w:ascii="Arial" w:cs="Arial" w:eastAsia="Arial" w:hAnsi="Arial"/>
          <w:sz w:val="18"/>
          <w:szCs w:val="18"/>
          <w:b w:val="1"/>
          <w:bCs w:val="1"/>
          <w:i w:val="1"/>
          <w:iCs w:val="1"/>
          <w:color w:val="auto"/>
        </w:rPr>
        <w:t>Commitment Parties</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w:t>
      </w:r>
      <w:r>
        <w:rPr>
          <w:rFonts w:ascii="Arial" w:cs="Arial" w:eastAsia="Arial" w:hAnsi="Arial"/>
          <w:sz w:val="18"/>
          <w:szCs w:val="18"/>
          <w:color w:val="auto"/>
        </w:rPr>
        <w:t>”) that you intend to acquire (the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directly or indirectly, all of the outstanding equity interests of Arcturus UAV, Inc., a California corporation (the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 pursuant to that certain Stock Purchase Agreement, dated as of the date hereof (together with all schedules, exhibits and annexes thereto, the “</w:t>
      </w:r>
      <w:r>
        <w:rPr>
          <w:rFonts w:ascii="Arial" w:cs="Arial" w:eastAsia="Arial" w:hAnsi="Arial"/>
          <w:sz w:val="18"/>
          <w:szCs w:val="18"/>
          <w:b w:val="1"/>
          <w:bCs w:val="1"/>
          <w:i w:val="1"/>
          <w:iCs w:val="1"/>
          <w:color w:val="auto"/>
        </w:rPr>
        <w:t>Acquisition Agreement</w:t>
      </w:r>
      <w:r>
        <w:rPr>
          <w:rFonts w:ascii="Arial" w:cs="Arial" w:eastAsia="Arial" w:hAnsi="Arial"/>
          <w:sz w:val="18"/>
          <w:szCs w:val="18"/>
          <w:color w:val="auto"/>
        </w:rPr>
        <w:t>”), among the Target, the persons or entities identified therein as Sellers (collectively, the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xml:space="preserve">”), D’Milo Hallerberg, solely in his capacity as the representative of the Sellers, and you. You have further advised us that, in connection with the foregoing, you intend to consummate the transactions described in the transaction description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Description</w:t>
      </w:r>
      <w:r>
        <w:rPr>
          <w:rFonts w:ascii="Arial" w:cs="Arial" w:eastAsia="Arial" w:hAnsi="Arial"/>
          <w:sz w:val="18"/>
          <w:szCs w:val="18"/>
          <w:color w:val="auto"/>
        </w:rPr>
        <w:t>”). Capitalized terms used but not defined herein shall have the meanings assigned to them in the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Description, the Summary of Terms (as defined below) or the Conditions Annex (as defined below), as applicable.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You have also advised the Commitment Parties that you intend to finance the Acquisition, the costs and expenses related to the Transactions and the ongoing working capital and other general corporate purposes of the Borrower and its subsidiaries after consummation of the Acquisition from the following sources (and that no financing other than the financing described herein will be required in connection with the Transactions): (a) a term A loan in an aggregate principal amount of $200 million (the “</w:t>
      </w:r>
      <w:r>
        <w:rPr>
          <w:rFonts w:ascii="Arial" w:cs="Arial" w:eastAsia="Arial" w:hAnsi="Arial"/>
          <w:sz w:val="18"/>
          <w:szCs w:val="18"/>
          <w:b w:val="1"/>
          <w:bCs w:val="1"/>
          <w:i w:val="1"/>
          <w:iCs w:val="1"/>
          <w:color w:val="auto"/>
        </w:rPr>
        <w:t>Term Loan Facility</w:t>
      </w:r>
      <w:r>
        <w:rPr>
          <w:rFonts w:ascii="Arial" w:cs="Arial" w:eastAsia="Arial" w:hAnsi="Arial"/>
          <w:sz w:val="18"/>
          <w:szCs w:val="18"/>
          <w:color w:val="auto"/>
        </w:rPr>
        <w:t>”), (b) a revolving credit facility (the “</w:t>
      </w:r>
      <w:r>
        <w:rPr>
          <w:rFonts w:ascii="Arial" w:cs="Arial" w:eastAsia="Arial" w:hAnsi="Arial"/>
          <w:sz w:val="18"/>
          <w:szCs w:val="18"/>
          <w:b w:val="1"/>
          <w:bCs w:val="1"/>
          <w:i w:val="1"/>
          <w:iCs w:val="1"/>
          <w:color w:val="auto"/>
        </w:rPr>
        <w:t>Revolving Facility</w:t>
      </w:r>
      <w:r>
        <w:rPr>
          <w:rFonts w:ascii="Arial" w:cs="Arial" w:eastAsia="Arial" w:hAnsi="Arial"/>
          <w:sz w:val="18"/>
          <w:szCs w:val="18"/>
          <w:color w:val="auto"/>
        </w:rPr>
        <w:t>”; the Revolving Facility, together with the Term Loan Facility, the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in an aggregate principal amount of $100 million (which shall be undrawn on and as of the Closing Date), (c) $155 million of cash on hand of the Borrower (the “</w:t>
      </w:r>
      <w:r>
        <w:rPr>
          <w:rFonts w:ascii="Arial" w:cs="Arial" w:eastAsia="Arial" w:hAnsi="Arial"/>
          <w:sz w:val="18"/>
          <w:szCs w:val="18"/>
          <w:b w:val="1"/>
          <w:bCs w:val="1"/>
          <w:i w:val="1"/>
          <w:iCs w:val="1"/>
          <w:color w:val="auto"/>
        </w:rPr>
        <w:t>Balance Sheet Cash</w:t>
      </w:r>
      <w:r>
        <w:rPr>
          <w:rFonts w:ascii="Arial" w:cs="Arial" w:eastAsia="Arial" w:hAnsi="Arial"/>
          <w:sz w:val="18"/>
          <w:szCs w:val="18"/>
          <w:color w:val="auto"/>
        </w:rPr>
        <w:t>”) and (d) $50 million in common equity of the Borrower issued to the Sellers on the Closing Date (the “</w:t>
      </w:r>
      <w:r>
        <w:rPr>
          <w:rFonts w:ascii="Arial" w:cs="Arial" w:eastAsia="Arial" w:hAnsi="Arial"/>
          <w:sz w:val="18"/>
          <w:szCs w:val="18"/>
          <w:b w:val="1"/>
          <w:bCs w:val="1"/>
          <w:i w:val="1"/>
          <w:iCs w:val="1"/>
          <w:color w:val="auto"/>
        </w:rPr>
        <w:t>Equity Contribution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18"/>
          <w:szCs w:val="18"/>
          <w:color w:val="auto"/>
        </w:rPr>
        <w:t>In connection with the foregoing, (a) Bank of America is pleased to offer to be the sole administrative agent (in such capacity,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xml:space="preserve">”) for the Facilities and Bank of America is pleased to offer its several and not joint commitment to lend $100 million of the Facilities (to be allocated ratably between the Term Loan Facility and the Revolving Facility), upon and subject to the terms and conditions set forth in this commitment letter, in the Transaction Description, in the Summary of Terms and Conditions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Summary of Terms</w:t>
      </w:r>
      <w:r>
        <w:rPr>
          <w:rFonts w:ascii="Arial" w:cs="Arial" w:eastAsia="Arial" w:hAnsi="Arial"/>
          <w:sz w:val="18"/>
          <w:szCs w:val="18"/>
          <w:color w:val="auto"/>
        </w:rPr>
        <w:t xml:space="preserve">”) and in the conditions annex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Conditions Annex</w:t>
      </w:r>
      <w:r>
        <w:rPr>
          <w:rFonts w:ascii="Arial" w:cs="Arial" w:eastAsia="Arial" w:hAnsi="Arial"/>
          <w:sz w:val="18"/>
          <w:szCs w:val="18"/>
          <w:color w:val="auto"/>
        </w:rPr>
        <w:t>”; this commitment letter, the Transaction Description, the Summary of Terms and the Conditions Annex, collectively, this “</w:t>
      </w:r>
      <w:r>
        <w:rPr>
          <w:rFonts w:ascii="Arial" w:cs="Arial" w:eastAsia="Arial" w:hAnsi="Arial"/>
          <w:sz w:val="18"/>
          <w:szCs w:val="18"/>
          <w:b w:val="1"/>
          <w:bCs w:val="1"/>
          <w:i w:val="1"/>
          <w:iCs w:val="1"/>
          <w:color w:val="auto"/>
        </w:rPr>
        <w:t>Commitment Letter</w:t>
      </w:r>
      <w:r>
        <w:rPr>
          <w:rFonts w:ascii="Arial" w:cs="Arial" w:eastAsia="Arial" w:hAnsi="Arial"/>
          <w:sz w:val="18"/>
          <w:szCs w:val="18"/>
          <w:color w:val="auto"/>
        </w:rPr>
        <w:t>”), (b) JPM is pleased to offer its several and not joint commitment to lend $100 million of the Facilities upon and subject to the terms and conditions of this Commitment Letter (to be allocated ratably between the Term Loan Facility and the Revolving Facility) and (c) U.S. Bank is pleased to offer its several and not joint commitment to lend $100 million of the Facilities upon and subject to the terms and conditions of this Commitment Letter (to be allocated ratably between the Term Loan Facility and the Revolving Facility).</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BofA Securities, JPM and U.S. Bank are pleased to advise you of their willingness, as joint lead arrangers and joint bookrunners (in such capacities, the “</w:t>
      </w:r>
      <w:r>
        <w:rPr>
          <w:rFonts w:ascii="Arial" w:cs="Arial" w:eastAsia="Arial" w:hAnsi="Arial"/>
          <w:sz w:val="20"/>
          <w:szCs w:val="20"/>
          <w:b w:val="1"/>
          <w:bCs w:val="1"/>
          <w:i w:val="1"/>
          <w:iCs w:val="1"/>
          <w:color w:val="auto"/>
        </w:rPr>
        <w:t>Joint Lead Arrangers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Joint Lead Arranger</w:t>
      </w:r>
      <w:r>
        <w:rPr>
          <w:rFonts w:ascii="Arial" w:cs="Arial" w:eastAsia="Arial" w:hAnsi="Arial"/>
          <w:sz w:val="20"/>
          <w:szCs w:val="20"/>
          <w:color w:val="auto"/>
        </w:rPr>
        <w:t>”) for the Facilities, to use their commercially reasonable efforts to form a syndicate of financial institutions (including Bank of America, JPM and U.S. Bank)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acceptable to you for the Facilities. It is understood and agreed that BofA Securities shall have the “left” placement in any and all marketing materials or other documentation used in connection with the Facilities and shall hold the leading role and responsibilities conventionally associated with such “left” placement, including sole selling role in respect of the Facilities. No additional agents, co-agents or arrangers will be appointed without your and our prior written approval.</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commitments of Bank of America, JPM and U.S. Bank to fund the full amount of the Term Loan Facility (collectively, the “</w:t>
      </w:r>
      <w:r>
        <w:rPr>
          <w:rFonts w:ascii="Arial" w:cs="Arial" w:eastAsia="Arial" w:hAnsi="Arial"/>
          <w:sz w:val="18"/>
          <w:szCs w:val="18"/>
          <w:b w:val="1"/>
          <w:bCs w:val="1"/>
          <w:i w:val="1"/>
          <w:iCs w:val="1"/>
          <w:color w:val="auto"/>
        </w:rPr>
        <w:t>Necessary Acquisition Funds</w:t>
      </w:r>
      <w:r>
        <w:rPr>
          <w:rFonts w:ascii="Arial" w:cs="Arial" w:eastAsia="Arial" w:hAnsi="Arial"/>
          <w:sz w:val="18"/>
          <w:szCs w:val="18"/>
          <w:color w:val="auto"/>
        </w:rPr>
        <w:t>”) on the date of effectiveness of the Definitive Documentation and the consummation of the Acquisition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commitments of Bank of America, JPM and U.S. Bank to provide the Facilities, the agreements of the Joint Lead Arrangers to perform the services described herein, and the effectiveness of the Definitive Documentation, in each case, are subject solely to the conditions set forth in the Conditions Annex and, upon satisfaction (or waiver by all Commitment Parties) of the conditions set forth in the Conditions Annex, and subject to the Limited Conditionality Provision, the funding of the Necessary Acquisition Funds shall occur. As used herein,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Documentation</w:t>
      </w:r>
      <w:r>
        <w:rPr>
          <w:rFonts w:ascii="Arial" w:cs="Arial" w:eastAsia="Arial" w:hAnsi="Arial"/>
          <w:sz w:val="18"/>
          <w:szCs w:val="18"/>
          <w:color w:val="auto"/>
        </w:rPr>
        <w:t>” means the credit agreement and all related definitive documentation for the Facilities.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anything in this Commitment Letter or the Fee Letters (as defined below) to the contrary, (a) the only representations the accuracy of which shall be a condition to the availability of the Necessary Acquisition Funds on the Closing Date shall be (i) such of the representations made by the Target in the Acquisition Agreement as are material to the interests of the Lenders, but only to the extent that you (or any of your affiliates) have the right to terminate your (or such affiliates’) obligations under the Acquisition Agreement, or the right not to consummate the Acquisition, as a result of a breach of such representations in the Acquisition Agreement (the “</w:t>
      </w:r>
      <w:r>
        <w:rPr>
          <w:rFonts w:ascii="Arial" w:cs="Arial" w:eastAsia="Arial" w:hAnsi="Arial"/>
          <w:sz w:val="16"/>
          <w:szCs w:val="16"/>
          <w:b w:val="1"/>
          <w:bCs w:val="1"/>
          <w:i w:val="1"/>
          <w:iCs w:val="1"/>
          <w:color w:val="auto"/>
        </w:rPr>
        <w:t>Specified Acquisition Agreement Representations</w:t>
      </w:r>
      <w:r>
        <w:rPr>
          <w:rFonts w:ascii="Arial" w:cs="Arial" w:eastAsia="Arial" w:hAnsi="Arial"/>
          <w:sz w:val="16"/>
          <w:szCs w:val="16"/>
          <w:color w:val="auto"/>
        </w:rPr>
        <w:t>”), and</w:t>
      </w:r>
    </w:p>
    <w:p>
      <w:pPr>
        <w:spacing w:after="0" w:line="4" w:lineRule="exact"/>
        <w:rPr>
          <w:sz w:val="20"/>
          <w:szCs w:val="20"/>
          <w:color w:val="auto"/>
        </w:rPr>
      </w:pPr>
    </w:p>
    <w:p>
      <w:pPr>
        <w:jc w:val="both"/>
        <w:ind w:firstLine="8"/>
        <w:spacing w:after="0" w:line="266" w:lineRule="auto"/>
        <w:tabs>
          <w:tab w:leader="none" w:pos="30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Specified Representations (as defined below), and (b) the terms of the Definitive Documentation shall be in a form such that they do not impair the availability of the Necessary Acquisition Funds on the Closing Date if the conditions set forth in the Conditions Annex are satisfied (it being understood that, to the extent any security interest in any Collateral is not or cannot be provided and/or perfected on the Closing Date (other than (i) the granting of a security interest pursuant to the Definitive Documentation, (ii) the perfection of the security interest in assets with respect to which a lien may be perfected by the filing of a financing statement under the Uniform Commercial Code and/or the filing of short-form intellectual property notices with the United States Patent and Trademark Office or the United States Copyright Office, and</w:t>
      </w:r>
    </w:p>
    <w:p>
      <w:pPr>
        <w:ind w:left="360" w:hanging="352"/>
        <w:spacing w:after="0"/>
        <w:tabs>
          <w:tab w:leader="none" w:pos="3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perfection of the security interest in certificated equity interests of the Borrower’s domestic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9" w:name="page160"/>
    <w:bookmarkEnd w:id="159"/>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with respect to any such certificates that are held by the Target or the Target’s existing lenders, such certificates shall only be required to be delivered on the Closing Date to the extent such certificates are received by the Borrower on or prior to the Closing Date after the Borrower’s use of commercially reasonable efforts to obtain such certificates)) after your use of commercially reasonable efforts to do so, then the grant, provision and/or perfection of a security interest in such Collateral shall not constitute a condition precedent to the availability of the Necessary Acquisition Funds on the Closing Date, but instead shall be required to be delivered within thirty (30) days after the Closing Date (or such longer period of time as may be agreed by the Administrative Agent in its sole discretion)). For purposes hereof, “</w:t>
      </w:r>
      <w:r>
        <w:rPr>
          <w:rFonts w:ascii="Arial" w:cs="Arial" w:eastAsia="Arial" w:hAnsi="Arial"/>
          <w:sz w:val="18"/>
          <w:szCs w:val="18"/>
          <w:b w:val="1"/>
          <w:bCs w:val="1"/>
          <w:i w:val="1"/>
          <w:iCs w:val="1"/>
          <w:color w:val="auto"/>
        </w:rPr>
        <w:t>Specified Representations</w:t>
      </w:r>
      <w:r>
        <w:rPr>
          <w:rFonts w:ascii="Arial" w:cs="Arial" w:eastAsia="Arial" w:hAnsi="Arial"/>
          <w:sz w:val="18"/>
          <w:szCs w:val="18"/>
          <w:color w:val="auto"/>
        </w:rPr>
        <w:t xml:space="preserve">” means the representations and warranties of the Credit Parties set forth in the Definitive Documentation relating to: corporate or other organizational existence; power and authority (as to execution, delivery and performance of the Definitive Documentation); due authorization, execution, delivery and performance of, and enforceability against the Credit Parties of, the Definitive Documentation; execution, delivery and performance of the Definitive Documentation not conflicting with organizational documents of the Credit Parties; execution, delivery and performance of the Definitive Documentation not violating in any material respect any law; solvency as of the Closing Date (after giving effect to the Transactions) of the Borrower and its subsidiaries on a consolidated basis (with solvency to be determined in a manner consistent with the solvency certificate to be delivered in the form set forth in Annex I attached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Federal reserve margin regulations; the Investment Company Act; use of proceeds not violating anti-terrorism laws, anti-corruption laws, sanctions, or the PATRIOT Act; and, subject to the provisions of this paragraph, creation, validity, perfection and first priority of security interests in the Collateral. This paragraph, and the provisions herein, shall be referred to as the “</w:t>
      </w:r>
      <w:r>
        <w:rPr>
          <w:rFonts w:ascii="Arial" w:cs="Arial" w:eastAsia="Arial" w:hAnsi="Arial"/>
          <w:sz w:val="18"/>
          <w:szCs w:val="18"/>
          <w:b w:val="1"/>
          <w:bCs w:val="1"/>
          <w:i w:val="1"/>
          <w:iCs w:val="1"/>
          <w:color w:val="auto"/>
        </w:rPr>
        <w:t>Limited Conditionality Provision</w:t>
      </w:r>
      <w:r>
        <w:rPr>
          <w:rFonts w:ascii="Arial" w:cs="Arial" w:eastAsia="Arial" w:hAnsi="Arial"/>
          <w:sz w:val="18"/>
          <w:szCs w:val="18"/>
          <w:color w:val="auto"/>
        </w:rPr>
        <w: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Joint Lead Arrangers reserve the right, prior to or after the Closing Date, to syndicate all or a portion of the commitments of Bank of America, JPM and U.S. Bank hereunder to prospective Lenders identified by the Joint Lead Arrangers and reasonably acceptable to you (such consent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notwithstanding the foregoing, (a) no Commitment Party shall be relieved, released or novated from its obligations as a Commitment Party in connection with any syndication, assignment or participation of the Facilities, including its commitments in respect thereof, until the date on which Necessary Acquisition Funds are funded, (b) no assignment or novation shall become effective as between you and us with respect to all or any portion of any Commitment Party’s commitments hereunder until the date on which Necessary Acquisition Funds are funded, and (c) unless you otherwise agree in writing, each Commitment Party shall retain exclusive control over all rights and obligations with respect to its commitments, including, to the extent applicable, all rights with respect to consents, modifications, supplements, waivers and amendments, until the date on which Necessary Acquisition Funds are funded. The Joint Lead Arrangers intend to commence syndication of the Facilities promptly upon your acceptance of this Commitment Letter and the Fee Letters. You agree to actively assist the Joint Lead Arrangers in achieving a syndication of the Facilities that is satisfactory to the Joint Lead Arrangers and you. Such assistance shall include your (i) providing and causing your advisors to provide (and using commercially reasonable efforts, subject to, and not in contravention of, the Acquisition Agreement, to cause the Target and its advisors to provide) the Commitment Parties and the other Lenders upon request with all information reasonably deemed necessary by the Commitment Parties to complete syndication, including, but not limited to, information and evaluations prepared by you and your advisors, or on your behalf, or by the Target and its advisors, or on their behalf, relating to the Transactions (including the Projections (as defined below),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(ii) assisting (and using commercially reasonable efforts to cause the Target, subject to, and not in contravention of, the Acquisition Agreement, to assist) in the preparation of a confidential information memorandum and other materials to be used in connection with the syndication of the Facilities (collectively with the Summary of Terms, the “</w:t>
      </w:r>
      <w:r>
        <w:rPr>
          <w:rFonts w:ascii="Arial" w:cs="Arial" w:eastAsia="Arial" w:hAnsi="Arial"/>
          <w:sz w:val="18"/>
          <w:szCs w:val="18"/>
          <w:b w:val="1"/>
          <w:bCs w:val="1"/>
          <w:i w:val="1"/>
          <w:iCs w:val="1"/>
          <w:color w:val="auto"/>
        </w:rPr>
        <w:t>Information Materials</w:t>
      </w:r>
      <w:r>
        <w:rPr>
          <w:rFonts w:ascii="Arial" w:cs="Arial" w:eastAsia="Arial" w:hAnsi="Arial"/>
          <w:sz w:val="18"/>
          <w:szCs w:val="18"/>
          <w:color w:val="auto"/>
        </w:rPr>
        <w:t>”), (iii) using your commercially reasonable efforts to ensure (and using commercially reasonable efforts to cause the Target, subject to, and not in contravention of, the Acquisition Agreement, to ensure) that the syndication efforts of the Joint Lead Arrangers benefit materially from your existing banking relationships, and (iv)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0" w:name="page161"/>
    <w:bookmarkEnd w:id="160"/>
    <w:p>
      <w:pPr>
        <w:jc w:val="both"/>
        <w:spacing w:after="0" w:line="257" w:lineRule="auto"/>
        <w:rPr>
          <w:sz w:val="20"/>
          <w:szCs w:val="20"/>
          <w:color w:val="auto"/>
        </w:rPr>
      </w:pPr>
      <w:r>
        <w:rPr>
          <w:rFonts w:ascii="Arial" w:cs="Arial" w:eastAsia="Arial" w:hAnsi="Arial"/>
          <w:sz w:val="19"/>
          <w:szCs w:val="19"/>
          <w:color w:val="auto"/>
        </w:rPr>
        <w:t>assisting the Commitment Parties in their syndication efforts, including by making your officers and advisors available (and using commercially reasonable efforts to cause the Target, subject to, and not in contravention of, the Acquisition Agreement, to make the Target’s officers and advisors available) from time to time to attend and make presentations regarding the business and prospects of the Borrower and its subsidiaries and the Transactions, as appropriate, at one or more meetings of prospective Lenders. Notwithstanding anything to the contrary contained in this Commitment Letter or the Fee Letters, none of (A) your obligations to assist in syndication efforts as provided herein, (B) the commencement of the syndication, or (C) the success of the syndication, shall constitute a condition to the initial funding of, or availability of, the Necessary Acquisition Funds.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It is understood and agreed that the Joint Lead Arrangers will manage and control all aspects of the syndication in consultation with you, including decisions as to the selection of prospective Lenders and any titles offered to proposed Lenders, when commitments will be accepted and the final allocations of the commitments among the Lenders. It is understood that no Lender participating in the Facilities will receive compensation from you in order to obtain its commitment, except on the terms contained in this Commitment Letter and in the Fee Letters.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represent, warrant and covenant that (and, with respect to any information relating to the Target, to your knowledge that) (a) all financial projections concerning the Borrower and its subsidiaries and/or the Target and its subsidiaries that have been or are hereafter made available to the Commitment Parties or the other Lenders by you or any of your representatives (or on your or their behalf) and/or by the Target or any of the Target’s representatives (or on it or their behalf) (collectively,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have been or will be prepared in good faith based upon reasonable assumptions, and (b) all Information, other than the Projections, which has been or is hereafter made available to the Commitment Parties or the other Lenders by you or any of your representatives (or on your or their behalf) and/or by the Target or any of the Target’s representatives (or on it or their behalf) in connection with any aspect of the Transactions, as and when furnished, is and will be complete and correct in all material respects and does not and will not contain any untrue statement of a material fact or omit to state a material fact necessary to make the statements contained therein not misleading. You agree to furnish us with further and supplemental information from time to time until the Closing Date so that the representation, warranty and covenant in the immediately preceding sentence are correct on the Closing Date as if the Information were being furnished, and such representation, warranty and covenant were being made, on such date. In issuing the commitments set forth herein and in arranging and syndicating the Facilities, the Commitment Parties are and will be using and relying on the Information without independent verification thereof.</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acknowledge that the Commitment Parties on your behalf will make available Information Materials to the proposed syndicate of Lenders by posting the Information Materials on IntraLinks, SyndTrak or another similar electronic system. In connection with the syndication of the Facilities, unless the parties hereto otherwise agree in writing, you shall be under no obligation to provide Information Materials suitable for distribution to any Lender (each, a “</w:t>
      </w:r>
      <w:r>
        <w:rPr>
          <w:rFonts w:ascii="Arial" w:cs="Arial" w:eastAsia="Arial" w:hAnsi="Arial"/>
          <w:sz w:val="18"/>
          <w:szCs w:val="18"/>
          <w:b w:val="1"/>
          <w:bCs w:val="1"/>
          <w:i w:val="1"/>
          <w:iCs w:val="1"/>
          <w:color w:val="auto"/>
        </w:rPr>
        <w:t>Public Lender</w:t>
      </w:r>
      <w:r>
        <w:rPr>
          <w:rFonts w:ascii="Arial" w:cs="Arial" w:eastAsia="Arial" w:hAnsi="Arial"/>
          <w:sz w:val="18"/>
          <w:szCs w:val="18"/>
          <w:color w:val="auto"/>
        </w:rPr>
        <w:t>”) that has personnel who do not wish to receive material non-public information (within the meaning of the United States federal securities laws, “</w:t>
      </w:r>
      <w:r>
        <w:rPr>
          <w:rFonts w:ascii="Arial" w:cs="Arial" w:eastAsia="Arial" w:hAnsi="Arial"/>
          <w:sz w:val="18"/>
          <w:szCs w:val="18"/>
          <w:b w:val="1"/>
          <w:bCs w:val="1"/>
          <w:i w:val="1"/>
          <w:iCs w:val="1"/>
          <w:color w:val="auto"/>
        </w:rPr>
        <w:t>MNPI</w:t>
      </w:r>
      <w:r>
        <w:rPr>
          <w:rFonts w:ascii="Arial" w:cs="Arial" w:eastAsia="Arial" w:hAnsi="Arial"/>
          <w:sz w:val="18"/>
          <w:szCs w:val="18"/>
          <w:color w:val="auto"/>
        </w:rPr>
        <w:t>”) with respect to the Borrower or its affiliates and/or the Target or its affiliates or the respective securities of any of the foregoing. You agree, however, that: (a) the Definitive Documentation will contain provisions concerning Information Materials to be provided to Public Lenders and the absence of MNPI therefrom; (b) Information Materials made available to prospective Public Lenders in accordance with this Commitment Letter shall not contain MNPI, whether or not any Information Materials are marked “PUBLIC”; and (c) the Commitment Parties, on your behalf, may distribute the following documents to all prospective Lenders: (i) administrative materials for prospective Lenders, such as lender meeting invitations and funding and closing memoranda; (ii) term sheets summarizing the Facilities’ terms and notifications of changes to the terms of the Facilities; and (iii) other materials intended for prospective Lenders after the initial distribution of the Information Materials, including drafts and final versions of the Definitive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1" w:name="page162"/>
    <w:bookmarkEnd w:id="161"/>
    <w:p>
      <w:pPr>
        <w:jc w:val="both"/>
        <w:spacing w:after="0" w:line="260" w:lineRule="auto"/>
        <w:rPr>
          <w:sz w:val="20"/>
          <w:szCs w:val="20"/>
          <w:color w:val="auto"/>
        </w:rPr>
      </w:pPr>
      <w:r>
        <w:rPr>
          <w:rFonts w:ascii="Arial" w:cs="Arial" w:eastAsia="Arial" w:hAnsi="Arial"/>
          <w:sz w:val="20"/>
          <w:szCs w:val="20"/>
          <w:color w:val="auto"/>
        </w:rPr>
        <w:t>Documentation. Upon request of the Joint Lead Arrangers, prior to distribution of Information Materials to prospective Lenders, you shall provide us with a customary letter authorizing the dissemination thereof.</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By executing this Commitment Letter, you agree to reimburse Bank of America and BofA Securities from time to time on demand for all reasonable and documented out-of-pocket fees and expenses (including (a) the reasonable and documented fees, disbursements and other charges of Moore &amp; Van Allen PLLC, as primary counsel to BofA Securities and, if reasonably necessary, one local counsel for the Administrative Agent and BofA Securities (taken as a whole) in each relevant jurisdiction and one specialty counsel for the Administrative Agent and BofA Securities (taken as a whole) in each relevant specialty (and, solely in the case of an actual or potential conflict of interest of any of the foregoing counsel, one additional primary, local or specialty counsel, as the case may be, to the affected persons similarly situated and taken as a whole), and (b) due diligence expenses) incurred in connection with the Facilities, the preparation of the Definitive Documentation and the Transactions, in each case whether or not the Transactions are consummated.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agree to indemnify and hold harmless each Commitment Party, each Joint Lead Arranger, each Lender and each of their affiliates, and their and such affiliates’ respective officers, directors, employees, agents, advisors and other representatives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from and against (and will reimburse each Indemnified Party as the same are incurred for) any and all actual or prospective claims, damages, losses, liabilities and expenses (including, without limitation, the reasonable fees, disbursements and other charges of counsel (but limited, in the case of legal fees and expenses, to the reasonable and documented out of pocket fees, disbursements and other charges of one primary counsel to all Indemnified Parties (taken as a whole) and, if reasonably necessary, a single local counsel for all Indemnified Parties (taken as a whole) in each relevant jurisdiction and a single specialty counsel for all Indemnified Parties (taken as a whole) with respect to each relevant specialty, and in the case of an actual or perceived conflict of interest, one additional primary, local or specialty counsel, as the case may be, to the affected Indemnified Parties similarly situated and taken as a whole)) that may be incurred by or asserted or awarded against any Indemnified Party, in each case arising out of or in connection with or by reason of (including, without limitation, in connection with any investigation, litigation, arbitration or proceeding or preparation of a defense in connection therewith) (a) any matters contemplated by this Commitment Letter or the Transactions, or (b) the Facilities and any other financings, or any use made or proposed to be made with the proceeds thereof </w:t>
      </w:r>
      <w:r>
        <w:rPr>
          <w:rFonts w:ascii="Arial" w:cs="Arial" w:eastAsia="Arial" w:hAnsi="Arial"/>
          <w:sz w:val="18"/>
          <w:szCs w:val="18"/>
          <w:b w:val="1"/>
          <w:bCs w:val="1"/>
          <w:color w:val="auto"/>
        </w:rPr>
        <w:t>(IN ALL CASES, WHETHER OR NOT CAUSED OR ARISING, IN WHOLE OR IN PART, OUT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COMPARATIVE, CONTRIBUTORY OR SOLE NEGLIGENCE OF THE INDEMNIFIED PARTY)</w:t>
      </w:r>
      <w:r>
        <w:rPr>
          <w:rFonts w:ascii="Arial" w:cs="Arial" w:eastAsia="Arial" w:hAnsi="Arial"/>
          <w:sz w:val="18"/>
          <w:szCs w:val="18"/>
          <w:color w:val="auto"/>
        </w:rPr>
        <w:t>, except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such claim, damage, loss, liability or expense is found in a final, nonappealable judgment by a court of competent jurisdiction to have resulted from such Indemnified Party’s gross negligence or willful misconduct.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the transactions contemplated hereby are consummated. You also agree that no Indemnified Party shall have any liability (whether direct or indirect, in contract or tort or otherwise) to you or your subsidiaries or affiliates or to your or their respective equity holders or creditors arising out of, related to or in connection with any aspect of the Transactions, except to the extent of direct, as opposed to special, indirect, consequential or punitive, damages determined in a final, nonappealable judgment by a court of competent jurisdiction to have resulted from such Indemnified Party’s gross negligence or willful misconduct. Notwithstanding any other provision of this Commitment Letter, no Indemnified Party shall be liable for any damages arising from the use by others of information or other materials obtained through electronic telecommunications or other information transmission systems, other than for direct or actual damages resulting from the gross negligence or willful misconduct of such Indemnified Party as determined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2" w:name="page163"/>
    <w:bookmarkEnd w:id="162"/>
    <w:p>
      <w:pPr>
        <w:jc w:val="both"/>
        <w:spacing w:after="0" w:line="260" w:lineRule="auto"/>
        <w:rPr>
          <w:sz w:val="20"/>
          <w:szCs w:val="20"/>
          <w:color w:val="auto"/>
        </w:rPr>
      </w:pPr>
      <w:r>
        <w:rPr>
          <w:rFonts w:ascii="Arial" w:cs="Arial" w:eastAsia="Arial" w:hAnsi="Arial"/>
          <w:sz w:val="20"/>
          <w:szCs w:val="20"/>
          <w:color w:val="auto"/>
        </w:rPr>
        <w:t>final and nonappealable judgment of a court of competent jurisdiction, and you agree, to the extent permitted by applicable law, not to assert any claims against any Indemnified Party with respect to the foregoing.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Commitment Letter, the fee letter among you, Bank of America, BofA Securities, JPM and U.S. Bank of even date herewith (the “</w:t>
      </w:r>
      <w:r>
        <w:rPr>
          <w:rFonts w:ascii="Arial" w:cs="Arial" w:eastAsia="Arial" w:hAnsi="Arial"/>
          <w:sz w:val="18"/>
          <w:szCs w:val="18"/>
          <w:b w:val="1"/>
          <w:bCs w:val="1"/>
          <w:i w:val="1"/>
          <w:iCs w:val="1"/>
          <w:color w:val="auto"/>
        </w:rPr>
        <w:t>Joint Fee Letter</w:t>
      </w:r>
      <w:r>
        <w:rPr>
          <w:rFonts w:ascii="Arial" w:cs="Arial" w:eastAsia="Arial" w:hAnsi="Arial"/>
          <w:sz w:val="18"/>
          <w:szCs w:val="18"/>
          <w:color w:val="auto"/>
        </w:rPr>
        <w:t>”) and the fee letter among you, Bank of America and BofA Securities of even date herewith (the “</w:t>
      </w:r>
      <w:r>
        <w:rPr>
          <w:rFonts w:ascii="Arial" w:cs="Arial" w:eastAsia="Arial" w:hAnsi="Arial"/>
          <w:sz w:val="18"/>
          <w:szCs w:val="18"/>
          <w:b w:val="1"/>
          <w:bCs w:val="1"/>
          <w:i w:val="1"/>
          <w:iCs w:val="1"/>
          <w:color w:val="auto"/>
        </w:rPr>
        <w:t>Agency Fee Letter</w:t>
      </w:r>
      <w:r>
        <w:rPr>
          <w:rFonts w:ascii="Arial" w:cs="Arial" w:eastAsia="Arial" w:hAnsi="Arial"/>
          <w:sz w:val="18"/>
          <w:szCs w:val="18"/>
          <w:color w:val="auto"/>
        </w:rPr>
        <w:t>”; the Agency Fee Letter, together with the Joint Fee Letter, the “</w:t>
      </w:r>
      <w:r>
        <w:rPr>
          <w:rFonts w:ascii="Arial" w:cs="Arial" w:eastAsia="Arial" w:hAnsi="Arial"/>
          <w:sz w:val="18"/>
          <w:szCs w:val="18"/>
          <w:b w:val="1"/>
          <w:bCs w:val="1"/>
          <w:i w:val="1"/>
          <w:iCs w:val="1"/>
          <w:color w:val="auto"/>
        </w:rPr>
        <w:t>Fee Letters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Fee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Letter</w:t>
      </w:r>
      <w:r>
        <w:rPr>
          <w:rFonts w:ascii="Arial" w:cs="Arial" w:eastAsia="Arial" w:hAnsi="Arial"/>
          <w:sz w:val="18"/>
          <w:szCs w:val="18"/>
          <w:color w:val="auto"/>
        </w:rPr>
        <w:t>”) and the contents hereof and thereof are confidential and, except for disclosure hereof or thereof on a confidential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basis to your accountants, attorneys and other professional advisors retained by you in connection with the Transactions or as otherwise required by law, may not be disclosed by you in whole or in part to any person or entity without our prior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it is understood and agreed that you may disclose (a) this Commitment Letter but not the Fee Letters after your acceptance of this Commitment Letter and the Fee Letters, in filings with the Securities and Exchange Commission and other applicable regulatory authorities and stock exchanges, (b) this Commitment Letter (but not the Fee Letters) to the Target and its officers, directors, accountants, attorneys and other professional advisors on a confidential and need-to-know basis, and (c) the Fee Letters to the Target and its officers, directors, accountants, attorneys and other professional advisors on a confidential and need-to-know basis, so long as portions thereof have been redacted in a manner reasonably satisfactory to Bank of America, BofA Securities, JPM and U.S. Bank, in the case of the Joint Fee Letter, or Bank of America and BofA Securities, in the case of the Agency Fee Letter (in each case, including the portions thereof addressing fees payable to the Commitment Parties and the other Lenders and other economic terms). We hereby notify you that pursuant to the requirements of the USA PATRIOT Act, Title III of Pub. L. 107-56 (signed into law October 26, 2001) (the “</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each of us is required to obtain, verify and record information that identifies you and your subsidiaries, which information includes each such entity’s name and address and other information that will allow us to identify each such entity in accordance with the PATRIOT Act.</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Each Commitment Party shall use all confidential information provided to it by or on behalf of you hereunder solely for the purpose of providing the services which are the subject of this Commitment Letter and otherwise in connection with the Transactions and shall treat confidentially all such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nothing herein shall prevent any Commitment Party from disclosing any such information (a) pursuant to the order of any court or administrative agency or in any pending legal or administrative proceeding, or otherwise as required by applicable law or compulsory legal process (in which case such Commitment Party agrees to inform you promptly thereof prior to such disclosure to the extent not prohibited by law, rule or regulation), (b) upon the request or demand of any regulatory authority having jurisdiction over such Commitment Party or any of its affiliates, (c) to the extent that such information becomes publicly available other than by reason of disclosure in violation of this Commitment Letter by such Commitment Party, (d) to such Commitment Party’s affiliates, and their and such affiliates’ respective employees, legal counsel, independent auditors and other experts or agents who need to know such information in connection with the Transactions and are informed of the confidential nature of such information,</w:t>
      </w:r>
    </w:p>
    <w:p>
      <w:pPr>
        <w:spacing w:after="0" w:line="8" w:lineRule="exact"/>
        <w:rPr>
          <w:sz w:val="20"/>
          <w:szCs w:val="20"/>
          <w:color w:val="auto"/>
        </w:rPr>
      </w:pPr>
    </w:p>
    <w:p>
      <w:pPr>
        <w:jc w:val="both"/>
        <w:ind w:firstLine="8"/>
        <w:spacing w:after="0" w:line="254" w:lineRule="auto"/>
        <w:tabs>
          <w:tab w:leader="none" w:pos="27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purposes of establishing a “due diligence” defense, (f) to the extent that such information is or was received by such Commitment Party from a third party that is not to such Commitment Party’s knowledge subject to confidentiality obligations to you, (g) to the extent that such information is independently developed by such Commitment Party, (h) to potential Lenders, participants, assignees or potential counterparties to any swap or derivative transaction relating to the Borrower or any of its subsidiaries or any of their respective obligations, in each case, who agree to be bound by the terms of this paragraph (or language substantially similar to this paragraph or as otherwise reasonably acceptable to you and the Commitment Parties, including as may be agreed in any confidential information memorandum or other marketing material), or (i) with the consent of the Borrower. In addition, the Administrative Agent and the Lenders may disclose the existence of the Definitive Documentation and information about the Definitive Documentation to market data collectors, similar service providers to the lending industry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3" w:name="page164"/>
    <w:bookmarkEnd w:id="163"/>
    <w:p>
      <w:pPr>
        <w:jc w:val="both"/>
        <w:spacing w:after="0" w:line="311" w:lineRule="auto"/>
        <w:rPr>
          <w:sz w:val="20"/>
          <w:szCs w:val="20"/>
          <w:color w:val="auto"/>
        </w:rPr>
      </w:pPr>
      <w:r>
        <w:rPr>
          <w:rFonts w:ascii="Arial" w:cs="Arial" w:eastAsia="Arial" w:hAnsi="Arial"/>
          <w:sz w:val="17"/>
          <w:szCs w:val="17"/>
          <w:color w:val="auto"/>
        </w:rPr>
        <w:t>service providers to the Administrative Agent and the Lenders in connection with the administration of the Definitive Documentation and the commitments provided in connection therewith. This paragraph shall automatically terminate and be superseded by the confidentiality provisions set forth in the Definitive Documentation upon execution and delivery thereof (and solely to the extent covered thereby) and in any event shall terminate on the second (2</w:t>
      </w:r>
      <w:r>
        <w:rPr>
          <w:rFonts w:ascii="Arial" w:cs="Arial" w:eastAsia="Arial" w:hAnsi="Arial"/>
          <w:sz w:val="25"/>
          <w:szCs w:val="25"/>
          <w:color w:val="auto"/>
          <w:vertAlign w:val="superscript"/>
        </w:rPr>
        <w:t>nd</w:t>
      </w:r>
      <w:r>
        <w:rPr>
          <w:rFonts w:ascii="Arial" w:cs="Arial" w:eastAsia="Arial" w:hAnsi="Arial"/>
          <w:sz w:val="17"/>
          <w:szCs w:val="17"/>
          <w:color w:val="auto"/>
        </w:rPr>
        <w:t>) anniversary of the date hereof.</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You acknowledge that any Commitment Party or any of its respective affiliates may be providing financing or other services to parties whose interests may conflict with yours. Each Commitment Party agrees that it will not furnish confidential information obtained from you to any of its other customers and that it will treat confidential information relating to you and your affiliates with the same degree of care as it treats its own confidential information. Each Commitment Party further advises you that it will not make available to you confidential information that it has obtained or may obtain from the Sellers or any other customer. In connection with the services and transactions contemplated hereby, you agree that the Commitment Parties are permitted to access, use and share with any of their bank or non-bank affiliates, agents, advisors (legal or otherwise) or representatives any information concerning you or any of your affiliates that is or may come into the possession of the Commitment Parties or any of such affiliates.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connection with all aspects of the Transactions, you acknowledge and agree, and acknowledge your affiliates’ understanding, that: (a)(i) the arranging and other services described herein regarding the Facilities are arm’s-length commercial transactions between you and your affiliates, on the one hand, and the Commitment Parties, on the other hand,</w:t>
      </w:r>
    </w:p>
    <w:p>
      <w:pPr>
        <w:spacing w:after="0" w:line="1" w:lineRule="exact"/>
        <w:rPr>
          <w:sz w:val="20"/>
          <w:szCs w:val="20"/>
          <w:color w:val="auto"/>
        </w:rPr>
      </w:pPr>
    </w:p>
    <w:p>
      <w:pPr>
        <w:jc w:val="both"/>
        <w:ind w:firstLine="8"/>
        <w:spacing w:after="0" w:line="267" w:lineRule="auto"/>
        <w:tabs>
          <w:tab w:leader="none" w:pos="29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Commitment Parties are not advising you as to any legal, tax, investment, accounting, regulatory or other matters in any jurisdiction, and you have consulted your own legal, investment, accounting, regulatory and tax advisors to the extent you have deemed appropriate, and (iii) you are responsible for making your own independent judgment with respect to the Transactions and the process leading thereto and you are capable of evaluating, and understand and accept, the terms, risks and conditions of the transactions contemplated hereby and the Commitment Parties shall have no responsibility to you with respect thereto; (b)(i) each Commitment Party has been, is, and will be acting solely as a principal and, except as otherwise expressly agreed in writing by the relevant parties, has not been, is not, and will not be acting as a financial advisor, an advisor, agent or fiduciary for you, any of your affiliates or any other person or entity, and (ii) no Commitment Party has any obligation to you or your affiliates with respect to the transactions contemplated hereby except those obligations expressly set forth herein; and (c) each Commitment Party and its affiliates may be engaged in a broad range of transactions that involve interests that differ from yours and those of your affiliates, and no Commitment Party has any obligation to disclose any of such interests to you or your affiliates. Any review by a Commitment party of the Borrower, the transactions contemplated hereby or other matters relating to such transactions will be performed solely for the benefit of such Commitment Party and shall not be on the behalf of the Borrower. To the fullest extent permitted by law, you hereby waive and release any claims that you may have against any Commitment Party with respect to any breach or alleged breach of agency or fiduciary duty in connection with any aspect of any transaction contemplated by this Commitment Letter. You further acknowledge that the Commitment Parties are full service securities or banking firms engaged in securities trading and brokerage activities as well as providing investment banking and other financial services. In the ordinary course of business, the Commitment Parties may provide investment banking and other financial services to, and/or acquire, hold or sell, for their own respective accounts and the accounts of their respective customers, equity, debt and other securities and financial instruments (including bank loans and other obligations) of, you and other companies with which you have commercial or other relationships. With respect to any securities and/or financial instruments so held by any Commitment Party or any of its respective customers, all rights in respect of such securities and financial instruments, include any voting rights, will be exercised by the holder of the rights, in its sole discretion.</w:t>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This Commitment Letter and the Fee Letters shall be governed by, and construed in accordance with, the laws of the State of New York;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(a) the interpretation of the definition of “Company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4" w:name="page165"/>
    <w:bookmarkEnd w:id="164"/>
    <w:p>
      <w:pPr>
        <w:jc w:val="both"/>
        <w:spacing w:after="0" w:line="268" w:lineRule="auto"/>
        <w:rPr>
          <w:sz w:val="20"/>
          <w:szCs w:val="20"/>
          <w:color w:val="auto"/>
        </w:rPr>
      </w:pPr>
      <w:r>
        <w:rPr>
          <w:rFonts w:ascii="Arial" w:cs="Arial" w:eastAsia="Arial" w:hAnsi="Arial"/>
          <w:sz w:val="18"/>
          <w:szCs w:val="18"/>
          <w:color w:val="auto"/>
        </w:rPr>
        <w:t>Adverse Effect” (as defined in the Acquisition Agreement as in effect on the date hereof) and whether or not a “Company Material Adverse Effect” has occurred, (b) the accuracy of any of the Specified Acquisition Agreement Representations and whether as a result of any inaccuracy thereof you (or any of your affiliates) have the right to terminate your (or such affiliates’) obligations under the Acquisition Agreement, or to not consummate the Acquisition, and (c) whether the Acquisition has been consummated in accordance with the terms of the Acquisition Agreement, in each case, shall be governed by, and construed in accordance with, the laws of the State of Delaware, without giving effect to the principles of conflicts of law thereof. Each party hereto hereby irrevocably waives any and all right to trial by jury in any action, proceeding or counterclaim (whether based on contract, tort or otherwise) arising out of or relating to this Commitment Letter, the Fee Letters, the transactions contemplated hereby and thereby or the actions of the Commitment Parties in the negotiation, performance or enforcement hereof. Each party hereto hereby irrevocably and unconditionally submits to the exclusive jurisdiction of any New York State court or Federal court of the United States of America sitting in the Borough of Manhattan in New York City in respect of any suit, action or proceeding arising out of or relating to the provisions of this Commitment Letter, the Fee Letters and the transactions contemplated hereby and thereby, and irrevocably agrees that all claims in respect of any such suit, action or proceeding may be heard and determined in any such court. Nothing in this Commitment Letter or the Fee Letters shall affect any right that any Commitment Party or any affiliate thereof may otherwise have to bring any claim, action or proceeding relating to this Commitment Letter, the Fee Letters and/or the transactions contemplated hereby and thereby in any court of competent jurisdiction to the extent necessary or required as a matter of law to assert such claim, action or proceeding against any assets of the Borrower or any of its subsidiaries or enforce any judgment arising out of any such claim, action or proceeding. Each party hereto agrees that service of any process, summons, notice or document by registered mail addressed to such party shall be effective service of process against such party for any suit, action or proceeding relating to any such dispute. Each party hereto waives, to the fullest extent permitted by applicable law, any objection that it may now or hereafter have to the laying of the venue of any such suit, action or proceedings brought in any such court, and any claim that any such suit, action or proceeding brought in any such court has been brought in an inconvenient forum. A final judgment in any such suit, action or proceeding brought in any such court may be enforced in any other courts to whose jurisdiction you are or may be subject by suit upon judgment.</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provisions of the immediately preceding seven (7) paragraphs shall remain in full force and effect regardless of whether the Definitive Documentation shall be executed and delivered, and notwithstanding the termination of this Commitment Letter or any commitment or undertaking of any Commitment Party hereunder (but subject to the last sentence of the fourth (4</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preceding paragraph relating to the automatic termination of the obligations of the Commitment Parties under that paragraph);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your obligations under the sixth (6</w:t>
      </w:r>
      <w:r>
        <w:rPr>
          <w:rFonts w:ascii="Arial" w:cs="Arial" w:eastAsia="Arial" w:hAnsi="Arial"/>
          <w:sz w:val="28"/>
          <w:szCs w:val="28"/>
          <w:color w:val="auto"/>
          <w:vertAlign w:val="superscript"/>
        </w:rPr>
        <w:t>th</w:t>
      </w:r>
      <w:r>
        <w:rPr>
          <w:rFonts w:ascii="Arial" w:cs="Arial" w:eastAsia="Arial" w:hAnsi="Arial"/>
          <w:sz w:val="19"/>
          <w:szCs w:val="19"/>
          <w:color w:val="auto"/>
        </w:rPr>
        <w:t>) and seventh (7</w:t>
      </w:r>
      <w:r>
        <w:rPr>
          <w:rFonts w:ascii="Arial" w:cs="Arial" w:eastAsia="Arial" w:hAnsi="Arial"/>
          <w:sz w:val="28"/>
          <w:szCs w:val="28"/>
          <w:color w:val="auto"/>
          <w:vertAlign w:val="superscript"/>
        </w:rPr>
        <w:t>th</w:t>
      </w:r>
      <w:r>
        <w:rPr>
          <w:rFonts w:ascii="Arial" w:cs="Arial" w:eastAsia="Arial" w:hAnsi="Arial"/>
          <w:sz w:val="19"/>
          <w:szCs w:val="19"/>
          <w:color w:val="auto"/>
        </w:rPr>
        <w:t>) immediately preceding paragraphs with respect to reimbursement of expenses and indemnification shall, to the extent covered thereby, be superseded by the Definitive Documentation (to the extent covered thereby) on the Closing Date.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Commitment Letter and each Fee Letter may be in the form of an electronic record (in “.pdf” form or otherwise) and, subject to the approval of BofA Securities, may be executed using electronic signatures, which shall be considered as originals and shall have the same legal effect, validity and enforceability as a paper record. This Commitment Letter and each Fee Letter may be executed in as many counterparts as necessary or convenient, including both paper and electronic counterparts, but all such counterparts shall be one and the same Commitment Letter or Fee Letter, as applicable. For the avoidance of doubt, the authorization under this paragraph may include, without limitation, use or acceptance by the parties hereto of a manually signed counterpart of this Commitment Letter or a Fee Letter which has been converted into electronic form (such as scanned into “.pdf” format), or, subject to the approval of BofA Securities, an electronically signed counterpart of this Commitment Letter or such Fee Letter converted into another format, for transmission, delivery and/or retention. The Commitment Parties reserve the right to employ the services of their respective affiliates or branches in providing services contemplated hereby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5" w:name="page166"/>
    <w:bookmarkEnd w:id="165"/>
    <w:p>
      <w:pPr>
        <w:jc w:val="both"/>
        <w:spacing w:after="0" w:line="246" w:lineRule="auto"/>
        <w:rPr>
          <w:sz w:val="20"/>
          <w:szCs w:val="20"/>
          <w:color w:val="auto"/>
        </w:rPr>
      </w:pPr>
      <w:r>
        <w:rPr>
          <w:rFonts w:ascii="Arial" w:cs="Arial" w:eastAsia="Arial" w:hAnsi="Arial"/>
          <w:sz w:val="20"/>
          <w:szCs w:val="20"/>
          <w:color w:val="auto"/>
        </w:rPr>
        <w:t>allocate, in whole or in part, to their affiliates or branches certain fees payable to them in such manner as they and their affiliates or branches may agree in their sole discretion and, to the extent so employed, such affiliates and branches shall be entitled to the benefits and protections afforded to, and subject to the provisions governing the conduct of, the Commitment Parties hereunder.</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Commitment Letter and the Fee Letters embody the entire agreement and understanding among the Commitment Parties, you and your affiliates with respect to the Facilities and supersedes all prior agreements and understandings relating to the specific matters hereof. No party has been authorized by any Commitment Party to make any oral or written statements that are inconsistent with this Commitment Letter. This Commitment Letter is not assignable by the Borrower without our prior written consent and is intended to be solely for the benefit of the parties hereto and the Indemnified Parties.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Each of the parties hereto agrees that (a) this Commitment Letter is a binding and enforceable agreement with respect to the subject matter contained herein, including the good faith negotiation of the Definitive Documentation by the parties hereto in a manner consistent with this Commitment Letter (it being understood and agreed that the availability of the commitments being provided hereunder and the funding of the Necessary Acquisition Funds on the Closing Date are, in each case, subject to the satisfaction of the conditions precedent set forth on the Conditions Annex), and (b) each Fee Letter is a binding and enforceable agreement with respect to the subject matter contained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nothing contained in this Commitment Letter obligates you or any of your affiliates to consummate any portion of the Transactions.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Commitment Letter and all commitments and undertakings of the Commitment Parties hereunder will expire at 11:59 p.m. (Eastern time) on January 11, 2021 unless you execute this Commitment Letter and each Fee Letter and return them to us prior to that time, whereupon this Commitment Letter and the Fee Letters shall become binding agreements. Thereafter, all commitments and undertakings of the Commitment Parties hereunder will expire on the earliest to occur of (a) the consummation of the Acquisition (whether after giving effect to the funding of the Necessary Acquisition Funds or without the funding of the Facilities), (b) the date of the termination of the Acquisition Agreement prior to the closing of the Acquisition, and (c) 5 business days after the Outside Date (as defined in the Acquisition Agreement as in effect on the date hereof (as such date may be extended pursuant to the first proviso to Section 9.1(b) of the Acquisition Agreement as in effect on the date hereof)). In consideration of the time and resources that the Commitment Parties will devote to the Facilities, you agree that, until such expiration, you will not solicit, initiate, entertain or permit, or enter into any discussions in respect of, any offering, placement or arrangement of any competing debt securities, senior notes, bank financing, or senior credit facilities for the Borrower and/or any of its subsidiaries or the Acquisition, other than (i) any indebtedness permitted to be assumed under the Acquisition Agreement (as in effect on the date hereof), and (ii) other indebtedness to be agreed among you and the Joint Lead Arrangers.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THIS COMMITMENT LETTER AND THE FEE LETTERS REPRESENT THE FINAL AGREEMENT BETWEEN THE PARTIES AND MAY NOT BE CONTRADICTED BY EVIDENCE OF PRIOR, CONTEMPORANEOUS, OR SUBSEQUENT ORAL AGREEMENTS OF THE PARTIES. THERE ARE NO UNWRITTEN ORAL AGREEMENTS BETWEEN THE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We are pleased to have the opportunity to work with you in connection with this important financing.</w:t>
      </w:r>
    </w:p>
    <w:p>
      <w:pPr>
        <w:spacing w:after="0" w:line="24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BANK OF AMERICA, N.A.</w:t>
      </w:r>
    </w:p>
    <w:p>
      <w:pPr>
        <w:spacing w:after="0" w:line="235"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/s/Angel Sutoyo</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Angel Sutoyo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-144780</wp:posOffset>
            </wp:positionV>
            <wp:extent cx="27260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Arial" w:cs="Arial" w:eastAsia="Arial" w:hAnsi="Arial"/>
          <w:sz w:val="20"/>
          <w:szCs w:val="20"/>
          <w:color w:val="auto"/>
        </w:rPr>
        <w:t>Title:</w:t>
        <w:tab/>
        <w:t>Senior Vice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BOFA SECURITIES, INC.</w:t>
      </w:r>
    </w:p>
    <w:p>
      <w:pPr>
        <w:spacing w:after="0" w:line="235"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/s/Mark Post</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Mark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-144780</wp:posOffset>
            </wp:positionV>
            <wp:extent cx="27260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Arial" w:cs="Arial" w:eastAsia="Arial" w:hAnsi="Arial"/>
          <w:sz w:val="20"/>
          <w:szCs w:val="20"/>
          <w:color w:val="auto"/>
        </w:rPr>
        <w:t>Title:</w:t>
        <w:tab/>
        <w:t>Managing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JPMORGAN CHASE BANK, N.A.</w:t>
      </w:r>
    </w:p>
    <w:p>
      <w:pPr>
        <w:spacing w:after="0" w:line="235" w:lineRule="exact"/>
        <w:rPr>
          <w:sz w:val="20"/>
          <w:szCs w:val="20"/>
          <w:color w:val="auto"/>
        </w:rPr>
      </w:pPr>
    </w:p>
    <w:tbl>
      <w:tblPr>
        <w:tblLayout w:type="fixed"/>
        <w:tblInd w:w="498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/s/Anna C. Araya</w:t>
            </w:r>
          </w:p>
        </w:tc>
      </w:tr>
      <w:tr>
        <w:trPr>
          <w:trHeight w:val="213"/>
        </w:trPr>
        <w:tc>
          <w:tcPr>
            <w:tcW w:w="6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300" w:type="dxa"/>
            <w:vAlign w:val="bottom"/>
          </w:tcPr>
          <w:p>
            <w:pPr>
              <w:spacing w:after="0" w:line="212" w:lineRule="exact"/>
              <w:rPr>
                <w:sz w:val="20"/>
                <w:szCs w:val="20"/>
                <w:color w:val="auto"/>
              </w:rPr>
            </w:pPr>
            <w:r>
              <w:rPr>
                <w:rFonts w:ascii="Arial" w:cs="Arial" w:eastAsia="Arial" w:hAnsi="Arial"/>
                <w:sz w:val="20"/>
                <w:szCs w:val="20"/>
                <w:color w:val="auto"/>
              </w:rPr>
              <w:t>Anna C. Araya</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spacing w:after="0"/>
              <w:rPr>
                <w:sz w:val="20"/>
                <w:szCs w:val="20"/>
                <w:color w:val="auto"/>
              </w:rPr>
            </w:pPr>
            <w:r>
              <w:rPr>
                <w:rFonts w:ascii="Arial" w:cs="Arial" w:eastAsia="Arial" w:hAnsi="Arial"/>
                <w:sz w:val="20"/>
                <w:szCs w:val="20"/>
                <w:color w:val="auto"/>
              </w:rPr>
              <w:t>Executive Director</w:t>
            </w:r>
          </w:p>
        </w:tc>
      </w:tr>
    </w:tbl>
    <w:p>
      <w:pPr>
        <w:spacing w:after="0" w:line="203"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U.S. BANK NATIONAL ASSOCIATION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20" w:type="dxa"/>
            <w:vAlign w:val="bottom"/>
          </w:tcPr>
          <w:p>
            <w:pPr>
              <w:ind w:left="4980"/>
              <w:spacing w:after="0"/>
              <w:rPr>
                <w:sz w:val="20"/>
                <w:szCs w:val="20"/>
                <w:color w:val="auto"/>
              </w:rPr>
            </w:pPr>
            <w:r>
              <w:rPr>
                <w:rFonts w:ascii="Arial" w:cs="Arial" w:eastAsia="Arial" w:hAnsi="Arial"/>
                <w:sz w:val="20"/>
                <w:szCs w:val="20"/>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/s/G. Scott Lambert</w:t>
            </w:r>
          </w:p>
        </w:tc>
      </w:tr>
      <w:tr>
        <w:trPr>
          <w:trHeight w:val="213"/>
        </w:trPr>
        <w:tc>
          <w:tcPr>
            <w:tcW w:w="5620" w:type="dxa"/>
            <w:vAlign w:val="bottom"/>
          </w:tcPr>
          <w:p>
            <w:pPr>
              <w:ind w:left="4980"/>
              <w:spacing w:after="0" w:line="212" w:lineRule="exact"/>
              <w:rPr>
                <w:sz w:val="20"/>
                <w:szCs w:val="20"/>
                <w:color w:val="auto"/>
              </w:rPr>
            </w:pPr>
            <w:r>
              <w:rPr>
                <w:rFonts w:ascii="Arial" w:cs="Arial" w:eastAsia="Arial" w:hAnsi="Arial"/>
                <w:sz w:val="20"/>
                <w:szCs w:val="20"/>
                <w:color w:val="auto"/>
              </w:rPr>
              <w:t>Name:</w:t>
            </w:r>
          </w:p>
        </w:tc>
        <w:tc>
          <w:tcPr>
            <w:tcW w:w="4300" w:type="dxa"/>
            <w:vAlign w:val="bottom"/>
          </w:tcPr>
          <w:p>
            <w:pPr>
              <w:spacing w:after="0" w:line="212" w:lineRule="exact"/>
              <w:rPr>
                <w:sz w:val="20"/>
                <w:szCs w:val="20"/>
                <w:color w:val="auto"/>
              </w:rPr>
            </w:pPr>
            <w:r>
              <w:rPr>
                <w:rFonts w:ascii="Arial" w:cs="Arial" w:eastAsia="Arial" w:hAnsi="Arial"/>
                <w:sz w:val="20"/>
                <w:szCs w:val="20"/>
                <w:color w:val="auto"/>
              </w:rPr>
              <w:t>G. Scott Lambert</w:t>
            </w:r>
          </w:p>
        </w:tc>
      </w:tr>
      <w:tr>
        <w:trPr>
          <w:trHeight w:val="250"/>
        </w:trPr>
        <w:tc>
          <w:tcPr>
            <w:tcW w:w="5620" w:type="dxa"/>
            <w:vAlign w:val="bottom"/>
          </w:tcPr>
          <w:p>
            <w:pPr>
              <w:ind w:left="4980"/>
              <w:spacing w:after="0"/>
              <w:rPr>
                <w:sz w:val="20"/>
                <w:szCs w:val="20"/>
                <w:color w:val="auto"/>
              </w:rPr>
            </w:pPr>
            <w:r>
              <w:rPr>
                <w:rFonts w:ascii="Arial" w:cs="Arial" w:eastAsia="Arial" w:hAnsi="Arial"/>
                <w:sz w:val="20"/>
                <w:szCs w:val="20"/>
                <w:color w:val="auto"/>
              </w:rPr>
              <w:t>Title:</w:t>
            </w:r>
          </w:p>
        </w:tc>
        <w:tc>
          <w:tcPr>
            <w:tcW w:w="4300" w:type="dxa"/>
            <w:vAlign w:val="bottom"/>
          </w:tcPr>
          <w:p>
            <w:pPr>
              <w:spacing w:after="0"/>
              <w:rPr>
                <w:sz w:val="20"/>
                <w:szCs w:val="20"/>
                <w:color w:val="auto"/>
              </w:rPr>
            </w:pPr>
            <w:r>
              <w:rPr>
                <w:rFonts w:ascii="Arial" w:cs="Arial" w:eastAsia="Arial" w:hAnsi="Arial"/>
                <w:sz w:val="20"/>
                <w:szCs w:val="20"/>
                <w:color w:val="auto"/>
              </w:rPr>
              <w:t>Vice President</w:t>
            </w:r>
          </w:p>
        </w:tc>
      </w:tr>
      <w:tr>
        <w:trPr>
          <w:trHeight w:val="1218"/>
        </w:trPr>
        <w:tc>
          <w:tcPr>
            <w:tcW w:w="56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ACCEPTED AND AGREED TO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AEROVIRONMENT, INC.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tab/>
        <w:t>/s/Kevin P. McDonnell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089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763270</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66"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AeroVironment,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Transaction Description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Capitalized terms used but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the meanings set forth in the Commitment Letter.</w:t>
      </w:r>
    </w:p>
    <w:p>
      <w:pPr>
        <w:spacing w:after="0" w:line="23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AeroVironment,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intends to consummate the Acquisition pursuant to the Acquisition Agreement. In connection with the foregoing, it is intended that:</w:t>
      </w:r>
    </w:p>
    <w:p>
      <w:pPr>
        <w:spacing w:after="0" w:line="177" w:lineRule="exact"/>
        <w:rPr>
          <w:sz w:val="20"/>
          <w:szCs w:val="20"/>
          <w:color w:val="auto"/>
        </w:rPr>
      </w:pPr>
    </w:p>
    <w:p>
      <w:pPr>
        <w:ind w:left="660" w:right="20" w:firstLine="644"/>
        <w:spacing w:after="0" w:line="260" w:lineRule="auto"/>
        <w:tabs>
          <w:tab w:leader="none" w:pos="214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Pursuant to the Acquisition Agreement, the Borrower will consummate the Acquisition and the other transactions described therein or related thereto.</w:t>
      </w:r>
    </w:p>
    <w:p>
      <w:pPr>
        <w:spacing w:after="0" w:line="176" w:lineRule="exact"/>
        <w:rPr>
          <w:rFonts w:ascii="Arial" w:cs="Arial" w:eastAsia="Arial" w:hAnsi="Arial"/>
          <w:sz w:val="20"/>
          <w:szCs w:val="20"/>
          <w:color w:val="auto"/>
        </w:rPr>
      </w:pPr>
    </w:p>
    <w:p>
      <w:pPr>
        <w:ind w:left="1980" w:hanging="676"/>
        <w:spacing w:after="0"/>
        <w:tabs>
          <w:tab w:leader="none" w:pos="19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Borrower will (i) obtain the Term Loan Facility, and (ii) obtain the Revolving Facility.</w:t>
      </w:r>
    </w:p>
    <w:p>
      <w:pPr>
        <w:spacing w:after="0" w:line="215" w:lineRule="exact"/>
        <w:rPr>
          <w:rFonts w:ascii="Arial" w:cs="Arial" w:eastAsia="Arial" w:hAnsi="Arial"/>
          <w:sz w:val="20"/>
          <w:szCs w:val="20"/>
          <w:color w:val="auto"/>
        </w:rPr>
      </w:pPr>
    </w:p>
    <w:p>
      <w:pPr>
        <w:jc w:val="both"/>
        <w:ind w:left="660" w:firstLine="644"/>
        <w:spacing w:after="0" w:line="276" w:lineRule="auto"/>
        <w:tabs>
          <w:tab w:leader="none" w:pos="19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All existing indebtedness of the Target and its subsidiaries (other than any indebtedness permitted to be assumed under the Acquisition Agreement (as in effect on the date hereof)) shall have been repaid (including indebtedness arising under or in connection with that certain Credit Agreement, dated as of August 20, 2020, by and among, </w:t>
      </w:r>
      <w:r>
        <w:rPr>
          <w:rFonts w:ascii="Arial" w:cs="Arial" w:eastAsia="Arial" w:hAnsi="Arial"/>
          <w:sz w:val="18"/>
          <w:szCs w:val="18"/>
          <w:i w:val="1"/>
          <w:iCs w:val="1"/>
          <w:color w:val="auto"/>
        </w:rPr>
        <w:t>inter alia</w:t>
      </w:r>
      <w:r>
        <w:rPr>
          <w:rFonts w:ascii="Arial" w:cs="Arial" w:eastAsia="Arial" w:hAnsi="Arial"/>
          <w:sz w:val="18"/>
          <w:szCs w:val="18"/>
          <w:color w:val="auto"/>
        </w:rPr>
        <w:t>, the Target and Western Alliance Bank), all commitments with respect to all such indebtedness shall have been terminated, and all liens and security interests securing all such indebtedness, and all guaranties guarantying such indebtedness, shall have been released or terminated (collectively,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660" w:firstLine="644"/>
        <w:spacing w:after="0" w:line="260" w:lineRule="auto"/>
        <w:tabs>
          <w:tab w:leader="none" w:pos="202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Borrower will (i) make the Equity Contribution and (ii) apply the Balance Sheet Cash to pay a portion of the purchase price in connection with the Acquisition.</w:t>
      </w:r>
    </w:p>
    <w:p>
      <w:pPr>
        <w:spacing w:after="0" w:line="176" w:lineRule="exact"/>
        <w:rPr>
          <w:rFonts w:ascii="Arial" w:cs="Arial" w:eastAsia="Arial" w:hAnsi="Arial"/>
          <w:sz w:val="20"/>
          <w:szCs w:val="20"/>
          <w:color w:val="auto"/>
        </w:rPr>
      </w:pPr>
    </w:p>
    <w:p>
      <w:pPr>
        <w:jc w:val="both"/>
        <w:ind w:left="660" w:firstLine="644"/>
        <w:spacing w:after="0" w:line="263" w:lineRule="auto"/>
        <w:tabs>
          <w:tab w:leader="none" w:pos="196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proceeds of the Necessary Acquisition Funds will be applied to (i) pay a portion of the purchase price in connection with the Acquisition, (ii) pay the fees, costs and expenses incurred in connection with the Transactions (such fees and expenses, the “</w:t>
      </w:r>
      <w:r>
        <w:rPr>
          <w:rFonts w:ascii="Arial" w:cs="Arial" w:eastAsia="Arial" w:hAnsi="Arial"/>
          <w:sz w:val="19"/>
          <w:szCs w:val="19"/>
          <w:b w:val="1"/>
          <w:bCs w:val="1"/>
          <w:i w:val="1"/>
          <w:iCs w:val="1"/>
          <w:color w:val="auto"/>
        </w:rPr>
        <w:t>Transaction Costs</w:t>
      </w:r>
      <w:r>
        <w:rPr>
          <w:rFonts w:ascii="Arial" w:cs="Arial" w:eastAsia="Arial" w:hAnsi="Arial"/>
          <w:sz w:val="19"/>
          <w:szCs w:val="19"/>
          <w:color w:val="auto"/>
        </w:rPr>
        <w:t xml:space="preserve">”), and (iii) consummate the Refinancing (the amounts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collectively, the “</w:t>
      </w:r>
      <w:r>
        <w:rPr>
          <w:rFonts w:ascii="Arial" w:cs="Arial" w:eastAsia="Arial" w:hAnsi="Arial"/>
          <w:sz w:val="19"/>
          <w:szCs w:val="19"/>
          <w:b w:val="1"/>
          <w:bCs w:val="1"/>
          <w:i w:val="1"/>
          <w:iCs w:val="1"/>
          <w:color w:val="auto"/>
        </w:rPr>
        <w:t>Acquisition Costs</w:t>
      </w:r>
      <w:r>
        <w:rPr>
          <w:rFonts w:ascii="Arial" w:cs="Arial" w:eastAsia="Arial" w:hAnsi="Arial"/>
          <w:sz w:val="19"/>
          <w:szCs w:val="19"/>
          <w:color w:val="auto"/>
        </w:rPr>
        <w:t>”).</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The transactions described above (including the payment of Transaction Costs) on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are collectively referred to herein as the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885825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r>
      <w:tr>
        <w:trPr>
          <w:trHeight w:val="405"/>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EXHIBIT B</w:t>
            </w:r>
          </w:p>
        </w:tc>
      </w:tr>
      <w:tr>
        <w:trPr>
          <w:trHeight w:val="425"/>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80" w:type="dxa"/>
            <w:vAlign w:val="bottom"/>
            <w:gridSpan w:val="4"/>
          </w:tcPr>
          <w:p>
            <w:pPr>
              <w:jc w:val="right"/>
              <w:ind w:right="4041"/>
              <w:spacing w:after="0"/>
              <w:rPr>
                <w:sz w:val="20"/>
                <w:szCs w:val="20"/>
                <w:color w:val="auto"/>
              </w:rPr>
            </w:pPr>
            <w:r>
              <w:rPr>
                <w:rFonts w:ascii="Arial" w:cs="Arial" w:eastAsia="Arial" w:hAnsi="Arial"/>
                <w:sz w:val="20"/>
                <w:szCs w:val="20"/>
                <w:color w:val="auto"/>
                <w:w w:val="91"/>
              </w:rPr>
              <w:t>AeroVironment, Inc.</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80" w:type="dxa"/>
            <w:vAlign w:val="bottom"/>
            <w:gridSpan w:val="5"/>
          </w:tcPr>
          <w:p>
            <w:pPr>
              <w:jc w:val="right"/>
              <w:ind w:right="3421"/>
              <w:spacing w:after="0" w:line="210" w:lineRule="exact"/>
              <w:rPr>
                <w:sz w:val="20"/>
                <w:szCs w:val="20"/>
                <w:color w:val="auto"/>
              </w:rPr>
            </w:pPr>
            <w:r>
              <w:rPr>
                <w:rFonts w:ascii="Arial" w:cs="Arial" w:eastAsia="Arial" w:hAnsi="Arial"/>
                <w:sz w:val="17"/>
                <w:szCs w:val="17"/>
                <w:color w:val="auto"/>
              </w:rPr>
              <w:t>Summary of Terms and Conditions</w:t>
            </w:r>
            <w:r>
              <w:rPr>
                <w:rFonts w:ascii="Arial" w:cs="Arial" w:eastAsia="Arial" w:hAnsi="Arial"/>
                <w:sz w:val="24"/>
                <w:szCs w:val="24"/>
                <w:color w:val="auto"/>
                <w:vertAlign w:val="superscript"/>
              </w:rPr>
              <w:t>1</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r>
      <w:tr>
        <w:trPr>
          <w:trHeight w:val="439"/>
        </w:trPr>
        <w:tc>
          <w:tcPr>
            <w:tcW w:w="2660" w:type="dxa"/>
            <w:vAlign w:val="bottom"/>
            <w:gridSpan w:val="7"/>
          </w:tcPr>
          <w:p>
            <w:pPr>
              <w:spacing w:after="0"/>
              <w:rPr>
                <w:sz w:val="20"/>
                <w:szCs w:val="20"/>
                <w:color w:val="auto"/>
              </w:rPr>
            </w:pPr>
            <w:r>
              <w:rPr>
                <w:rFonts w:ascii="Arial" w:cs="Arial" w:eastAsia="Arial" w:hAnsi="Arial"/>
                <w:sz w:val="20"/>
                <w:szCs w:val="20"/>
                <w:color w:val="auto"/>
              </w:rPr>
              <w:t>Borrower:</w:t>
            </w: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AeroVironment,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w:t>
            </w: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r>
      <w:tr>
        <w:trPr>
          <w:trHeight w:val="439"/>
        </w:trPr>
        <w:tc>
          <w:tcPr>
            <w:tcW w:w="2660" w:type="dxa"/>
            <w:vAlign w:val="bottom"/>
            <w:gridSpan w:val="7"/>
          </w:tcPr>
          <w:p>
            <w:pPr>
              <w:spacing w:after="0"/>
              <w:rPr>
                <w:sz w:val="20"/>
                <w:szCs w:val="20"/>
                <w:color w:val="auto"/>
              </w:rPr>
            </w:pPr>
            <w:r>
              <w:rPr>
                <w:rFonts w:ascii="Arial" w:cs="Arial" w:eastAsia="Arial" w:hAnsi="Arial"/>
                <w:sz w:val="20"/>
                <w:szCs w:val="20"/>
                <w:color w:val="auto"/>
              </w:rPr>
              <w:t>Guarantors:</w:t>
            </w: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3"/>
              </w:rPr>
              <w:t>The obligations arising under the Facilities (as defined below) (the “</w:t>
            </w:r>
            <w:r>
              <w:rPr>
                <w:rFonts w:ascii="Arial" w:cs="Arial" w:eastAsia="Arial" w:hAnsi="Arial"/>
                <w:sz w:val="20"/>
                <w:szCs w:val="20"/>
                <w:b w:val="1"/>
                <w:bCs w:val="1"/>
                <w:i w:val="1"/>
                <w:iCs w:val="1"/>
                <w:color w:val="auto"/>
                <w:w w:val="93"/>
              </w:rPr>
              <w:t>Obligations</w:t>
            </w:r>
            <w:r>
              <w:rPr>
                <w:rFonts w:ascii="Arial" w:cs="Arial" w:eastAsia="Arial" w:hAnsi="Arial"/>
                <w:sz w:val="20"/>
                <w:szCs w:val="20"/>
                <w:color w:val="auto"/>
                <w:w w:val="93"/>
              </w:rPr>
              <w:t>”) and</w:t>
            </w:r>
          </w:p>
        </w:tc>
      </w:tr>
      <w:tr>
        <w:trPr>
          <w:trHeight w:val="233"/>
        </w:trPr>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3"/>
              </w:rPr>
              <w:t>the obligations arising in connection with any treasury or cash management services,</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2"/>
              </w:rPr>
              <w:t>interest rate, currency, foreign exchange or commodity swap or hedging arrangements</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1"/>
              </w:rPr>
              <w:t>entered into by the Borrower or any of its subsidiaries with a Lender (as defined below)</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3"/>
              </w:rPr>
              <w:t>(or any affiliate of any Lender) (the “</w:t>
            </w:r>
            <w:r>
              <w:rPr>
                <w:rFonts w:ascii="Arial" w:cs="Arial" w:eastAsia="Arial" w:hAnsi="Arial"/>
                <w:sz w:val="20"/>
                <w:szCs w:val="20"/>
                <w:b w:val="1"/>
                <w:bCs w:val="1"/>
                <w:i w:val="1"/>
                <w:iCs w:val="1"/>
                <w:color w:val="auto"/>
                <w:w w:val="93"/>
              </w:rPr>
              <w:t>Additional Secured Obligations</w:t>
            </w:r>
            <w:r>
              <w:rPr>
                <w:rFonts w:ascii="Arial" w:cs="Arial" w:eastAsia="Arial" w:hAnsi="Arial"/>
                <w:sz w:val="20"/>
                <w:szCs w:val="20"/>
                <w:color w:val="auto"/>
                <w:w w:val="93"/>
              </w:rPr>
              <w:t>”; the Additional</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2"/>
              </w:rPr>
              <w:t>Secured Obligations, together with the Obligations, the “</w:t>
            </w:r>
            <w:r>
              <w:rPr>
                <w:rFonts w:ascii="Arial" w:cs="Arial" w:eastAsia="Arial" w:hAnsi="Arial"/>
                <w:sz w:val="20"/>
                <w:szCs w:val="20"/>
                <w:b w:val="1"/>
                <w:bCs w:val="1"/>
                <w:i w:val="1"/>
                <w:iCs w:val="1"/>
                <w:color w:val="auto"/>
                <w:w w:val="92"/>
              </w:rPr>
              <w:t>Secured Obligations</w:t>
            </w:r>
            <w:r>
              <w:rPr>
                <w:rFonts w:ascii="Arial" w:cs="Arial" w:eastAsia="Arial" w:hAnsi="Arial"/>
                <w:sz w:val="20"/>
                <w:szCs w:val="20"/>
                <w:color w:val="auto"/>
                <w:w w:val="92"/>
              </w:rPr>
              <w:t>”) will be</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4"/>
              </w:rPr>
              <w:t>guaranteed by each existing and future direct and indirect domestic subsidiary of the</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0"/>
              </w:rPr>
              <w:t>Borrower (each, a “</w:t>
            </w:r>
            <w:r>
              <w:rPr>
                <w:rFonts w:ascii="Arial" w:cs="Arial" w:eastAsia="Arial" w:hAnsi="Arial"/>
                <w:sz w:val="20"/>
                <w:szCs w:val="20"/>
                <w:b w:val="1"/>
                <w:bCs w:val="1"/>
                <w:i w:val="1"/>
                <w:iCs w:val="1"/>
                <w:color w:val="auto"/>
                <w:w w:val="90"/>
              </w:rPr>
              <w:t>Guarantor</w:t>
            </w:r>
            <w:r>
              <w:rPr>
                <w:rFonts w:ascii="Arial" w:cs="Arial" w:eastAsia="Arial" w:hAnsi="Arial"/>
                <w:sz w:val="20"/>
                <w:szCs w:val="20"/>
                <w:color w:val="auto"/>
                <w:w w:val="90"/>
              </w:rPr>
              <w:t>”; the Guarantors, together with the Borrower, the “</w:t>
            </w:r>
            <w:r>
              <w:rPr>
                <w:rFonts w:ascii="Arial" w:cs="Arial" w:eastAsia="Arial" w:hAnsi="Arial"/>
                <w:sz w:val="20"/>
                <w:szCs w:val="20"/>
                <w:b w:val="1"/>
                <w:bCs w:val="1"/>
                <w:i w:val="1"/>
                <w:iCs w:val="1"/>
                <w:color w:val="auto"/>
                <w:w w:val="90"/>
              </w:rPr>
              <w:t>Credit</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b w:val="1"/>
                <w:bCs w:val="1"/>
                <w:i w:val="1"/>
                <w:iCs w:val="1"/>
                <w:color w:val="auto"/>
              </w:rPr>
              <w:t>Parties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Credit Party</w:t>
            </w:r>
            <w:r>
              <w:rPr>
                <w:rFonts w:ascii="Arial" w:cs="Arial" w:eastAsia="Arial" w:hAnsi="Arial"/>
                <w:sz w:val="20"/>
                <w:szCs w:val="20"/>
                <w:color w:val="auto"/>
              </w:rPr>
              <w:t>”). In addition, the Borrower will guaranty all</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1"/>
              </w:rPr>
              <w:t>Additional Secured Obligations of any subsidiary of the Borrower. All guarantees will be</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0"/>
              </w:rPr>
              <w:t>guarantees of payment and not of collection. Notwithstanding anything contained herein</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7"/>
              </w:rPr>
              <w:t>to the contrary, any Additional Secured Obligations of a Credit Party shall exclude</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3"/>
              </w:rPr>
              <w:t>certain swap obligations if, and to the extent that, such swap obligation is or becomes</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illegal under the Commodity Exchange Act with respect to such Credit Party</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3"/>
              </w:rPr>
              <w:t>(determined after giving effect to any keepwell or other support for the benefit of such</w:t>
            </w:r>
          </w:p>
        </w:tc>
      </w:tr>
      <w:tr>
        <w:trPr>
          <w:trHeight w:val="250"/>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Credit Party).</w:t>
            </w:r>
          </w:p>
        </w:tc>
      </w:tr>
      <w:tr>
        <w:trPr>
          <w:trHeight w:val="414"/>
        </w:trPr>
        <w:tc>
          <w:tcPr>
            <w:tcW w:w="2660" w:type="dxa"/>
            <w:vAlign w:val="bottom"/>
            <w:gridSpan w:val="7"/>
          </w:tcPr>
          <w:p>
            <w:pPr>
              <w:spacing w:after="0"/>
              <w:rPr>
                <w:sz w:val="20"/>
                <w:szCs w:val="20"/>
                <w:color w:val="auto"/>
              </w:rPr>
            </w:pPr>
            <w:r>
              <w:rPr>
                <w:rFonts w:ascii="Arial" w:cs="Arial" w:eastAsia="Arial" w:hAnsi="Arial"/>
                <w:sz w:val="20"/>
                <w:szCs w:val="20"/>
                <w:color w:val="auto"/>
                <w:w w:val="96"/>
              </w:rPr>
              <w:t>Joint Lead Arrangers and Joint</w:t>
            </w: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2"/>
              </w:rPr>
              <w:t>BofA Securities, Inc. (or any of its designated affiliates, “</w:t>
            </w:r>
            <w:r>
              <w:rPr>
                <w:rFonts w:ascii="Arial" w:cs="Arial" w:eastAsia="Arial" w:hAnsi="Arial"/>
                <w:sz w:val="20"/>
                <w:szCs w:val="20"/>
                <w:b w:val="1"/>
                <w:bCs w:val="1"/>
                <w:i w:val="1"/>
                <w:iCs w:val="1"/>
                <w:color w:val="auto"/>
                <w:w w:val="92"/>
              </w:rPr>
              <w:t>BofA Securities</w:t>
            </w:r>
            <w:r>
              <w:rPr>
                <w:rFonts w:ascii="Arial" w:cs="Arial" w:eastAsia="Arial" w:hAnsi="Arial"/>
                <w:sz w:val="20"/>
                <w:szCs w:val="20"/>
                <w:color w:val="auto"/>
                <w:w w:val="92"/>
              </w:rPr>
              <w:t>”), JPMorgan</w:t>
            </w:r>
          </w:p>
        </w:tc>
      </w:tr>
      <w:tr>
        <w:trPr>
          <w:trHeight w:val="210"/>
        </w:trPr>
        <w:tc>
          <w:tcPr>
            <w:tcW w:w="2440" w:type="dxa"/>
            <w:vAlign w:val="bottom"/>
            <w:tcBorders>
              <w:top w:val="single" w:sz="8" w:color="auto"/>
            </w:tcBorders>
            <w:gridSpan w:val="6"/>
          </w:tcPr>
          <w:p>
            <w:pPr>
              <w:spacing w:after="0" w:line="209" w:lineRule="exact"/>
              <w:rPr>
                <w:sz w:val="20"/>
                <w:szCs w:val="20"/>
                <w:color w:val="auto"/>
              </w:rPr>
            </w:pPr>
            <w:r>
              <w:rPr>
                <w:rFonts w:ascii="Arial" w:cs="Arial" w:eastAsia="Arial" w:hAnsi="Arial"/>
                <w:sz w:val="20"/>
                <w:szCs w:val="20"/>
                <w:color w:val="auto"/>
              </w:rPr>
              <w:t>Bookrunners:</w:t>
            </w:r>
          </w:p>
        </w:tc>
        <w:tc>
          <w:tcPr>
            <w:tcW w:w="220" w:type="dxa"/>
            <w:vAlign w:val="bottom"/>
          </w:tcPr>
          <w:p>
            <w:pPr>
              <w:spacing w:after="0"/>
              <w:rPr>
                <w:sz w:val="18"/>
                <w:szCs w:val="18"/>
                <w:color w:val="auto"/>
              </w:rPr>
            </w:pPr>
          </w:p>
        </w:tc>
        <w:tc>
          <w:tcPr>
            <w:tcW w:w="7260" w:type="dxa"/>
            <w:vAlign w:val="bottom"/>
            <w:gridSpan w:val="6"/>
          </w:tcPr>
          <w:p>
            <w:pPr>
              <w:ind w:left="200"/>
              <w:spacing w:after="0" w:line="209" w:lineRule="exact"/>
              <w:rPr>
                <w:sz w:val="20"/>
                <w:szCs w:val="20"/>
                <w:color w:val="auto"/>
              </w:rPr>
            </w:pPr>
            <w:r>
              <w:rPr>
                <w:rFonts w:ascii="Arial" w:cs="Arial" w:eastAsia="Arial" w:hAnsi="Arial"/>
                <w:sz w:val="20"/>
                <w:szCs w:val="20"/>
                <w:color w:val="auto"/>
                <w:w w:val="97"/>
              </w:rPr>
              <w:t>Chase Bank, N.A. (“</w:t>
            </w:r>
            <w:r>
              <w:rPr>
                <w:rFonts w:ascii="Arial" w:cs="Arial" w:eastAsia="Arial" w:hAnsi="Arial"/>
                <w:sz w:val="20"/>
                <w:szCs w:val="20"/>
                <w:b w:val="1"/>
                <w:bCs w:val="1"/>
                <w:i w:val="1"/>
                <w:iCs w:val="1"/>
                <w:color w:val="auto"/>
                <w:w w:val="97"/>
              </w:rPr>
              <w:t>JPM</w:t>
            </w:r>
            <w:r>
              <w:rPr>
                <w:rFonts w:ascii="Arial" w:cs="Arial" w:eastAsia="Arial" w:hAnsi="Arial"/>
                <w:sz w:val="20"/>
                <w:szCs w:val="20"/>
                <w:color w:val="auto"/>
                <w:w w:val="97"/>
              </w:rPr>
              <w:t>”) and U.S. Bank National Association (“</w:t>
            </w:r>
            <w:r>
              <w:rPr>
                <w:rFonts w:ascii="Arial" w:cs="Arial" w:eastAsia="Arial" w:hAnsi="Arial"/>
                <w:sz w:val="20"/>
                <w:szCs w:val="20"/>
                <w:b w:val="1"/>
                <w:bCs w:val="1"/>
                <w:i w:val="1"/>
                <w:iCs w:val="1"/>
                <w:color w:val="auto"/>
                <w:w w:val="97"/>
              </w:rPr>
              <w:t>U.S. Bank</w:t>
            </w:r>
            <w:r>
              <w:rPr>
                <w:rFonts w:ascii="Arial" w:cs="Arial" w:eastAsia="Arial" w:hAnsi="Arial"/>
                <w:sz w:val="20"/>
                <w:szCs w:val="20"/>
                <w:color w:val="auto"/>
                <w:w w:val="97"/>
              </w:rPr>
              <w:t>”; U.S.</w:t>
            </w:r>
          </w:p>
        </w:tc>
      </w:tr>
      <w:tr>
        <w:trPr>
          <w:trHeight w:val="233"/>
        </w:trPr>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8"/>
              </w:rPr>
              <w:t>Bank, together with BofA Securities and JPM, in such capacities, the “</w:t>
            </w:r>
            <w:r>
              <w:rPr>
                <w:rFonts w:ascii="Arial" w:cs="Arial" w:eastAsia="Arial" w:hAnsi="Arial"/>
                <w:sz w:val="20"/>
                <w:szCs w:val="20"/>
                <w:b w:val="1"/>
                <w:bCs w:val="1"/>
                <w:i w:val="1"/>
                <w:iCs w:val="1"/>
                <w:color w:val="auto"/>
                <w:w w:val="98"/>
              </w:rPr>
              <w:t>Joint Lead</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b w:val="1"/>
                <w:bCs w:val="1"/>
                <w:i w:val="1"/>
                <w:iCs w:val="1"/>
                <w:color w:val="auto"/>
                <w:w w:val="91"/>
              </w:rPr>
              <w:t>Arrangers</w:t>
            </w:r>
            <w:r>
              <w:rPr>
                <w:rFonts w:ascii="Arial" w:cs="Arial" w:eastAsia="Arial" w:hAnsi="Arial"/>
                <w:sz w:val="20"/>
                <w:szCs w:val="20"/>
                <w:color w:val="auto"/>
                <w:w w:val="91"/>
              </w:rPr>
              <w:t>” and each a “</w:t>
            </w:r>
            <w:r>
              <w:rPr>
                <w:rFonts w:ascii="Arial" w:cs="Arial" w:eastAsia="Arial" w:hAnsi="Arial"/>
                <w:sz w:val="20"/>
                <w:szCs w:val="20"/>
                <w:b w:val="1"/>
                <w:bCs w:val="1"/>
                <w:i w:val="1"/>
                <w:iCs w:val="1"/>
                <w:color w:val="auto"/>
                <w:w w:val="91"/>
              </w:rPr>
              <w:t>Joint Lead Arranger</w:t>
            </w:r>
            <w:r>
              <w:rPr>
                <w:rFonts w:ascii="Arial" w:cs="Arial" w:eastAsia="Arial" w:hAnsi="Arial"/>
                <w:sz w:val="20"/>
                <w:szCs w:val="20"/>
                <w:color w:val="auto"/>
                <w:w w:val="91"/>
              </w:rPr>
              <w:t>”) will act as joint lead arrangers and joint</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5"/>
              </w:rPr>
              <w:t>bookrunners for the Facilities. It is understood and agreed that BofA Securities shall</w:t>
            </w: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5"/>
              </w:rPr>
              <w:t>have the “left” placement in any and all marketing materials or other documentation</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1"/>
              </w:rPr>
              <w:t>used in connection with the Facilities and shall hold the leading role and responsibilities</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8"/>
              </w:rPr>
              <w:t>conventionally associated with such “left” placement, including sole selling role in</w:t>
            </w:r>
          </w:p>
        </w:tc>
      </w:tr>
      <w:tr>
        <w:trPr>
          <w:trHeight w:val="250"/>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respect of the Facilities.</w:t>
            </w:r>
          </w:p>
        </w:tc>
      </w:tr>
      <w:tr>
        <w:trPr>
          <w:trHeight w:val="415"/>
        </w:trPr>
        <w:tc>
          <w:tcPr>
            <w:tcW w:w="2660" w:type="dxa"/>
            <w:vAlign w:val="bottom"/>
            <w:gridSpan w:val="7"/>
          </w:tcPr>
          <w:p>
            <w:pPr>
              <w:spacing w:after="0"/>
              <w:rPr>
                <w:sz w:val="20"/>
                <w:szCs w:val="20"/>
                <w:color w:val="auto"/>
              </w:rPr>
            </w:pPr>
            <w:r>
              <w:rPr>
                <w:rFonts w:ascii="Arial" w:cs="Arial" w:eastAsia="Arial" w:hAnsi="Arial"/>
                <w:sz w:val="20"/>
                <w:szCs w:val="20"/>
                <w:color w:val="auto"/>
              </w:rPr>
              <w:t>Administrative Agent:</w:t>
            </w: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9"/>
              </w:rPr>
              <w:t>Bank of America, N.A. (through itself or one of its designated affiliates or branch</w:t>
            </w:r>
          </w:p>
        </w:tc>
      </w:tr>
      <w:tr>
        <w:trPr>
          <w:trHeight w:val="233"/>
        </w:trPr>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2"/>
              </w:rPr>
              <w:t>offices, “</w:t>
            </w:r>
            <w:r>
              <w:rPr>
                <w:rFonts w:ascii="Arial" w:cs="Arial" w:eastAsia="Arial" w:hAnsi="Arial"/>
                <w:sz w:val="20"/>
                <w:szCs w:val="20"/>
                <w:b w:val="1"/>
                <w:bCs w:val="1"/>
                <w:i w:val="1"/>
                <w:iCs w:val="1"/>
                <w:color w:val="auto"/>
                <w:w w:val="92"/>
              </w:rPr>
              <w:t>Bank of America</w:t>
            </w:r>
            <w:r>
              <w:rPr>
                <w:rFonts w:ascii="Arial" w:cs="Arial" w:eastAsia="Arial" w:hAnsi="Arial"/>
                <w:sz w:val="20"/>
                <w:szCs w:val="20"/>
                <w:color w:val="auto"/>
                <w:w w:val="92"/>
              </w:rPr>
              <w:t>”) will act as sole administrative agent (in such capacity, the</w:t>
            </w:r>
          </w:p>
        </w:tc>
      </w:tr>
      <w:tr>
        <w:trPr>
          <w:trHeight w:val="250"/>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for the Facilities.</w:t>
            </w:r>
          </w:p>
        </w:tc>
      </w:tr>
      <w:tr>
        <w:trPr>
          <w:trHeight w:val="415"/>
        </w:trPr>
        <w:tc>
          <w:tcPr>
            <w:tcW w:w="2660" w:type="dxa"/>
            <w:vAlign w:val="bottom"/>
            <w:gridSpan w:val="7"/>
          </w:tcPr>
          <w:p>
            <w:pPr>
              <w:spacing w:after="0"/>
              <w:rPr>
                <w:sz w:val="20"/>
                <w:szCs w:val="20"/>
                <w:color w:val="auto"/>
              </w:rPr>
            </w:pPr>
            <w:r>
              <w:rPr>
                <w:rFonts w:ascii="Arial" w:cs="Arial" w:eastAsia="Arial" w:hAnsi="Arial"/>
                <w:sz w:val="20"/>
                <w:szCs w:val="20"/>
                <w:color w:val="auto"/>
              </w:rPr>
              <w:t>Lenders:</w:t>
            </w: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5"/>
              </w:rPr>
              <w:t>A syndicate of banks and financial institutions (including Bank of America, JPM and</w:t>
            </w:r>
          </w:p>
        </w:tc>
      </w:tr>
      <w:tr>
        <w:trPr>
          <w:trHeight w:val="233"/>
        </w:trPr>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w w:val="95"/>
              </w:rPr>
              <w:t>U.S. Bank) arranged by the Joint Lead Arrangers in consultation with the Borrower,</w:t>
            </w:r>
          </w:p>
        </w:tc>
      </w:tr>
      <w:tr>
        <w:trPr>
          <w:trHeight w:val="250"/>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60" w:type="dxa"/>
            <w:vAlign w:val="bottom"/>
            <w:gridSpan w:val="6"/>
          </w:tcPr>
          <w:p>
            <w:pPr>
              <w:ind w:left="200"/>
              <w:spacing w:after="0"/>
              <w:rPr>
                <w:sz w:val="20"/>
                <w:szCs w:val="20"/>
                <w:color w:val="auto"/>
              </w:rPr>
            </w:pPr>
            <w:r>
              <w:rPr>
                <w:rFonts w:ascii="Arial" w:cs="Arial" w:eastAsia="Arial" w:hAnsi="Arial"/>
                <w:sz w:val="20"/>
                <w:szCs w:val="20"/>
                <w:color w:val="auto"/>
              </w:rPr>
              <w:t>which institutions shall be acceptable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203200</wp:posOffset>
            </wp:positionV>
            <wp:extent cx="1568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ind w:left="340" w:right="60" w:hanging="332"/>
        <w:spacing w:after="0" w:line="207" w:lineRule="auto"/>
        <w:tabs>
          <w:tab w:leader="none" w:pos="185" w:val="left"/>
        </w:tabs>
        <w:numPr>
          <w:ilvl w:val="0"/>
          <w:numId w:val="146"/>
        </w:numPr>
        <w:rPr>
          <w:rFonts w:ascii="Arial" w:cs="Arial" w:eastAsia="Arial" w:hAnsi="Arial"/>
          <w:sz w:val="27"/>
          <w:szCs w:val="27"/>
          <w:color w:val="auto"/>
          <w:vertAlign w:val="superscript"/>
        </w:rPr>
      </w:pPr>
      <w:r>
        <w:rPr>
          <w:rFonts w:ascii="Arial" w:cs="Arial" w:eastAsia="Arial" w:hAnsi="Arial"/>
          <w:sz w:val="18"/>
          <w:szCs w:val="18"/>
          <w:color w:val="auto"/>
        </w:rPr>
        <w:t xml:space="preserve">Capitalized terms used but not defined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have the meanings set forth in the Commitment Letter (including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0" w:name="page171"/>
    <w:bookmarkEnd w:id="170"/>
    <w:p>
      <w:pPr>
        <w:ind w:left="2860" w:right="480"/>
        <w:spacing w:after="0" w:line="260" w:lineRule="auto"/>
        <w:rPr>
          <w:sz w:val="20"/>
          <w:szCs w:val="20"/>
          <w:color w:val="auto"/>
        </w:rPr>
      </w:pPr>
      <w:r>
        <w:rPr>
          <w:rFonts w:ascii="Arial" w:cs="Arial" w:eastAsia="Arial" w:hAnsi="Arial"/>
          <w:sz w:val="20"/>
          <w:szCs w:val="20"/>
          <w:color w:val="auto"/>
        </w:rPr>
        <w:t>the Administrative Agent and the Borrower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6"/>
          </w:tcPr>
          <w:p>
            <w:pPr>
              <w:spacing w:after="0"/>
              <w:rPr>
                <w:sz w:val="20"/>
                <w:szCs w:val="20"/>
                <w:color w:val="auto"/>
              </w:rPr>
            </w:pPr>
            <w:r>
              <w:rPr>
                <w:rFonts w:ascii="Arial" w:cs="Arial" w:eastAsia="Arial" w:hAnsi="Arial"/>
                <w:sz w:val="20"/>
                <w:szCs w:val="20"/>
                <w:color w:val="auto"/>
              </w:rPr>
              <w:t>Facilities:</w:t>
            </w: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4"/>
              </w:rPr>
              <w:t>An aggregate principal amount of $300 million will be available through the following</w:t>
            </w:r>
          </w:p>
        </w:tc>
      </w:tr>
      <w:tr>
        <w:trPr>
          <w:trHeight w:val="254"/>
        </w:trPr>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facilities:</w:t>
            </w:r>
          </w:p>
        </w:tc>
      </w:tr>
      <w:tr>
        <w:trPr>
          <w:trHeight w:val="42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ind w:left="860"/>
              <w:spacing w:after="0"/>
              <w:rPr>
                <w:sz w:val="20"/>
                <w:szCs w:val="20"/>
                <w:color w:val="auto"/>
              </w:rPr>
            </w:pPr>
            <w:r>
              <w:rPr>
                <w:rFonts w:ascii="Arial" w:cs="Arial" w:eastAsia="Arial" w:hAnsi="Arial"/>
                <w:sz w:val="20"/>
                <w:szCs w:val="20"/>
                <w:color w:val="auto"/>
              </w:rPr>
              <w:t>(a)</w:t>
            </w:r>
          </w:p>
        </w:tc>
        <w:tc>
          <w:tcPr>
            <w:tcW w:w="6620" w:type="dxa"/>
            <w:vAlign w:val="bottom"/>
            <w:gridSpan w:val="5"/>
          </w:tcPr>
          <w:p>
            <w:pPr>
              <w:ind w:left="240"/>
              <w:spacing w:after="0"/>
              <w:rPr>
                <w:sz w:val="20"/>
                <w:szCs w:val="20"/>
                <w:color w:val="auto"/>
              </w:rPr>
            </w:pPr>
            <w:r>
              <w:rPr>
                <w:rFonts w:ascii="Arial" w:cs="Arial" w:eastAsia="Arial" w:hAnsi="Arial"/>
                <w:sz w:val="20"/>
                <w:szCs w:val="20"/>
                <w:color w:val="auto"/>
                <w:w w:val="93"/>
              </w:rPr>
              <w:t>a $100 million revolving credit facility available to the Borrower in U.S. dollars</w:t>
            </w:r>
          </w:p>
        </w:tc>
      </w:tr>
      <w:tr>
        <w:trPr>
          <w:trHeight w:val="230"/>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8"/>
              </w:rPr>
              <w:t>(the “</w:t>
            </w:r>
            <w:r>
              <w:rPr>
                <w:rFonts w:ascii="Arial" w:cs="Arial" w:eastAsia="Arial" w:hAnsi="Arial"/>
                <w:sz w:val="20"/>
                <w:szCs w:val="20"/>
                <w:b w:val="1"/>
                <w:bCs w:val="1"/>
                <w:i w:val="1"/>
                <w:iCs w:val="1"/>
                <w:color w:val="auto"/>
                <w:w w:val="98"/>
              </w:rPr>
              <w:t>Revolving Facility</w:t>
            </w:r>
            <w:r>
              <w:rPr>
                <w:rFonts w:ascii="Arial" w:cs="Arial" w:eastAsia="Arial" w:hAnsi="Arial"/>
                <w:sz w:val="20"/>
                <w:szCs w:val="20"/>
                <w:color w:val="auto"/>
                <w:w w:val="98"/>
              </w:rPr>
              <w:t>”), which will include a $10 million sublimit for the</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0"/>
              </w:rPr>
              <w:t>issuance of standby and commercial letters of credit (each, a “</w:t>
            </w:r>
            <w:r>
              <w:rPr>
                <w:rFonts w:ascii="Arial" w:cs="Arial" w:eastAsia="Arial" w:hAnsi="Arial"/>
                <w:sz w:val="20"/>
                <w:szCs w:val="20"/>
                <w:b w:val="1"/>
                <w:bCs w:val="1"/>
                <w:i w:val="1"/>
                <w:iCs w:val="1"/>
                <w:color w:val="auto"/>
                <w:w w:val="90"/>
              </w:rPr>
              <w:t>Letter of Credit</w:t>
            </w:r>
            <w:r>
              <w:rPr>
                <w:rFonts w:ascii="Arial" w:cs="Arial" w:eastAsia="Arial" w:hAnsi="Arial"/>
                <w:sz w:val="20"/>
                <w:szCs w:val="20"/>
                <w:color w:val="auto"/>
                <w:w w:val="90"/>
              </w:rPr>
              <w:t>”)</w:t>
            </w:r>
          </w:p>
        </w:tc>
      </w:tr>
      <w:tr>
        <w:trPr>
          <w:trHeight w:val="230"/>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6"/>
              </w:rPr>
              <w:t>to the Borrower or any subsidiary of the Borrower in U.S. dollars, and a $10</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2"/>
              </w:rPr>
              <w:t>million sublimit for swingline loans (each, a “</w:t>
            </w:r>
            <w:r>
              <w:rPr>
                <w:rFonts w:ascii="Arial" w:cs="Arial" w:eastAsia="Arial" w:hAnsi="Arial"/>
                <w:sz w:val="20"/>
                <w:szCs w:val="20"/>
                <w:b w:val="1"/>
                <w:bCs w:val="1"/>
                <w:i w:val="1"/>
                <w:iCs w:val="1"/>
                <w:color w:val="auto"/>
                <w:w w:val="92"/>
              </w:rPr>
              <w:t>Swingline Loan</w:t>
            </w:r>
            <w:r>
              <w:rPr>
                <w:rFonts w:ascii="Arial" w:cs="Arial" w:eastAsia="Arial" w:hAnsi="Arial"/>
                <w:sz w:val="20"/>
                <w:szCs w:val="20"/>
                <w:color w:val="auto"/>
                <w:w w:val="92"/>
              </w:rPr>
              <w:t>”) available to the</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5"/>
              </w:rPr>
              <w:t>Borrower in U.S. dollars. Letters of Credit will be issued by Bank of America</w:t>
            </w:r>
          </w:p>
        </w:tc>
      </w:tr>
      <w:tr>
        <w:trPr>
          <w:trHeight w:val="230"/>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rPr>
              <w:t>(in such capacity, the “</w:t>
            </w:r>
            <w:r>
              <w:rPr>
                <w:rFonts w:ascii="Arial" w:cs="Arial" w:eastAsia="Arial" w:hAnsi="Arial"/>
                <w:sz w:val="20"/>
                <w:szCs w:val="20"/>
                <w:b w:val="1"/>
                <w:bCs w:val="1"/>
                <w:i w:val="1"/>
                <w:iCs w:val="1"/>
                <w:color w:val="auto"/>
              </w:rPr>
              <w:t>L/C Issuer</w:t>
            </w:r>
            <w:r>
              <w:rPr>
                <w:rFonts w:ascii="Arial" w:cs="Arial" w:eastAsia="Arial" w:hAnsi="Arial"/>
                <w:sz w:val="20"/>
                <w:szCs w:val="20"/>
                <w:color w:val="auto"/>
              </w:rPr>
              <w:t>”), and Swingline Loans may be made</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1"/>
              </w:rPr>
              <w:t>available by Bank of America (in such capacity, the “</w:t>
            </w:r>
            <w:r>
              <w:rPr>
                <w:rFonts w:ascii="Arial" w:cs="Arial" w:eastAsia="Arial" w:hAnsi="Arial"/>
                <w:sz w:val="20"/>
                <w:szCs w:val="20"/>
                <w:b w:val="1"/>
                <w:bCs w:val="1"/>
                <w:i w:val="1"/>
                <w:iCs w:val="1"/>
                <w:color w:val="auto"/>
                <w:w w:val="91"/>
              </w:rPr>
              <w:t>Swingline Lender</w:t>
            </w:r>
            <w:r>
              <w:rPr>
                <w:rFonts w:ascii="Arial" w:cs="Arial" w:eastAsia="Arial" w:hAnsi="Arial"/>
                <w:sz w:val="20"/>
                <w:szCs w:val="20"/>
                <w:color w:val="auto"/>
                <w:w w:val="91"/>
              </w:rPr>
              <w:t>”). Each</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5"/>
              </w:rPr>
              <w:t>of the Lenders under the Revolving Facility will purchase an irrevocable and</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4"/>
              </w:rPr>
              <w:t>unconditional participation in each Letter of Credit and each Swingline Loan.</w:t>
            </w:r>
          </w:p>
        </w:tc>
      </w:tr>
      <w:tr>
        <w:trPr>
          <w:trHeight w:val="42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ind w:left="860"/>
              <w:spacing w:after="0"/>
              <w:rPr>
                <w:sz w:val="20"/>
                <w:szCs w:val="20"/>
                <w:color w:val="auto"/>
              </w:rPr>
            </w:pPr>
            <w:r>
              <w:rPr>
                <w:rFonts w:ascii="Arial" w:cs="Arial" w:eastAsia="Arial" w:hAnsi="Arial"/>
                <w:sz w:val="20"/>
                <w:szCs w:val="20"/>
                <w:color w:val="auto"/>
              </w:rPr>
              <w:t>(b)</w:t>
            </w:r>
          </w:p>
        </w:tc>
        <w:tc>
          <w:tcPr>
            <w:tcW w:w="6620" w:type="dxa"/>
            <w:vAlign w:val="bottom"/>
            <w:gridSpan w:val="5"/>
          </w:tcPr>
          <w:p>
            <w:pPr>
              <w:ind w:left="260"/>
              <w:spacing w:after="0"/>
              <w:rPr>
                <w:sz w:val="20"/>
                <w:szCs w:val="20"/>
                <w:color w:val="auto"/>
              </w:rPr>
            </w:pPr>
            <w:r>
              <w:rPr>
                <w:rFonts w:ascii="Arial" w:cs="Arial" w:eastAsia="Arial" w:hAnsi="Arial"/>
                <w:sz w:val="20"/>
                <w:szCs w:val="20"/>
                <w:color w:val="auto"/>
                <w:w w:val="93"/>
              </w:rPr>
              <w:t>a $200 million term A loan, all of which will be drawn by the Borrower in U.S.</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20" w:type="dxa"/>
            <w:vAlign w:val="bottom"/>
            <w:gridSpan w:val="5"/>
          </w:tcPr>
          <w:p>
            <w:pPr>
              <w:ind w:left="200"/>
              <w:spacing w:after="0"/>
              <w:rPr>
                <w:sz w:val="20"/>
                <w:szCs w:val="20"/>
                <w:color w:val="auto"/>
              </w:rPr>
            </w:pPr>
            <w:r>
              <w:rPr>
                <w:rFonts w:ascii="Arial" w:cs="Arial" w:eastAsia="Arial" w:hAnsi="Arial"/>
                <w:sz w:val="20"/>
                <w:szCs w:val="20"/>
                <w:color w:val="auto"/>
                <w:w w:val="97"/>
              </w:rPr>
              <w:t>dollars on the Closing Date (as defined below) (the “</w:t>
            </w:r>
            <w:r>
              <w:rPr>
                <w:rFonts w:ascii="Arial" w:cs="Arial" w:eastAsia="Arial" w:hAnsi="Arial"/>
                <w:sz w:val="20"/>
                <w:szCs w:val="20"/>
                <w:b w:val="1"/>
                <w:bCs w:val="1"/>
                <w:i w:val="1"/>
                <w:iCs w:val="1"/>
                <w:color w:val="auto"/>
                <w:w w:val="97"/>
              </w:rPr>
              <w:t>Term Loan Facility</w:t>
            </w:r>
            <w:r>
              <w:rPr>
                <w:rFonts w:ascii="Arial" w:cs="Arial" w:eastAsia="Arial" w:hAnsi="Arial"/>
                <w:sz w:val="20"/>
                <w:szCs w:val="20"/>
                <w:color w:val="auto"/>
                <w:w w:val="97"/>
              </w:rPr>
              <w:t>”).</w:t>
            </w:r>
          </w:p>
        </w:tc>
      </w:tr>
      <w:tr>
        <w:trPr>
          <w:trHeight w:val="42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2"/>
              </w:rPr>
              <w:t>The Revolving Facility and the Term Loan Facility are collectively referred to herein as</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Facilities</w:t>
            </w:r>
            <w:r>
              <w:rPr>
                <w:rFonts w:ascii="Arial" w:cs="Arial" w:eastAsia="Arial" w:hAnsi="Arial"/>
                <w:sz w:val="20"/>
                <w:szCs w:val="20"/>
                <w:color w:val="auto"/>
              </w:rPr>
              <w:t>.”</w:t>
            </w:r>
          </w:p>
        </w:tc>
      </w:tr>
      <w:tr>
        <w:trPr>
          <w:trHeight w:val="414"/>
        </w:trPr>
        <w:tc>
          <w:tcPr>
            <w:tcW w:w="2000" w:type="dxa"/>
            <w:vAlign w:val="bottom"/>
            <w:gridSpan w:val="6"/>
          </w:tcPr>
          <w:p>
            <w:pPr>
              <w:spacing w:after="0"/>
              <w:rPr>
                <w:sz w:val="20"/>
                <w:szCs w:val="20"/>
                <w:color w:val="auto"/>
              </w:rPr>
            </w:pPr>
            <w:r>
              <w:rPr>
                <w:rFonts w:ascii="Arial" w:cs="Arial" w:eastAsia="Arial" w:hAnsi="Arial"/>
                <w:sz w:val="20"/>
                <w:szCs w:val="20"/>
                <w:color w:val="auto"/>
              </w:rPr>
              <w:t>Purpose:</w:t>
            </w: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1"/>
              </w:rPr>
              <w:t>The proceeds of the Revolving Facility shall be used from time to time after the Closing</w:t>
            </w:r>
          </w:p>
        </w:tc>
      </w:tr>
      <w:tr>
        <w:trPr>
          <w:trHeight w:val="233"/>
        </w:trPr>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3"/>
              </w:rPr>
              <w:t>Date for working capital and other general corporate purposes not in contravention of</w:t>
            </w:r>
          </w:p>
        </w:tc>
      </w:tr>
      <w:tr>
        <w:trPr>
          <w:trHeight w:val="229"/>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3"/>
              </w:rPr>
              <w:t>any law or of the Definitive Documentation (as defined below). The Revolving Facility</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shall be undrawn on the Closing Date.</w:t>
            </w:r>
          </w:p>
        </w:tc>
      </w:tr>
      <w:tr>
        <w:trPr>
          <w:trHeight w:val="42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4"/>
              </w:rPr>
              <w:t>The proceeds of the Term Loan Facility shall be used on the Closing Date to pay the</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Acquisition Costs.</w:t>
            </w:r>
          </w:p>
        </w:tc>
      </w:tr>
      <w:tr>
        <w:trPr>
          <w:trHeight w:val="415"/>
        </w:trPr>
        <w:tc>
          <w:tcPr>
            <w:tcW w:w="2000" w:type="dxa"/>
            <w:vAlign w:val="bottom"/>
            <w:gridSpan w:val="6"/>
          </w:tcPr>
          <w:p>
            <w:pPr>
              <w:spacing w:after="0"/>
              <w:rPr>
                <w:sz w:val="20"/>
                <w:szCs w:val="20"/>
                <w:color w:val="auto"/>
              </w:rPr>
            </w:pPr>
            <w:r>
              <w:rPr>
                <w:rFonts w:ascii="Arial" w:cs="Arial" w:eastAsia="Arial" w:hAnsi="Arial"/>
                <w:sz w:val="20"/>
                <w:szCs w:val="20"/>
                <w:color w:val="auto"/>
              </w:rPr>
              <w:t>Closing Date:</w:t>
            </w: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1"/>
              </w:rPr>
              <w:t>The date of effectiveness of the Definitive Documentation and the consummation of the</w:t>
            </w:r>
          </w:p>
        </w:tc>
      </w:tr>
      <w:tr>
        <w:trPr>
          <w:trHeight w:val="254"/>
        </w:trPr>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Acquisition (the “</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w:t>
            </w:r>
          </w:p>
        </w:tc>
      </w:tr>
      <w:tr>
        <w:trPr>
          <w:trHeight w:val="415"/>
        </w:trPr>
        <w:tc>
          <w:tcPr>
            <w:tcW w:w="2000" w:type="dxa"/>
            <w:vAlign w:val="bottom"/>
            <w:gridSpan w:val="6"/>
          </w:tcPr>
          <w:p>
            <w:pPr>
              <w:spacing w:after="0"/>
              <w:rPr>
                <w:sz w:val="20"/>
                <w:szCs w:val="20"/>
                <w:color w:val="auto"/>
              </w:rPr>
            </w:pPr>
            <w:r>
              <w:rPr>
                <w:rFonts w:ascii="Arial" w:cs="Arial" w:eastAsia="Arial" w:hAnsi="Arial"/>
                <w:sz w:val="20"/>
                <w:szCs w:val="20"/>
                <w:color w:val="auto"/>
              </w:rPr>
              <w:t>Interest Rates:</w:t>
            </w: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As set forth in Addendum I to this Exhibit B.</w:t>
            </w: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39"/>
        </w:trPr>
        <w:tc>
          <w:tcPr>
            <w:tcW w:w="1100" w:type="dxa"/>
            <w:vAlign w:val="bottom"/>
            <w:gridSpan w:val="5"/>
          </w:tcPr>
          <w:p>
            <w:pPr>
              <w:spacing w:after="0"/>
              <w:rPr>
                <w:sz w:val="20"/>
                <w:szCs w:val="20"/>
                <w:color w:val="auto"/>
              </w:rPr>
            </w:pPr>
            <w:r>
              <w:rPr>
                <w:rFonts w:ascii="Arial" w:cs="Arial" w:eastAsia="Arial" w:hAnsi="Arial"/>
                <w:sz w:val="20"/>
                <w:szCs w:val="20"/>
                <w:color w:val="auto"/>
              </w:rPr>
              <w:t>Maturity:</w:t>
            </w:r>
          </w:p>
        </w:tc>
        <w:tc>
          <w:tcPr>
            <w:tcW w:w="900" w:type="dxa"/>
            <w:vAlign w:val="bottom"/>
          </w:tcPr>
          <w:p>
            <w:pPr>
              <w:spacing w:after="0"/>
              <w:rPr>
                <w:sz w:val="24"/>
                <w:szCs w:val="24"/>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1"/>
              </w:rPr>
              <w:t>The Revolving Facility shall terminate, and all amounts outstanding thereunder shall be</w:t>
            </w:r>
          </w:p>
        </w:tc>
      </w:tr>
      <w:tr>
        <w:trPr>
          <w:trHeight w:val="233"/>
        </w:trPr>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w w:val="96"/>
              </w:rPr>
              <w:t>due and payable in full, on the date that is five (5) years after the Closing Date (the</w:t>
            </w:r>
          </w:p>
        </w:tc>
      </w:tr>
      <w:tr>
        <w:trPr>
          <w:trHeight w:val="250"/>
        </w:trPr>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920" w:type="dxa"/>
            <w:vAlign w:val="bottom"/>
            <w:gridSpan w:val="6"/>
          </w:tcPr>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Maturity Date</w:t>
            </w:r>
            <w:r>
              <w:rPr>
                <w:rFonts w:ascii="Arial" w:cs="Arial" w:eastAsia="Arial" w:hAnsi="Arial"/>
                <w:sz w:val="20"/>
                <w:szCs w:val="20"/>
                <w:color w:val="auto"/>
              </w:rPr>
              <w:t>”).</w:t>
            </w:r>
          </w:p>
        </w:tc>
      </w:tr>
    </w:tbl>
    <w:p>
      <w:pPr>
        <w:spacing w:after="0" w:line="195" w:lineRule="exact"/>
        <w:rPr>
          <w:sz w:val="20"/>
          <w:szCs w:val="20"/>
          <w:color w:val="auto"/>
        </w:rPr>
      </w:pPr>
    </w:p>
    <w:p>
      <w:pPr>
        <w:ind w:left="2860" w:right="20"/>
        <w:spacing w:after="0" w:line="250" w:lineRule="auto"/>
        <w:rPr>
          <w:sz w:val="20"/>
          <w:szCs w:val="20"/>
          <w:color w:val="auto"/>
        </w:rPr>
      </w:pPr>
      <w:r>
        <w:rPr>
          <w:rFonts w:ascii="Arial" w:cs="Arial" w:eastAsia="Arial" w:hAnsi="Arial"/>
          <w:sz w:val="20"/>
          <w:szCs w:val="20"/>
          <w:color w:val="auto"/>
        </w:rPr>
        <w:t xml:space="preserve">The Term Loan Facility shall be subject to repayment according to the Scheduled Amortization (as defined below), with the final payment of all amounts outstanding,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interest, being due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71" w:name="page172"/>
    <w:bookmarkEnd w:id="171"/>
    <w:p>
      <w:pPr>
        <w:jc w:val="both"/>
        <w:ind w:left="2860" w:hanging="2848"/>
        <w:spacing w:after="0" w:line="254" w:lineRule="auto"/>
        <w:tabs>
          <w:tab w:leader="none" w:pos="2840" w:val="left"/>
        </w:tabs>
        <w:rPr>
          <w:sz w:val="20"/>
          <w:szCs w:val="20"/>
          <w:color w:val="auto"/>
        </w:rPr>
      </w:pPr>
      <w:r>
        <w:rPr>
          <w:rFonts w:ascii="Arial" w:cs="Arial" w:eastAsia="Arial" w:hAnsi="Arial"/>
          <w:sz w:val="20"/>
          <w:szCs w:val="20"/>
          <w:u w:val="single" w:color="auto"/>
          <w:color w:val="auto"/>
        </w:rPr>
        <w:t>Incremental Facilities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The definitive documentation for the Facilities (the “</w:t>
      </w:r>
      <w:r>
        <w:rPr>
          <w:rFonts w:ascii="Arial" w:cs="Arial" w:eastAsia="Arial" w:hAnsi="Arial"/>
          <w:sz w:val="19"/>
          <w:szCs w:val="19"/>
          <w:b w:val="1"/>
          <w:bCs w:val="1"/>
          <w:i w:val="1"/>
          <w:iCs w:val="1"/>
          <w:color w:val="auto"/>
        </w:rPr>
        <w:t>Definitive Documentation</w:t>
      </w:r>
      <w:r>
        <w:rPr>
          <w:rFonts w:ascii="Arial" w:cs="Arial" w:eastAsia="Arial" w:hAnsi="Arial"/>
          <w:sz w:val="19"/>
          <w:szCs w:val="19"/>
          <w:color w:val="auto"/>
        </w:rPr>
        <w:t>”) will permit the Borrower, from time to time after the Closing Date, upon notice to the Administrative Agent, to increase the amount of the Revolving Facility (any such increase, a “</w:t>
      </w:r>
      <w:r>
        <w:rPr>
          <w:rFonts w:ascii="Arial" w:cs="Arial" w:eastAsia="Arial" w:hAnsi="Arial"/>
          <w:sz w:val="19"/>
          <w:szCs w:val="19"/>
          <w:b w:val="1"/>
          <w:bCs w:val="1"/>
          <w:i w:val="1"/>
          <w:iCs w:val="1"/>
          <w:color w:val="auto"/>
        </w:rPr>
        <w:t>Revolving Facility Increase</w:t>
      </w:r>
      <w:r>
        <w:rPr>
          <w:rFonts w:ascii="Arial" w:cs="Arial" w:eastAsia="Arial" w:hAnsi="Arial"/>
          <w:sz w:val="19"/>
          <w:szCs w:val="19"/>
          <w:color w:val="auto"/>
        </w:rPr>
        <w:t>”) and/or to add one or more additional tranches of term loans to the Definitive Documentation (any such additional tranche of term loans, an “</w:t>
      </w:r>
      <w:r>
        <w:rPr>
          <w:rFonts w:ascii="Arial" w:cs="Arial" w:eastAsia="Arial" w:hAnsi="Arial"/>
          <w:sz w:val="19"/>
          <w:szCs w:val="19"/>
          <w:b w:val="1"/>
          <w:bCs w:val="1"/>
          <w:i w:val="1"/>
          <w:iCs w:val="1"/>
          <w:color w:val="auto"/>
        </w:rPr>
        <w:t>Incremental Term Facility</w:t>
      </w:r>
      <w:r>
        <w:rPr>
          <w:rFonts w:ascii="Arial" w:cs="Arial" w:eastAsia="Arial" w:hAnsi="Arial"/>
          <w:sz w:val="19"/>
          <w:szCs w:val="19"/>
          <w:color w:val="auto"/>
        </w:rPr>
        <w:t>”; each Incremental Term Facility, together with each Revolving Facility Increase, each an “</w:t>
      </w:r>
      <w:r>
        <w:rPr>
          <w:rFonts w:ascii="Arial" w:cs="Arial" w:eastAsia="Arial" w:hAnsi="Arial"/>
          <w:sz w:val="19"/>
          <w:szCs w:val="19"/>
          <w:b w:val="1"/>
          <w:bCs w:val="1"/>
          <w:i w:val="1"/>
          <w:iCs w:val="1"/>
          <w:color w:val="auto"/>
        </w:rPr>
        <w:t>Incremental Facility</w:t>
      </w:r>
      <w:r>
        <w:rPr>
          <w:rFonts w:ascii="Arial" w:cs="Arial" w:eastAsia="Arial" w:hAnsi="Arial"/>
          <w:sz w:val="19"/>
          <w:szCs w:val="19"/>
          <w:color w:val="auto"/>
        </w:rPr>
        <w:t>”), in an aggregate amount for all such Incremental Facilities not to exceed an amount (the “</w:t>
      </w:r>
      <w:r>
        <w:rPr>
          <w:rFonts w:ascii="Arial" w:cs="Arial" w:eastAsia="Arial" w:hAnsi="Arial"/>
          <w:sz w:val="19"/>
          <w:szCs w:val="19"/>
          <w:b w:val="1"/>
          <w:bCs w:val="1"/>
          <w:i w:val="1"/>
          <w:iCs w:val="1"/>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equal to, as of any date of determination, the sum of (a) the total of (i) $100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million,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aggregate amount of all Incremental Facilities incurred prior to such date in reliance on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above,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 unlimited amount, so long as, after giving effect to the incurrence of any such Incremental Facility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(and assuming for such purpose that all amounts with respect thereto are fully drawn), the Consolidated Leverage Ratio (as defined below) is equal to or less than 2.00 to 1.0 (the “</w:t>
      </w:r>
      <w:r>
        <w:rPr>
          <w:rFonts w:ascii="Arial" w:cs="Arial" w:eastAsia="Arial" w:hAnsi="Arial"/>
          <w:sz w:val="19"/>
          <w:szCs w:val="19"/>
          <w:b w:val="1"/>
          <w:bCs w:val="1"/>
          <w:i w:val="1"/>
          <w:iCs w:val="1"/>
          <w:color w:val="auto"/>
        </w:rPr>
        <w:t>Leverage-Based Prong</w:t>
      </w:r>
      <w:r>
        <w:rPr>
          <w:rFonts w:ascii="Arial" w:cs="Arial" w:eastAsia="Arial" w:hAnsi="Arial"/>
          <w:sz w:val="19"/>
          <w:szCs w:val="19"/>
          <w:color w:val="auto"/>
        </w:rPr>
        <w:t>”).</w:t>
      </w:r>
    </w:p>
    <w:p>
      <w:pPr>
        <w:spacing w:after="0" w:line="190" w:lineRule="exact"/>
        <w:rPr>
          <w:sz w:val="20"/>
          <w:szCs w:val="20"/>
          <w:color w:val="auto"/>
        </w:rPr>
      </w:pPr>
    </w:p>
    <w:p>
      <w:pPr>
        <w:jc w:val="both"/>
        <w:ind w:left="2860"/>
        <w:spacing w:after="0" w:line="268" w:lineRule="auto"/>
        <w:rPr>
          <w:sz w:val="20"/>
          <w:szCs w:val="20"/>
          <w:color w:val="auto"/>
        </w:rPr>
      </w:pPr>
      <w:r>
        <w:rPr>
          <w:rFonts w:ascii="Arial" w:cs="Arial" w:eastAsia="Arial" w:hAnsi="Arial"/>
          <w:sz w:val="18"/>
          <w:szCs w:val="18"/>
          <w:color w:val="auto"/>
        </w:rPr>
        <w:t xml:space="preserve">In addition to compliance with the Incremental Amount, the incurrence of any Incremental Facility shall be subject to the following terms and conditions: (a) no existing Lender shall be required to participate in any such Incremental Facility without such Lender’s consent, and the decision to participate in any such Incremental Facility shall be made in the sole discretion of each Lender; (b) subject to the provisions set forth under the heading “Limited Condition Acquisitions” below, no default or event of default shall have occurred and be continuing at the time of incurrence of any such Incremental Facility or would exist immediately after giving effect thereto; (c) any such Incremental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Facilities and shall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Collateral (as hereinafter defined); (d) subject to the provisions set forth under the heading “Limited Condition Acquisitions” below, the representations and warranties in the Definitive Documentation shall be true and correct in all material respects (or in all respects if any such representation or warranty is already qualified by materiality) on and as of the date of incurrence of any such Incremental Facility, except to the extent that such representations and warranties specifically refer to an earlier date, in which case they shall be true and correct in all material respects (or in all respects if any such representation or warranty is already qualified by materiality) as of such earlier date, and except that for purposes of this condition, the representations and warranties contained in the Definitive Documentation with respect to accuracy of financial statements shall be deemed to refer to the most recent financial statements delivered pursuant to the Definitive Documentation; (e) subject to the provisions set forth under the heading “Limited Condition Acquisitions” below, upon giving effect to any such Incremental Facility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(and assuming for such purpose that all amounts with respect thereto are fully drawn), the Credit Parties would be in compliance with the financial covenants set forth in the Definitive Documentation; (f) with respect to any such Incremental Facility that is an Incremental Term Facility: (i) the maturity date of such Incremental Term Facility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72" w:name="page173"/>
    <w:bookmarkEnd w:id="172"/>
    <w:p>
      <w:pPr>
        <w:jc w:val="both"/>
        <w:ind w:left="2400"/>
        <w:spacing w:after="0" w:line="267" w:lineRule="auto"/>
        <w:rPr>
          <w:sz w:val="20"/>
          <w:szCs w:val="20"/>
          <w:color w:val="auto"/>
        </w:rPr>
      </w:pPr>
      <w:r>
        <w:rPr>
          <w:rFonts w:ascii="Arial" w:cs="Arial" w:eastAsia="Arial" w:hAnsi="Arial"/>
          <w:sz w:val="18"/>
          <w:szCs w:val="18"/>
          <w:color w:val="auto"/>
        </w:rPr>
        <w:t xml:space="preserve">no earlier than the later of the Maturity Date and the then-latest maturity date for any then-existing Incremental Term Facility, (ii) the weighted average life to maturity of such Incremental Term Facility shall be no shorter than the then-remaining weighted average life to maturity of the term loans under the Term Loan Facility or any then-existing term loans under any then-existing Incremental Term Facility, and (iii) subject to </w:t>
      </w:r>
      <w:r>
        <w:rPr>
          <w:rFonts w:ascii="Arial" w:cs="Arial" w:eastAsia="Arial" w:hAnsi="Arial"/>
          <w:sz w:val="18"/>
          <w:szCs w:val="18"/>
          <w:u w:val="single" w:color="auto"/>
          <w:color w:val="auto"/>
        </w:rPr>
        <w:t>clauses (f)(i)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(f)(ii)</w:t>
      </w:r>
      <w:r>
        <w:rPr>
          <w:rFonts w:ascii="Arial" w:cs="Arial" w:eastAsia="Arial" w:hAnsi="Arial"/>
          <w:sz w:val="18"/>
          <w:szCs w:val="18"/>
          <w:color w:val="auto"/>
        </w:rPr>
        <w:t xml:space="preserve"> above, the amortization schedule applicable to such Incremental Term Facility shall be as determined by the Borrower and the lenders for such Incremental Term Facility; (g) any such Incremental Facility shall be in a minimum principal amount of $25 million and integral multiples of $1 million in excess thereof (or such other amount as the Administrative Agent may agree in its sole discretion); (h) the Administrative Agent shall have received (i) a certificate of the Borrower certifying that</w:t>
      </w:r>
    </w:p>
    <w:p>
      <w:pPr>
        <w:spacing w:after="0" w:line="8" w:lineRule="exact"/>
        <w:rPr>
          <w:sz w:val="20"/>
          <w:szCs w:val="20"/>
          <w:color w:val="auto"/>
        </w:rPr>
      </w:pPr>
    </w:p>
    <w:p>
      <w:pPr>
        <w:jc w:val="both"/>
        <w:ind w:left="2400" w:hanging="2"/>
        <w:spacing w:after="0" w:line="267" w:lineRule="auto"/>
        <w:tabs>
          <w:tab w:leader="none" w:pos="27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the incurrence of such Incremental Facility, the conditions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have been satisfied, (B) the condition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has been satisfied (which certification shall include reasonably detailed calculations to demonstrate satisfaction of such condition), and (C) to the extent such Incremental Facility is being incurred in reliance on the Leverage-Based Prong, after giving effect to the incurrence of such Incremental Facility, such Incremental Facility is permitted pursuant to the Leverage-Based Prong (which certification shall include reasonably detailed calculations to demonstrate satisfaction of such condition), (ii) a certificate of each Credit Party attaching the resolutions adopted by such Credit Party approving such Incremental Facility, and (iii) if requested by the Administrative Agent, an opinion or opinions of counsel for the Credit Parties, dated as of the date of incurrence of any such Incremental Facility, in form and substance reasonably satisfactory to the Administrative Agent; and (i)(i) any such Incremental Facility that is a Revolving Facility Increase shall be on the same terms and conditions as the Revolving Facility, and (ii) except as otherwise provided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any such Incremental Facility that is an Incremental Term Facility shall be on the same terms and conditions as the Term Loan Facility, or, if not, shall be on terms and conditions satisfactory to the Administrative Agent (it being understood and agreed that the following shall be reasonably satisfactory to the Administrative Agent: (A) covenants or other provisions applicable only to periods after the later of the Maturity Date and the maturity date for any then-existing Incremental Term Facility, (B) to the extent required by any lender providing such Incremental Term Facility, covenants or other provisions that are not set forth in the Definitive Documentation at the time of incurrence of such Incremental Term Facility, so long as such covenants or other provisions are also added for the benefit of the Administrative Agent and the Lenders under the Definitive Documentation at the time of the incurrence of such Incremental Term Facility, and (C) to the extent required by any lender providing such Incremental Term Facility, customary call protection and mandatory prepayments, in each case, which may be applicable solely with respect to such Incremental Term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with respect to any mandatory prepayment required in connection with the establishment of such Incremental Term Facility, such mandatory prepayment shall be applied ratably to the term loans under the Term Loan Facility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2" w:right="999" w:bottom="1440" w:gutter="0" w:footer="0" w:header="0"/>
        </w:sectPr>
      </w:pPr>
    </w:p>
    <w:bookmarkStart w:id="173" w:name="page174"/>
    <w:bookmarkEnd w:id="173"/>
    <w:p>
      <w:pPr>
        <w:ind w:left="2860"/>
        <w:spacing w:after="0"/>
        <w:rPr>
          <w:sz w:val="20"/>
          <w:szCs w:val="20"/>
          <w:color w:val="auto"/>
        </w:rPr>
      </w:pPr>
      <w:r>
        <w:rPr>
          <w:rFonts w:ascii="Arial" w:cs="Arial" w:eastAsia="Arial" w:hAnsi="Arial"/>
          <w:sz w:val="19"/>
          <w:szCs w:val="19"/>
          <w:color w:val="auto"/>
        </w:rPr>
        <w:t>other then-existing term loans under any then-existing Incremental Term Facility)).</w:t>
      </w:r>
    </w:p>
    <w:p>
      <w:pPr>
        <w:spacing w:after="0" w:line="227" w:lineRule="exact"/>
        <w:rPr>
          <w:sz w:val="20"/>
          <w:szCs w:val="20"/>
          <w:color w:val="auto"/>
        </w:rPr>
      </w:pPr>
    </w:p>
    <w:p>
      <w:pPr>
        <w:jc w:val="both"/>
        <w:ind w:left="2860"/>
        <w:spacing w:after="0" w:line="257" w:lineRule="auto"/>
        <w:rPr>
          <w:sz w:val="20"/>
          <w:szCs w:val="20"/>
          <w:color w:val="auto"/>
        </w:rPr>
      </w:pPr>
      <w:r>
        <w:rPr>
          <w:rFonts w:ascii="Arial" w:cs="Arial" w:eastAsia="Arial" w:hAnsi="Arial"/>
          <w:sz w:val="19"/>
          <w:szCs w:val="19"/>
          <w:color w:val="auto"/>
        </w:rPr>
        <w:t>In connection with any Revolving Facility Increase, the Borrower shall prepay any revolving loans under the Revolving Facility outstanding on the effective date of such Revolving Facility Increase (and pay additional amounts to reimburse the Lenders’ breakage and redeployment costs in the case of prepayment of LIBOR borrowings) to the extent necessary to keep the outstanding revolving loans ratable with any revised revolving commitments arising from any non-ratable increase in connection such Revolving Facility Increase.</w:t>
      </w:r>
    </w:p>
    <w:p>
      <w:pPr>
        <w:spacing w:after="0" w:line="185" w:lineRule="exact"/>
        <w:rPr>
          <w:sz w:val="20"/>
          <w:szCs w:val="20"/>
          <w:color w:val="auto"/>
        </w:rPr>
      </w:pPr>
    </w:p>
    <w:p>
      <w:pPr>
        <w:jc w:val="both"/>
        <w:ind w:left="2860"/>
        <w:spacing w:after="0" w:line="276" w:lineRule="auto"/>
        <w:rPr>
          <w:sz w:val="20"/>
          <w:szCs w:val="20"/>
          <w:color w:val="auto"/>
        </w:rPr>
      </w:pPr>
      <w:r>
        <w:rPr>
          <w:rFonts w:ascii="Arial" w:cs="Arial" w:eastAsia="Arial" w:hAnsi="Arial"/>
          <w:sz w:val="18"/>
          <w:szCs w:val="18"/>
          <w:color w:val="auto"/>
        </w:rPr>
        <w:t>The Borrower may seek commitments in respect of any Incremental Facility from any existing Lender (each of which shall be entitled to agree or decline to participate in such Lender’s sole discretion) and additional financial institutions who will become Lenders in connection therewith. Any new lender providing all or any portion of any Incremental Facility shall become a party to the Definitive Documentation by executing such joinder documentation as is required by the Administrative Agent.</w:t>
      </w:r>
    </w:p>
    <w:p>
      <w:pPr>
        <w:spacing w:after="0" w:line="165" w:lineRule="exact"/>
        <w:rPr>
          <w:sz w:val="20"/>
          <w:szCs w:val="20"/>
          <w:color w:val="auto"/>
        </w:rPr>
      </w:pPr>
    </w:p>
    <w:p>
      <w:pPr>
        <w:jc w:val="both"/>
        <w:ind w:left="2860"/>
        <w:spacing w:after="0" w:line="254" w:lineRule="auto"/>
        <w:rPr>
          <w:sz w:val="20"/>
          <w:szCs w:val="20"/>
          <w:color w:val="auto"/>
        </w:rPr>
      </w:pPr>
      <w:r>
        <w:rPr>
          <w:rFonts w:ascii="Arial" w:cs="Arial" w:eastAsia="Arial" w:hAnsi="Arial"/>
          <w:sz w:val="19"/>
          <w:szCs w:val="19"/>
          <w:color w:val="auto"/>
        </w:rPr>
        <w:t>The Definitive Documentation shall be amended to give effect to any Incremental Facility pursuant to documentation executed by lenders providing such Incremental Facility, the Administrative Agent and the Credit Parties, without the consent of any person or entity (including any other existing Lender), including amendments (a) to reflect the existence and terms of such Incremental Facility, (b) to make such other changes to the Definitive Documentation consistent with the provisions and intent of such Incremental Facility, including (i) adding provisions to permit such Incremental Facility to share in the benefits of the Definitive Documentation and to include the lenders for such Incremental Facility in any applicable voting definitions, and (ii) amending any commitment schedule to reflect such Incremental Facility, (c) notwithstanding any other provisions of the Definitive Documentation to the contrary, if applicable, to permit the loans under such Incremental Facility to be “fungible” (including for purposes of the Internal Revenue Code of 1986, as amended) with any other then-existing loans under the Definitive Documentation, and (d) to effect such other amendments to the Definitive Documentation as may be necessary or appropriate, in the reasonable opinion of the Administrative Agent, to effect the provisions of any such Incremental Facility.</w:t>
      </w:r>
    </w:p>
    <w:p>
      <w:pPr>
        <w:spacing w:after="0" w:line="200" w:lineRule="exact"/>
        <w:rPr>
          <w:sz w:val="20"/>
          <w:szCs w:val="20"/>
          <w:color w:val="auto"/>
        </w:rPr>
      </w:pPr>
    </w:p>
    <w:p>
      <w:pPr>
        <w:jc w:val="right"/>
        <w:ind w:right="20"/>
        <w:spacing w:after="0" w:line="247" w:lineRule="auto"/>
        <w:rPr>
          <w:sz w:val="20"/>
          <w:szCs w:val="20"/>
          <w:color w:val="auto"/>
        </w:rPr>
      </w:pPr>
      <w:r>
        <w:rPr>
          <w:rFonts w:ascii="Arial" w:cs="Arial" w:eastAsia="Arial" w:hAnsi="Arial"/>
          <w:sz w:val="20"/>
          <w:szCs w:val="20"/>
          <w:u w:val="single" w:color="auto"/>
          <w:color w:val="auto"/>
        </w:rPr>
        <w:t>Limited Condition Acquisitions</w:t>
      </w:r>
      <w:r>
        <w:rPr>
          <w:rFonts w:ascii="Arial" w:cs="Arial" w:eastAsia="Arial" w:hAnsi="Arial"/>
          <w:sz w:val="20"/>
          <w:szCs w:val="20"/>
          <w:color w:val="auto"/>
        </w:rPr>
        <w:t>:   To the extent that the terms of the Definitive Documentation require (a) compliance with any basket, financial ratio or test, (b) the absence of a default or an event of default, or</w:t>
      </w:r>
    </w:p>
    <w:p>
      <w:pPr>
        <w:spacing w:after="0" w:line="2" w:lineRule="exact"/>
        <w:rPr>
          <w:sz w:val="20"/>
          <w:szCs w:val="20"/>
          <w:color w:val="auto"/>
        </w:rPr>
      </w:pPr>
    </w:p>
    <w:p>
      <w:pPr>
        <w:jc w:val="both"/>
        <w:ind w:left="2860" w:hanging="2"/>
        <w:spacing w:after="0" w:line="255" w:lineRule="auto"/>
        <w:tabs>
          <w:tab w:leader="none" w:pos="313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 determination of the accuracy of any representations and warranties, in each case in connection with the consummation of a Limited Condition Acquisition (as defined below), the determination of whether the relevant condition is satisfied may be made, at the election of the Borrower, on the date of the execution of the definitive agreement with respect to such Limited Condition Acquisition (such date, the “</w:t>
      </w:r>
      <w:r>
        <w:rPr>
          <w:rFonts w:ascii="Arial" w:cs="Arial" w:eastAsia="Arial" w:hAnsi="Arial"/>
          <w:sz w:val="19"/>
          <w:szCs w:val="19"/>
          <w:b w:val="1"/>
          <w:bCs w:val="1"/>
          <w:i w:val="1"/>
          <w:iCs w:val="1"/>
          <w:color w:val="auto"/>
        </w:rPr>
        <w:t>LCA Test Date</w:t>
      </w:r>
      <w:r>
        <w:rPr>
          <w:rFonts w:ascii="Arial" w:cs="Arial" w:eastAsia="Arial" w:hAnsi="Arial"/>
          <w:sz w:val="19"/>
          <w:szCs w:val="19"/>
          <w:color w:val="auto"/>
        </w:rPr>
        <w:t>”), after giving effect to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74" w:name="page175"/>
    <w:bookmarkEnd w:id="174"/>
    <w:p>
      <w:pPr>
        <w:jc w:val="both"/>
        <w:ind w:left="2400"/>
        <w:spacing w:after="0" w:line="267" w:lineRule="auto"/>
        <w:rPr>
          <w:sz w:val="20"/>
          <w:szCs w:val="20"/>
          <w:color w:val="auto"/>
        </w:rPr>
      </w:pPr>
      <w:r>
        <w:rPr>
          <w:rFonts w:ascii="Arial" w:cs="Arial" w:eastAsia="Arial" w:hAnsi="Arial"/>
          <w:sz w:val="18"/>
          <w:szCs w:val="18"/>
          <w:color w:val="auto"/>
        </w:rPr>
        <w:t xml:space="preserve">Limited Condition Acquisition and any related incurrence of indebtedness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basis;</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that</w:t>
      </w:r>
      <w:r>
        <w:rPr>
          <w:rFonts w:ascii="Arial" w:cs="Arial" w:eastAsia="Arial" w:hAnsi="Arial"/>
          <w:sz w:val="18"/>
          <w:szCs w:val="18"/>
          <w:color w:val="auto"/>
        </w:rPr>
        <w:t>, notwithstanding the foregoing, in connection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Condition Acquisition: (A) the no default or event of default condition to the consummation of any Limited Condition Acquisition shall be satisfied if (1) no default or event of default shall have occurred and be continuing as of the LCA Test Date applicable to such Limited Condition Acquisition, and (2) no payment or bankruptcy event of default shall have occurred and be continuing at the time of consummation of such Limited Condition Acquisition; (B) if the proceeds of an Incremental Term Facility are being used to finance such Limited Condition Acquisition, then (1) the condition applicable to the incurrence of such Incremental Term Facility requiring that the representations and warranties be accurate shall be required to be satisfied at the time of closing of such Limited Condition Acquisition and the incurrence of such Incremental Term Facility but, if the lenders providing such Incremental Term Facility so agree, the representations and warranties which must be accurate at the time of closing of such Limited Condition Acquisition and the incurrence of such Incremental Term Facility may be limited to customary “specified representations”, customary “specified acquisition agreement representations” and such other representations and warranties as may be required by the lenders providing such Incremental Term Facility, and (2) the no default or event of default condition to the incurrence of such Incremental Term Facility shall, if and to the extent the lenders providing such Incremental Term Facility so agree, be satisfied if (x) no default or event of default shall have occurred and be continuing as of the LCA Test Date applicable to such Limited Condition Acquisition, and (y) no payment or bankruptcy event of default shall have occurred and be continuing at the time of the incurrence of such Incremental Term Facility in connection with the consummation of such Limited Condition Acquisition; and (C) such Limited Condition Acquisition, any related pro forma adjustments, and the related indebtedness to be incurred in connection therewith and the use of proceeds thereof shall be deemed consummated, made, incurred and/or applied at the LCA Test Date applicable to such Limited Condition Acquisition (until such time as the indebtedness is actually incurred or the applicable definitive agreement is terminated without actually consummating the applicable Limited Condition Acquisition) and outstanding thereafter for purposes of determining pro forma compliance with any financial ratio or test (other than for purposes of determining pro forma compliance in connection with the making of any restricted payment or the prepayment of certain indebtedness to be mutually agreed in the Definitive Documentation, it being understood and agreed that for purposes of determining pro forma compliance in connection with the making of any restricted payment or the prepayment of certain indebtedness to be mutually agreed in the Definitive Documentation, the Borrower shall be required to demonstrate compliance with the applicable financial ratio or test both (x) after giving effect to the applicable Limited Condition Acquisition, including related pro forma adjustments, and the incurrence of any related indebtedness to be incurred in connection therewith and the use of proceeds thereof, and (y) assuming that such Limited Condition Acquisition has not occurred). For the avoidance of doubt, if any of such ratios or amounts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2" w:right="999" w:bottom="1440" w:gutter="0" w:footer="0" w:header="0"/>
        </w:sectPr>
      </w:pPr>
    </w:p>
    <w:bookmarkStart w:id="175" w:name="page176"/>
    <w:bookmarkEnd w:id="175"/>
    <w:p>
      <w:pPr>
        <w:jc w:val="both"/>
        <w:ind w:left="2860"/>
        <w:spacing w:after="0" w:line="255" w:lineRule="auto"/>
        <w:rPr>
          <w:sz w:val="20"/>
          <w:szCs w:val="20"/>
          <w:color w:val="auto"/>
        </w:rPr>
      </w:pPr>
      <w:r>
        <w:rPr>
          <w:rFonts w:ascii="Arial" w:cs="Arial" w:eastAsia="Arial" w:hAnsi="Arial"/>
          <w:sz w:val="19"/>
          <w:szCs w:val="19"/>
          <w:color w:val="auto"/>
        </w:rPr>
        <w:t>compliance was determined or tested as of the LCA Test Date applicable to such Limited Condition Acquisition are thereafter exceeded or otherwise failed to have been complied with as a result of fluctuations in such ratio or amount,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It is understood and agreed that the provisions set forth in this section shall not limit the conditions set forth under the heading “Conditions Precedent to All Other Extensions of Credit” below with respect to any borrowing of revolving loans under the Revolving Facility, any issuance of, extension of the expiry date of, or increase in the amount of, any Letter of Credit, any borrowing of Swingline Loans or any borrowing of term loans under the Term Loan Facility.</w:t>
      </w:r>
    </w:p>
    <w:p>
      <w:pPr>
        <w:spacing w:after="0" w:line="182" w:lineRule="exact"/>
        <w:rPr>
          <w:sz w:val="20"/>
          <w:szCs w:val="20"/>
          <w:color w:val="auto"/>
        </w:rPr>
      </w:pPr>
    </w:p>
    <w:p>
      <w:pPr>
        <w:jc w:val="both"/>
        <w:ind w:left="286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w:t>
      </w:r>
      <w:r>
        <w:rPr>
          <w:rFonts w:ascii="Arial" w:cs="Arial" w:eastAsia="Arial" w:hAnsi="Arial"/>
          <w:sz w:val="20"/>
          <w:szCs w:val="20"/>
          <w:color w:val="auto"/>
        </w:rPr>
        <w:t>” means an acquisition permitted pursuant to the Definitive Documentation whose consummation is not conditioned on the availability of, or on obtaining, third party financing.</w:t>
      </w:r>
    </w:p>
    <w:p>
      <w:pPr>
        <w:spacing w:after="0" w:line="199" w:lineRule="exact"/>
        <w:rPr>
          <w:sz w:val="20"/>
          <w:szCs w:val="20"/>
          <w:color w:val="auto"/>
        </w:rPr>
      </w:pPr>
    </w:p>
    <w:p>
      <w:pPr>
        <w:jc w:val="both"/>
        <w:ind w:left="2860" w:hanging="2848"/>
        <w:spacing w:after="0" w:line="246" w:lineRule="auto"/>
        <w:tabs>
          <w:tab w:leader="none" w:pos="2840" w:val="left"/>
        </w:tabs>
        <w:rPr>
          <w:sz w:val="20"/>
          <w:szCs w:val="20"/>
          <w:color w:val="auto"/>
        </w:rPr>
      </w:pPr>
      <w:r>
        <w:rPr>
          <w:rFonts w:ascii="Arial" w:cs="Arial" w:eastAsia="Arial" w:hAnsi="Arial"/>
          <w:sz w:val="20"/>
          <w:szCs w:val="20"/>
          <w:u w:val="single" w:color="auto"/>
          <w:color w:val="auto"/>
        </w:rPr>
        <w:t>Availability/Amortization</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Extensions of credit under the Revolving Facility may be made on a revolving basis up to the full amount of the Revolving Facility, Letters of Credit may be issued up to the sublimit for Letters of Credit, and Swingline Loans may be issued up to the sublimit for Swingline Loans.</w:t>
      </w:r>
    </w:p>
    <w:p>
      <w:pPr>
        <w:spacing w:after="0" w:line="191" w:lineRule="exact"/>
        <w:rPr>
          <w:sz w:val="20"/>
          <w:szCs w:val="20"/>
          <w:color w:val="auto"/>
        </w:rPr>
      </w:pPr>
    </w:p>
    <w:p>
      <w:pPr>
        <w:jc w:val="both"/>
        <w:ind w:left="2860"/>
        <w:spacing w:after="0" w:line="282" w:lineRule="auto"/>
        <w:rPr>
          <w:sz w:val="20"/>
          <w:szCs w:val="20"/>
          <w:color w:val="auto"/>
        </w:rPr>
      </w:pPr>
      <w:r>
        <w:rPr>
          <w:rFonts w:ascii="Arial" w:cs="Arial" w:eastAsia="Arial" w:hAnsi="Arial"/>
          <w:sz w:val="18"/>
          <w:szCs w:val="18"/>
          <w:color w:val="auto"/>
        </w:rPr>
        <w:t>Commencing as of last business day of the first full fiscal quarter of the Borrower ending after the Closing Date, the Term Loan Facility shall be subject to quarterly amortization of principal based on the annual amounts set forth below, with the balance of the Term Loan Facility paid on the Maturity Date (the “</w:t>
      </w:r>
      <w:r>
        <w:rPr>
          <w:rFonts w:ascii="Arial" w:cs="Arial" w:eastAsia="Arial" w:hAnsi="Arial"/>
          <w:sz w:val="18"/>
          <w:szCs w:val="18"/>
          <w:b w:val="1"/>
          <w:bCs w:val="1"/>
          <w:i w:val="1"/>
          <w:iCs w:val="1"/>
          <w:color w:val="auto"/>
        </w:rPr>
        <w:t>Scheduled Amortization</w:t>
      </w:r>
      <w:r>
        <w:rPr>
          <w:rFonts w:ascii="Arial" w:cs="Arial" w:eastAsia="Arial" w:hAnsi="Arial"/>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20"/>
                <w:szCs w:val="20"/>
                <w:color w:val="auto"/>
              </w:rPr>
              <w:t>Principal Amount (% of original principal amount of Term Loan Facility)</w:t>
            </w:r>
          </w:p>
        </w:tc>
      </w:tr>
      <w:tr>
        <w:trPr>
          <w:trHeight w:val="449"/>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4"/>
              </w:rPr>
              <w:t>Loan year 1</w:t>
            </w:r>
          </w:p>
        </w:tc>
        <w:tc>
          <w:tcPr>
            <w:tcW w:w="4800" w:type="dxa"/>
            <w:vAlign w:val="bottom"/>
            <w:tcBorders>
              <w:top w:val="single" w:sz="8" w:color="auto"/>
            </w:tcBorders>
          </w:tcPr>
          <w:p>
            <w:pPr>
              <w:ind w:left="260"/>
              <w:spacing w:after="0"/>
              <w:rPr>
                <w:sz w:val="20"/>
                <w:szCs w:val="20"/>
                <w:color w:val="auto"/>
              </w:rPr>
            </w:pPr>
            <w:r>
              <w:rPr>
                <w:rFonts w:ascii="Arial" w:cs="Arial" w:eastAsia="Arial" w:hAnsi="Arial"/>
                <w:sz w:val="20"/>
                <w:szCs w:val="20"/>
                <w:color w:val="auto"/>
              </w:rPr>
              <w:t>5.0%</w:t>
            </w:r>
          </w:p>
        </w:tc>
        <w:tc>
          <w:tcPr>
            <w:tcW w:w="1240" w:type="dxa"/>
            <w:vAlign w:val="bottom"/>
          </w:tcPr>
          <w:p>
            <w:pPr>
              <w:spacing w:after="0"/>
              <w:rPr>
                <w:sz w:val="24"/>
                <w:szCs w:val="24"/>
                <w:color w:val="auto"/>
              </w:rPr>
            </w:pP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20"/>
                <w:szCs w:val="20"/>
                <w:color w:val="auto"/>
                <w:w w:val="94"/>
              </w:rPr>
              <w:t>Loan year 2</w:t>
            </w:r>
          </w:p>
        </w:tc>
        <w:tc>
          <w:tcPr>
            <w:tcW w:w="4800" w:type="dxa"/>
            <w:vAlign w:val="bottom"/>
          </w:tcPr>
          <w:p>
            <w:pPr>
              <w:ind w:left="260"/>
              <w:spacing w:after="0"/>
              <w:rPr>
                <w:sz w:val="20"/>
                <w:szCs w:val="20"/>
                <w:color w:val="auto"/>
              </w:rPr>
            </w:pPr>
            <w:r>
              <w:rPr>
                <w:rFonts w:ascii="Arial" w:cs="Arial" w:eastAsia="Arial" w:hAnsi="Arial"/>
                <w:sz w:val="20"/>
                <w:szCs w:val="20"/>
                <w:color w:val="auto"/>
              </w:rPr>
              <w:t>5.0%</w:t>
            </w:r>
          </w:p>
        </w:tc>
        <w:tc>
          <w:tcPr>
            <w:tcW w:w="124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20"/>
                <w:szCs w:val="20"/>
                <w:color w:val="auto"/>
                <w:w w:val="94"/>
              </w:rPr>
              <w:t>Loan year 3</w:t>
            </w:r>
          </w:p>
        </w:tc>
        <w:tc>
          <w:tcPr>
            <w:tcW w:w="4800" w:type="dxa"/>
            <w:vAlign w:val="bottom"/>
          </w:tcPr>
          <w:p>
            <w:pPr>
              <w:ind w:left="260"/>
              <w:spacing w:after="0"/>
              <w:rPr>
                <w:sz w:val="20"/>
                <w:szCs w:val="20"/>
                <w:color w:val="auto"/>
              </w:rPr>
            </w:pPr>
            <w:r>
              <w:rPr>
                <w:rFonts w:ascii="Arial" w:cs="Arial" w:eastAsia="Arial" w:hAnsi="Arial"/>
                <w:sz w:val="20"/>
                <w:szCs w:val="20"/>
                <w:color w:val="auto"/>
              </w:rPr>
              <w:t>5.0%</w:t>
            </w:r>
          </w:p>
        </w:tc>
        <w:tc>
          <w:tcPr>
            <w:tcW w:w="124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20"/>
                <w:szCs w:val="20"/>
                <w:color w:val="auto"/>
                <w:w w:val="94"/>
              </w:rPr>
              <w:t>Loan year 4</w:t>
            </w:r>
          </w:p>
        </w:tc>
        <w:tc>
          <w:tcPr>
            <w:tcW w:w="4800" w:type="dxa"/>
            <w:vAlign w:val="bottom"/>
          </w:tcPr>
          <w:p>
            <w:pPr>
              <w:ind w:left="260"/>
              <w:spacing w:after="0"/>
              <w:rPr>
                <w:sz w:val="20"/>
                <w:szCs w:val="20"/>
                <w:color w:val="auto"/>
              </w:rPr>
            </w:pPr>
            <w:r>
              <w:rPr>
                <w:rFonts w:ascii="Arial" w:cs="Arial" w:eastAsia="Arial" w:hAnsi="Arial"/>
                <w:sz w:val="20"/>
                <w:szCs w:val="20"/>
                <w:color w:val="auto"/>
              </w:rPr>
              <w:t>5.0%</w:t>
            </w:r>
          </w:p>
        </w:tc>
        <w:tc>
          <w:tcPr>
            <w:tcW w:w="124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20"/>
                <w:szCs w:val="20"/>
                <w:color w:val="auto"/>
                <w:w w:val="94"/>
              </w:rPr>
              <w:t>Loan year 5</w:t>
            </w:r>
          </w:p>
        </w:tc>
        <w:tc>
          <w:tcPr>
            <w:tcW w:w="6040" w:type="dxa"/>
            <w:vAlign w:val="bottom"/>
            <w:gridSpan w:val="2"/>
          </w:tcPr>
          <w:p>
            <w:pPr>
              <w:jc w:val="right"/>
              <w:ind w:right="20"/>
              <w:spacing w:after="0"/>
              <w:rPr>
                <w:sz w:val="20"/>
                <w:szCs w:val="20"/>
                <w:color w:val="auto"/>
              </w:rPr>
            </w:pPr>
            <w:r>
              <w:rPr>
                <w:rFonts w:ascii="Arial" w:cs="Arial" w:eastAsia="Arial" w:hAnsi="Arial"/>
                <w:sz w:val="20"/>
                <w:szCs w:val="20"/>
                <w:color w:val="auto"/>
                <w:w w:val="96"/>
              </w:rPr>
              <w:t>80.0%, consisting of three quarterly payments of 1.25% each, with the</w:t>
            </w: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gridSpan w:val="2"/>
          </w:tcPr>
          <w:p>
            <w:pPr>
              <w:ind w:left="280"/>
              <w:spacing w:after="0"/>
              <w:rPr>
                <w:sz w:val="20"/>
                <w:szCs w:val="20"/>
                <w:color w:val="auto"/>
              </w:rPr>
            </w:pPr>
            <w:r>
              <w:rPr>
                <w:rFonts w:ascii="Arial" w:cs="Arial" w:eastAsia="Arial" w:hAnsi="Arial"/>
                <w:sz w:val="20"/>
                <w:szCs w:val="20"/>
                <w:color w:val="auto"/>
                <w:w w:val="93"/>
              </w:rPr>
              <w:t>remaining outstanding principal amount of the Term Loan Facility due</w:t>
            </w:r>
          </w:p>
        </w:tc>
      </w:tr>
      <w:tr>
        <w:trPr>
          <w:trHeight w:val="250"/>
        </w:trPr>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40" w:type="dxa"/>
            <w:vAlign w:val="bottom"/>
            <w:gridSpan w:val="2"/>
          </w:tcPr>
          <w:p>
            <w:pPr>
              <w:ind w:left="280"/>
              <w:spacing w:after="0"/>
              <w:rPr>
                <w:sz w:val="20"/>
                <w:szCs w:val="20"/>
                <w:color w:val="auto"/>
              </w:rPr>
            </w:pPr>
            <w:r>
              <w:rPr>
                <w:rFonts w:ascii="Arial" w:cs="Arial" w:eastAsia="Arial" w:hAnsi="Arial"/>
                <w:sz w:val="20"/>
                <w:szCs w:val="20"/>
                <w:color w:val="auto"/>
              </w:rPr>
              <w:t>and payable on the Maturity Date.</w:t>
            </w:r>
          </w:p>
        </w:tc>
      </w:tr>
      <w:tr>
        <w:trPr>
          <w:trHeight w:val="415"/>
        </w:trPr>
        <w:tc>
          <w:tcPr>
            <w:tcW w:w="1040" w:type="dxa"/>
            <w:vAlign w:val="bottom"/>
          </w:tcPr>
          <w:p>
            <w:pPr>
              <w:spacing w:after="0"/>
              <w:rPr>
                <w:sz w:val="20"/>
                <w:szCs w:val="20"/>
                <w:color w:val="auto"/>
              </w:rPr>
            </w:pPr>
            <w:r>
              <w:rPr>
                <w:rFonts w:ascii="Arial" w:cs="Arial" w:eastAsia="Arial" w:hAnsi="Arial"/>
                <w:sz w:val="20"/>
                <w:szCs w:val="20"/>
                <w:color w:val="auto"/>
              </w:rPr>
              <w:t>Mandatory</w:t>
            </w:r>
          </w:p>
        </w:tc>
        <w:tc>
          <w:tcPr>
            <w:tcW w:w="1360" w:type="dxa"/>
            <w:vAlign w:val="bottom"/>
            <w:gridSpan w:val="2"/>
          </w:tcPr>
          <w:p>
            <w:pPr>
              <w:ind w:left="180"/>
              <w:spacing w:after="0"/>
              <w:rPr>
                <w:sz w:val="20"/>
                <w:szCs w:val="20"/>
                <w:color w:val="auto"/>
              </w:rPr>
            </w:pPr>
            <w:r>
              <w:rPr>
                <w:rFonts w:ascii="Arial" w:cs="Arial" w:eastAsia="Arial" w:hAnsi="Arial"/>
                <w:sz w:val="20"/>
                <w:szCs w:val="20"/>
                <w:color w:val="auto"/>
                <w:w w:val="98"/>
              </w:rPr>
              <w:t>Prepayments</w:t>
            </w:r>
          </w:p>
        </w:tc>
        <w:tc>
          <w:tcPr>
            <w:tcW w:w="7520" w:type="dxa"/>
            <w:vAlign w:val="bottom"/>
            <w:gridSpan w:val="4"/>
          </w:tcPr>
          <w:p>
            <w:pPr>
              <w:jc w:val="right"/>
              <w:spacing w:after="0"/>
              <w:rPr>
                <w:sz w:val="20"/>
                <w:szCs w:val="20"/>
                <w:color w:val="auto"/>
              </w:rPr>
            </w:pPr>
            <w:r>
              <w:rPr>
                <w:rFonts w:ascii="Arial" w:cs="Arial" w:eastAsia="Arial" w:hAnsi="Arial"/>
                <w:sz w:val="20"/>
                <w:szCs w:val="20"/>
                <w:color w:val="auto"/>
                <w:w w:val="94"/>
              </w:rPr>
              <w:t>andIn addition to the Scheduled Amortization, on and after the Closing Date, the following</w:t>
            </w:r>
          </w:p>
        </w:tc>
      </w:tr>
      <w:tr>
        <w:trPr>
          <w:trHeight w:val="209"/>
        </w:trPr>
        <w:tc>
          <w:tcPr>
            <w:tcW w:w="2400" w:type="dxa"/>
            <w:vAlign w:val="bottom"/>
            <w:tcBorders>
              <w:top w:val="single" w:sz="8" w:color="auto"/>
            </w:tcBorders>
            <w:gridSpan w:val="3"/>
          </w:tcPr>
          <w:p>
            <w:pPr>
              <w:spacing w:after="0" w:line="209" w:lineRule="exact"/>
              <w:rPr>
                <w:sz w:val="20"/>
                <w:szCs w:val="20"/>
                <w:color w:val="auto"/>
              </w:rPr>
            </w:pPr>
            <w:r>
              <w:rPr>
                <w:rFonts w:ascii="Arial" w:cs="Arial" w:eastAsia="Arial" w:hAnsi="Arial"/>
                <w:sz w:val="20"/>
                <w:szCs w:val="20"/>
                <w:color w:val="auto"/>
              </w:rPr>
              <w:t>Commitment Reductions:</w:t>
            </w:r>
          </w:p>
        </w:tc>
        <w:tc>
          <w:tcPr>
            <w:tcW w:w="460" w:type="dxa"/>
            <w:vAlign w:val="bottom"/>
            <w:tcBorders>
              <w:top w:val="single" w:sz="8" w:color="auto"/>
            </w:tcBorders>
          </w:tcPr>
          <w:p>
            <w:pPr>
              <w:spacing w:after="0"/>
              <w:rPr>
                <w:sz w:val="18"/>
                <w:szCs w:val="18"/>
                <w:color w:val="auto"/>
              </w:rPr>
            </w:pPr>
          </w:p>
        </w:tc>
        <w:tc>
          <w:tcPr>
            <w:tcW w:w="7060" w:type="dxa"/>
            <w:vAlign w:val="bottom"/>
            <w:gridSpan w:val="3"/>
          </w:tcPr>
          <w:p>
            <w:pPr>
              <w:spacing w:after="0" w:line="209" w:lineRule="exact"/>
              <w:rPr>
                <w:sz w:val="20"/>
                <w:szCs w:val="20"/>
                <w:color w:val="auto"/>
              </w:rPr>
            </w:pPr>
            <w:r>
              <w:rPr>
                <w:rFonts w:ascii="Arial" w:cs="Arial" w:eastAsia="Arial" w:hAnsi="Arial"/>
                <w:sz w:val="20"/>
                <w:szCs w:val="20"/>
                <w:color w:val="auto"/>
                <w:w w:val="90"/>
              </w:rPr>
              <w:t>mandatory prepayments apply: (a) one hundred percent (100%) of all net cash proceeds</w:t>
            </w:r>
          </w:p>
        </w:tc>
      </w:tr>
      <w:tr>
        <w:trPr>
          <w:trHeight w:val="233"/>
        </w:trPr>
        <w:tc>
          <w:tcPr>
            <w:tcW w:w="10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20"/>
                <w:szCs w:val="20"/>
                <w:color w:val="auto"/>
              </w:rPr>
              <w:t>received in</w:t>
            </w:r>
          </w:p>
        </w:tc>
        <w:tc>
          <w:tcPr>
            <w:tcW w:w="6040" w:type="dxa"/>
            <w:vAlign w:val="bottom"/>
            <w:gridSpan w:val="2"/>
          </w:tcPr>
          <w:p>
            <w:pPr>
              <w:jc w:val="right"/>
              <w:spacing w:after="0"/>
              <w:rPr>
                <w:sz w:val="20"/>
                <w:szCs w:val="20"/>
                <w:color w:val="auto"/>
              </w:rPr>
            </w:pPr>
            <w:r>
              <w:rPr>
                <w:rFonts w:ascii="Arial" w:cs="Arial" w:eastAsia="Arial" w:hAnsi="Arial"/>
                <w:sz w:val="20"/>
                <w:szCs w:val="20"/>
                <w:color w:val="auto"/>
                <w:w w:val="98"/>
              </w:rPr>
              <w:t>connection with asset sales, dispositions and involuntary dispositions</w:t>
            </w:r>
          </w:p>
        </w:tc>
      </w:tr>
      <w:tr>
        <w:trPr>
          <w:trHeight w:val="229"/>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i w:val="1"/>
                <w:iCs w:val="1"/>
                <w:color w:val="auto"/>
                <w:w w:val="92"/>
              </w:rPr>
              <w:t>provided</w:t>
            </w:r>
            <w:r>
              <w:rPr>
                <w:rFonts w:ascii="Arial" w:cs="Arial" w:eastAsia="Arial" w:hAnsi="Arial"/>
                <w:sz w:val="20"/>
                <w:szCs w:val="20"/>
                <w:color w:val="auto"/>
                <w:w w:val="92"/>
              </w:rPr>
              <w:t xml:space="preserve">, </w:t>
            </w:r>
            <w:r>
              <w:rPr>
                <w:rFonts w:ascii="Arial" w:cs="Arial" w:eastAsia="Arial" w:hAnsi="Arial"/>
                <w:sz w:val="20"/>
                <w:szCs w:val="20"/>
                <w:i w:val="1"/>
                <w:iCs w:val="1"/>
                <w:color w:val="auto"/>
                <w:w w:val="92"/>
              </w:rPr>
              <w:t>that</w:t>
            </w:r>
            <w:r>
              <w:rPr>
                <w:rFonts w:ascii="Arial" w:cs="Arial" w:eastAsia="Arial" w:hAnsi="Arial"/>
                <w:sz w:val="20"/>
                <w:szCs w:val="20"/>
                <w:color w:val="auto"/>
                <w:w w:val="92"/>
              </w:rPr>
              <w:t>, such net cash proceeds shall not be required to be applied as set forth</w:t>
            </w: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20"/>
                <w:szCs w:val="20"/>
                <w:color w:val="auto"/>
                <w:w w:val="93"/>
              </w:rPr>
              <w:t>below (i) until the aggregate amount of net cash proceeds derived from all such asset</w:t>
            </w:r>
          </w:p>
        </w:tc>
      </w:tr>
      <w:tr>
        <w:trPr>
          <w:trHeight w:val="230"/>
        </w:trPr>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20"/>
                <w:szCs w:val="20"/>
                <w:color w:val="auto"/>
                <w:w w:val="96"/>
              </w:rPr>
              <w:t>sales, dispositions and involuntary dispositions in any fiscal year of the Borrower is</w:t>
            </w:r>
          </w:p>
        </w:tc>
      </w:tr>
      <w:tr>
        <w:trPr>
          <w:trHeight w:val="250"/>
        </w:trPr>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60" w:type="dxa"/>
            <w:vAlign w:val="bottom"/>
            <w:gridSpan w:val="3"/>
          </w:tcPr>
          <w:p>
            <w:pPr>
              <w:spacing w:after="0"/>
              <w:rPr>
                <w:sz w:val="20"/>
                <w:szCs w:val="20"/>
                <w:color w:val="auto"/>
              </w:rPr>
            </w:pPr>
            <w:r>
              <w:rPr>
                <w:rFonts w:ascii="Arial" w:cs="Arial" w:eastAsia="Arial" w:hAnsi="Arial"/>
                <w:sz w:val="20"/>
                <w:szCs w:val="20"/>
                <w:color w:val="auto"/>
              </w:rPr>
              <w:t>equal to or greater than $10 million, and (ii) if, at the election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3"/>
              </w:rPr>
              <w:t>of the Borrower (as notified by the Borrower to the Administrative Agent on or prior to</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89"/>
              </w:rPr>
              <w:t>the date of such asset sale, disposition or involuntary disposition), so long as no event of</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1"/>
              </w:rPr>
              <w:t>default shall have occurred and be continuing at the time of such asset sale, disposition</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8"/>
              </w:rPr>
              <w:t>or involuntary disposition or at the time of such reinvestment, the Borrower or the</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8"/>
              </w:rPr>
              <w:t>applicable subsidiary of the Borrower reinvests all or any portion of such net cash</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8"/>
              </w:rPr>
              <w:t>proceeds in assets (other than current assets as classified by generally accepted</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89"/>
              </w:rPr>
              <w:t>accounting principles) that are used or useful in the same or a related line of business as</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rPr>
              <w:t>the Borrower and its subsidiaries were engaged in on the Closing Date (or any</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reasonable extensions or expansions thereof) within one hundred eighty (180) days of</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4"/>
              </w:rPr>
              <w:t>the date of such asset sale, disposition or involuntary disposition (or to the extent the</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Borrower or such subsidiary commits within such one hundred eighty (180)-day period</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89"/>
              </w:rPr>
              <w:t>to make such reinvestment, within one hundred eighty (180) days after such one hundred</w:t>
            </w:r>
          </w:p>
        </w:tc>
      </w:tr>
      <w:tr>
        <w:trPr>
          <w:trHeight w:val="20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60" w:type="dxa"/>
            <w:vAlign w:val="bottom"/>
            <w:gridSpan w:val="4"/>
          </w:tcPr>
          <w:p>
            <w:pPr>
              <w:spacing w:after="0" w:line="206" w:lineRule="exact"/>
              <w:rPr>
                <w:sz w:val="20"/>
                <w:szCs w:val="20"/>
                <w:color w:val="auto"/>
              </w:rPr>
            </w:pPr>
            <w:r>
              <w:rPr>
                <w:rFonts w:ascii="Arial" w:cs="Arial" w:eastAsia="Arial" w:hAnsi="Arial"/>
                <w:sz w:val="20"/>
                <w:szCs w:val="20"/>
                <w:color w:val="auto"/>
                <w:w w:val="94"/>
              </w:rPr>
              <w:t xml:space="preserve">eighty (180)-day period); </w:t>
            </w:r>
            <w:r>
              <w:rPr>
                <w:rFonts w:ascii="Arial" w:cs="Arial" w:eastAsia="Arial" w:hAnsi="Arial"/>
                <w:sz w:val="20"/>
                <w:szCs w:val="20"/>
                <w:i w:val="1"/>
                <w:iCs w:val="1"/>
                <w:color w:val="auto"/>
                <w:w w:val="94"/>
              </w:rPr>
              <w:t>provided</w:t>
            </w:r>
            <w:r>
              <w:rPr>
                <w:rFonts w:ascii="Arial" w:cs="Arial" w:eastAsia="Arial" w:hAnsi="Arial"/>
                <w:sz w:val="20"/>
                <w:szCs w:val="20"/>
                <w:color w:val="auto"/>
                <w:w w:val="94"/>
              </w:rPr>
              <w:t xml:space="preserve">, </w:t>
            </w:r>
            <w:r>
              <w:rPr>
                <w:rFonts w:ascii="Arial" w:cs="Arial" w:eastAsia="Arial" w:hAnsi="Arial"/>
                <w:sz w:val="20"/>
                <w:szCs w:val="20"/>
                <w:i w:val="1"/>
                <w:iCs w:val="1"/>
                <w:color w:val="auto"/>
                <w:w w:val="94"/>
              </w:rPr>
              <w:t>further</w:t>
            </w:r>
            <w:r>
              <w:rPr>
                <w:rFonts w:ascii="Arial" w:cs="Arial" w:eastAsia="Arial" w:hAnsi="Arial"/>
                <w:sz w:val="20"/>
                <w:szCs w:val="20"/>
                <w:color w:val="auto"/>
                <w:w w:val="94"/>
              </w:rPr>
              <w:t xml:space="preserve">, </w:t>
            </w:r>
            <w:r>
              <w:rPr>
                <w:rFonts w:ascii="Arial" w:cs="Arial" w:eastAsia="Arial" w:hAnsi="Arial"/>
                <w:sz w:val="20"/>
                <w:szCs w:val="20"/>
                <w:i w:val="1"/>
                <w:iCs w:val="1"/>
                <w:color w:val="auto"/>
                <w:w w:val="94"/>
              </w:rPr>
              <w:t>that</w:t>
            </w:r>
            <w:r>
              <w:rPr>
                <w:rFonts w:ascii="Arial" w:cs="Arial" w:eastAsia="Arial" w:hAnsi="Arial"/>
                <w:sz w:val="20"/>
                <w:szCs w:val="20"/>
                <w:color w:val="auto"/>
                <w:w w:val="94"/>
              </w:rPr>
              <w:t>, for purposes of the foregoing clause</w:t>
            </w: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60" w:type="dxa"/>
            <w:vAlign w:val="bottom"/>
            <w:gridSpan w:val="4"/>
          </w:tcPr>
          <w:p>
            <w:pPr>
              <w:spacing w:after="0" w:line="209" w:lineRule="exact"/>
              <w:rPr>
                <w:sz w:val="20"/>
                <w:szCs w:val="20"/>
                <w:color w:val="auto"/>
              </w:rPr>
            </w:pPr>
            <w:r>
              <w:rPr>
                <w:rFonts w:ascii="Arial" w:cs="Arial" w:eastAsia="Arial" w:hAnsi="Arial"/>
                <w:sz w:val="20"/>
                <w:szCs w:val="20"/>
                <w:color w:val="auto"/>
                <w:w w:val="96"/>
              </w:rPr>
              <w:t>(ii), if such net cash proceeds shall have not been so reinvested by the end of such</w:t>
            </w: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r>
      <w:tr>
        <w:trPr>
          <w:trHeight w:val="233"/>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1"/>
              </w:rPr>
              <w:t>period(s), such net cash proceeds shall be promptly applied as set forth below); and (b)</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one hundred percent (100%) of all net cash proceeds received in connection with debt</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4"/>
              </w:rPr>
              <w:t>issuances not otherwise permitted under the Definitive Documentation; in each case</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 xml:space="preserve">shall be applied to the prepayment of the Facilities in the following manner: </w:t>
            </w:r>
            <w:r>
              <w:rPr>
                <w:rFonts w:ascii="Arial" w:cs="Arial" w:eastAsia="Arial" w:hAnsi="Arial"/>
                <w:sz w:val="20"/>
                <w:szCs w:val="20"/>
                <w:i w:val="1"/>
                <w:iCs w:val="1"/>
                <w:color w:val="auto"/>
                <w:w w:val="92"/>
              </w:rPr>
              <w:t>first</w:t>
            </w:r>
            <w:r>
              <w:rPr>
                <w:rFonts w:ascii="Arial" w:cs="Arial" w:eastAsia="Arial" w:hAnsi="Arial"/>
                <w:sz w:val="20"/>
                <w:szCs w:val="20"/>
                <w:color w:val="auto"/>
                <w:w w:val="92"/>
              </w:rPr>
              <w:t>, to the</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3"/>
              </w:rPr>
              <w:t>Term Loan Facility (and to the principal repayment installments thereof in the inverse</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 xml:space="preserve">order of maturity), </w:t>
            </w:r>
            <w:r>
              <w:rPr>
                <w:rFonts w:ascii="Arial" w:cs="Arial" w:eastAsia="Arial" w:hAnsi="Arial"/>
                <w:sz w:val="20"/>
                <w:szCs w:val="20"/>
                <w:i w:val="1"/>
                <w:iCs w:val="1"/>
                <w:color w:val="auto"/>
                <w:w w:val="92"/>
              </w:rPr>
              <w:t>second</w:t>
            </w:r>
            <w:r>
              <w:rPr>
                <w:rFonts w:ascii="Arial" w:cs="Arial" w:eastAsia="Arial" w:hAnsi="Arial"/>
                <w:sz w:val="20"/>
                <w:szCs w:val="20"/>
                <w:color w:val="auto"/>
                <w:w w:val="92"/>
              </w:rPr>
              <w:t xml:space="preserve">, to outstanding Swingline Loans, and </w:t>
            </w:r>
            <w:r>
              <w:rPr>
                <w:rFonts w:ascii="Arial" w:cs="Arial" w:eastAsia="Arial" w:hAnsi="Arial"/>
                <w:sz w:val="20"/>
                <w:szCs w:val="20"/>
                <w:i w:val="1"/>
                <w:iCs w:val="1"/>
                <w:color w:val="auto"/>
                <w:w w:val="92"/>
              </w:rPr>
              <w:t>third</w:t>
            </w:r>
            <w:r>
              <w:rPr>
                <w:rFonts w:ascii="Arial" w:cs="Arial" w:eastAsia="Arial" w:hAnsi="Arial"/>
                <w:sz w:val="20"/>
                <w:szCs w:val="20"/>
                <w:color w:val="auto"/>
                <w:w w:val="92"/>
              </w:rPr>
              <w:t>, to the Revolving</w:t>
            </w:r>
          </w:p>
        </w:tc>
      </w:tr>
      <w:tr>
        <w:trPr>
          <w:trHeight w:val="250"/>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rPr>
              <w:t>Facility without a corresponding permanent reduction in the Revolving Facility.</w:t>
            </w:r>
          </w:p>
        </w:tc>
      </w:tr>
      <w:tr>
        <w:trPr>
          <w:trHeight w:val="425"/>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4"/>
              </w:rPr>
              <w:t>Additionally, if for any reason, as of any date of determination, the sum of (such sum</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3"/>
              </w:rPr>
              <w:t>being the “</w:t>
            </w:r>
            <w:r>
              <w:rPr>
                <w:rFonts w:ascii="Arial" w:cs="Arial" w:eastAsia="Arial" w:hAnsi="Arial"/>
                <w:sz w:val="20"/>
                <w:szCs w:val="20"/>
                <w:b w:val="1"/>
                <w:bCs w:val="1"/>
                <w:i w:val="1"/>
                <w:iCs w:val="1"/>
                <w:color w:val="auto"/>
                <w:w w:val="93"/>
              </w:rPr>
              <w:t>Total Revolving Outstandings</w:t>
            </w:r>
            <w:r>
              <w:rPr>
                <w:rFonts w:ascii="Arial" w:cs="Arial" w:eastAsia="Arial" w:hAnsi="Arial"/>
                <w:sz w:val="20"/>
                <w:szCs w:val="20"/>
                <w:color w:val="auto"/>
                <w:w w:val="93"/>
              </w:rPr>
              <w:t>”) (a) the aggregate outstanding amount of</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6"/>
              </w:rPr>
              <w:t xml:space="preserve">revolving loans under the Revolving Facility as of such date, </w:t>
            </w:r>
            <w:r>
              <w:rPr>
                <w:rFonts w:ascii="Arial" w:cs="Arial" w:eastAsia="Arial" w:hAnsi="Arial"/>
                <w:sz w:val="20"/>
                <w:szCs w:val="20"/>
                <w:i w:val="1"/>
                <w:iCs w:val="1"/>
                <w:color w:val="auto"/>
                <w:w w:val="96"/>
              </w:rPr>
              <w:t>plus</w:t>
            </w:r>
            <w:r>
              <w:rPr>
                <w:rFonts w:ascii="Arial" w:cs="Arial" w:eastAsia="Arial" w:hAnsi="Arial"/>
                <w:sz w:val="20"/>
                <w:szCs w:val="20"/>
                <w:color w:val="auto"/>
                <w:w w:val="96"/>
              </w:rPr>
              <w:t xml:space="preserve"> (b) the aggregate</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89"/>
              </w:rPr>
              <w:t xml:space="preserve">outstanding amount of Letter of Credit obligations as of such date, </w:t>
            </w:r>
            <w:r>
              <w:rPr>
                <w:rFonts w:ascii="Arial" w:cs="Arial" w:eastAsia="Arial" w:hAnsi="Arial"/>
                <w:sz w:val="20"/>
                <w:szCs w:val="20"/>
                <w:i w:val="1"/>
                <w:iCs w:val="1"/>
                <w:color w:val="auto"/>
                <w:w w:val="89"/>
              </w:rPr>
              <w:t>plus</w:t>
            </w:r>
            <w:r>
              <w:rPr>
                <w:rFonts w:ascii="Arial" w:cs="Arial" w:eastAsia="Arial" w:hAnsi="Arial"/>
                <w:sz w:val="20"/>
                <w:szCs w:val="20"/>
                <w:color w:val="auto"/>
                <w:w w:val="89"/>
              </w:rPr>
              <w:t xml:space="preserve"> (c) the aggregate</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5"/>
              </w:rPr>
              <w:t>outstanding amount of Swingline Loans as of such date, exceeds the amount of the</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rPr>
              <w:t>Revolving Facility as of such date, the Borrower shall immediately prepay such</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4"/>
              </w:rPr>
              <w:t>revolving loans and such swingline loans and/or shall immediately cash collateralize</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89"/>
              </w:rPr>
              <w:t xml:space="preserve">such Letter of Credit obligations in an aggregate amount equal to such excess; </w:t>
            </w:r>
            <w:r>
              <w:rPr>
                <w:rFonts w:ascii="Arial" w:cs="Arial" w:eastAsia="Arial" w:hAnsi="Arial"/>
                <w:sz w:val="20"/>
                <w:szCs w:val="20"/>
                <w:i w:val="1"/>
                <w:iCs w:val="1"/>
                <w:color w:val="auto"/>
                <w:w w:val="89"/>
              </w:rPr>
              <w:t>provided</w:t>
            </w:r>
            <w:r>
              <w:rPr>
                <w:rFonts w:ascii="Arial" w:cs="Arial" w:eastAsia="Arial" w:hAnsi="Arial"/>
                <w:sz w:val="20"/>
                <w:szCs w:val="20"/>
                <w:color w:val="auto"/>
                <w:w w:val="89"/>
              </w:rPr>
              <w:t>,</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i w:val="1"/>
                <w:iCs w:val="1"/>
                <w:color w:val="auto"/>
                <w:w w:val="98"/>
              </w:rPr>
              <w:t>that</w:t>
            </w:r>
            <w:r>
              <w:rPr>
                <w:rFonts w:ascii="Arial" w:cs="Arial" w:eastAsia="Arial" w:hAnsi="Arial"/>
                <w:sz w:val="20"/>
                <w:szCs w:val="20"/>
                <w:color w:val="auto"/>
                <w:w w:val="98"/>
              </w:rPr>
              <w:t>, the Borrower shall not be required to cash collateralize such Letter of Credit</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5"/>
              </w:rPr>
              <w:t>obligations unless, after the prepayment of such revolving loans and such swingline</w:t>
            </w:r>
          </w:p>
        </w:tc>
      </w:tr>
      <w:tr>
        <w:trPr>
          <w:trHeight w:val="250"/>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loans, the Total Revolving Outstandings exceeds the amount of the Revolving Facility.</w:t>
            </w:r>
          </w:p>
        </w:tc>
      </w:tr>
      <w:tr>
        <w:trPr>
          <w:trHeight w:val="425"/>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1"/>
              </w:rPr>
              <w:t>The Revolving Facility and the commitments thereunder shall terminate on the Maturity</w:t>
            </w: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2"/>
              </w:rPr>
              <w:t>Date. The commitments under the Term Loan Facility shall terminate upon the funding</w:t>
            </w:r>
          </w:p>
        </w:tc>
      </w:tr>
      <w:tr>
        <w:trPr>
          <w:trHeight w:val="250"/>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rPr>
              <w:t>of term loans thereunder on the Closing Date.</w:t>
            </w:r>
          </w:p>
        </w:tc>
      </w:tr>
      <w:tr>
        <w:trPr>
          <w:trHeight w:val="414"/>
        </w:trPr>
        <w:tc>
          <w:tcPr>
            <w:tcW w:w="2860" w:type="dxa"/>
            <w:vAlign w:val="bottom"/>
            <w:gridSpan w:val="3"/>
          </w:tcPr>
          <w:p>
            <w:pPr>
              <w:spacing w:after="0"/>
              <w:rPr>
                <w:sz w:val="20"/>
                <w:szCs w:val="20"/>
                <w:color w:val="auto"/>
              </w:rPr>
            </w:pPr>
            <w:r>
              <w:rPr>
                <w:rFonts w:ascii="Arial" w:cs="Arial" w:eastAsia="Arial" w:hAnsi="Arial"/>
                <w:sz w:val="20"/>
                <w:szCs w:val="20"/>
                <w:color w:val="auto"/>
              </w:rPr>
              <w:t>Optional Prepayments and</w:t>
            </w:r>
          </w:p>
        </w:tc>
        <w:tc>
          <w:tcPr>
            <w:tcW w:w="7060" w:type="dxa"/>
            <w:vAlign w:val="bottom"/>
            <w:gridSpan w:val="4"/>
          </w:tcPr>
          <w:p>
            <w:pPr>
              <w:spacing w:after="0"/>
              <w:rPr>
                <w:sz w:val="20"/>
                <w:szCs w:val="20"/>
                <w:color w:val="auto"/>
              </w:rPr>
            </w:pPr>
            <w:r>
              <w:rPr>
                <w:rFonts w:ascii="Arial" w:cs="Arial" w:eastAsia="Arial" w:hAnsi="Arial"/>
                <w:sz w:val="20"/>
                <w:szCs w:val="20"/>
                <w:color w:val="auto"/>
              </w:rPr>
              <w:t>The Borrower may prepay the Revolving Facility, in whole or in part, at any time</w:t>
            </w:r>
          </w:p>
        </w:tc>
      </w:tr>
      <w:tr>
        <w:trPr>
          <w:trHeight w:val="210"/>
        </w:trPr>
        <w:tc>
          <w:tcPr>
            <w:tcW w:w="210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color w:val="auto"/>
                <w:w w:val="92"/>
              </w:rPr>
              <w:t>Commitment Reductions:</w:t>
            </w:r>
          </w:p>
        </w:tc>
        <w:tc>
          <w:tcPr>
            <w:tcW w:w="760" w:type="dxa"/>
            <w:vAlign w:val="bottom"/>
          </w:tcPr>
          <w:p>
            <w:pPr>
              <w:spacing w:after="0"/>
              <w:rPr>
                <w:sz w:val="18"/>
                <w:szCs w:val="18"/>
                <w:color w:val="auto"/>
              </w:rPr>
            </w:pPr>
          </w:p>
        </w:tc>
        <w:tc>
          <w:tcPr>
            <w:tcW w:w="7060" w:type="dxa"/>
            <w:vAlign w:val="bottom"/>
            <w:gridSpan w:val="4"/>
          </w:tcPr>
          <w:p>
            <w:pPr>
              <w:spacing w:after="0" w:line="209" w:lineRule="exact"/>
              <w:rPr>
                <w:sz w:val="20"/>
                <w:szCs w:val="20"/>
                <w:color w:val="auto"/>
              </w:rPr>
            </w:pPr>
            <w:r>
              <w:rPr>
                <w:rFonts w:ascii="Arial" w:cs="Arial" w:eastAsia="Arial" w:hAnsi="Arial"/>
                <w:sz w:val="20"/>
                <w:szCs w:val="20"/>
                <w:color w:val="auto"/>
                <w:w w:val="90"/>
              </w:rPr>
              <w:t>without premium or penalty (but subject to reimbursement of the Lenders’ breakage and</w:t>
            </w:r>
          </w:p>
        </w:tc>
      </w:tr>
      <w:tr>
        <w:trPr>
          <w:trHeight w:val="233"/>
        </w:trPr>
        <w:tc>
          <w:tcPr>
            <w:tcW w:w="2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w w:val="94"/>
              </w:rPr>
              <w:t>redeployment costs in the case of prepayment of LIBOR borrowings).  The unutilized</w:t>
            </w:r>
          </w:p>
        </w:tc>
      </w:tr>
      <w:tr>
        <w:trPr>
          <w:trHeight w:val="250"/>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60" w:type="dxa"/>
            <w:vAlign w:val="bottom"/>
            <w:gridSpan w:val="4"/>
          </w:tcPr>
          <w:p>
            <w:pPr>
              <w:spacing w:after="0"/>
              <w:rPr>
                <w:sz w:val="20"/>
                <w:szCs w:val="20"/>
                <w:color w:val="auto"/>
              </w:rPr>
            </w:pPr>
            <w:r>
              <w:rPr>
                <w:rFonts w:ascii="Arial" w:cs="Arial" w:eastAsia="Arial" w:hAnsi="Arial"/>
                <w:sz w:val="20"/>
                <w:szCs w:val="20"/>
                <w:color w:val="auto"/>
              </w:rPr>
              <w:t>portion of the Revolving Facility may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1" w:right="9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7"/>
              </w:rPr>
              <w:t>be irrevocably reduced or terminated by the Borrower at any time without penalty.</w:t>
            </w:r>
          </w:p>
        </w:tc>
      </w:tr>
      <w:tr>
        <w:trPr>
          <w:trHeight w:val="425"/>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1"/>
              </w:rPr>
              <w:t>The Borrower may prepay the Term Loan Facility in whole or in part at any time without</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9"/>
              </w:rPr>
              <w:t>premium or penalty (but subject to reimbursement of the Lenders’ breakage and</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0"/>
              </w:rPr>
              <w:t>redeployment costs in the case of prepayment of LIBOR borrowings). Each prepayment</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8"/>
              </w:rPr>
              <w:t>of the Term Loan Facility shall be applied to the principal repayment installments</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rPr>
              <w:t>thereof as directed by the Borrower.</w:t>
            </w:r>
          </w:p>
        </w:tc>
      </w:tr>
      <w:tr>
        <w:trPr>
          <w:trHeight w:val="414"/>
        </w:trPr>
        <w:tc>
          <w:tcPr>
            <w:tcW w:w="2500" w:type="dxa"/>
            <w:vAlign w:val="bottom"/>
            <w:gridSpan w:val="3"/>
          </w:tcPr>
          <w:p>
            <w:pPr>
              <w:spacing w:after="0"/>
              <w:rPr>
                <w:sz w:val="20"/>
                <w:szCs w:val="20"/>
                <w:color w:val="auto"/>
              </w:rPr>
            </w:pPr>
            <w:r>
              <w:rPr>
                <w:rFonts w:ascii="Arial" w:cs="Arial" w:eastAsia="Arial" w:hAnsi="Arial"/>
                <w:sz w:val="20"/>
                <w:szCs w:val="20"/>
                <w:color w:val="auto"/>
              </w:rPr>
              <w:t>Definitive Documentation:</w:t>
            </w: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4"/>
              </w:rPr>
              <w:t>The Facilities will be documented pursuant to Definitive Documentation reflecting (a)</w:t>
            </w:r>
          </w:p>
        </w:tc>
      </w:tr>
      <w:tr>
        <w:trPr>
          <w:trHeight w:val="209"/>
        </w:trPr>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20" w:type="dxa"/>
            <w:vAlign w:val="bottom"/>
            <w:gridSpan w:val="4"/>
          </w:tcPr>
          <w:p>
            <w:pPr>
              <w:ind w:left="360"/>
              <w:spacing w:after="0" w:line="209" w:lineRule="exact"/>
              <w:rPr>
                <w:sz w:val="20"/>
                <w:szCs w:val="20"/>
                <w:color w:val="auto"/>
              </w:rPr>
            </w:pPr>
            <w:r>
              <w:rPr>
                <w:rFonts w:ascii="Arial" w:cs="Arial" w:eastAsia="Arial" w:hAnsi="Arial"/>
                <w:sz w:val="20"/>
                <w:szCs w:val="20"/>
                <w:color w:val="auto"/>
                <w:w w:val="91"/>
              </w:rPr>
              <w:t>the terms and conditions set forth herein and in Exhibit C to the Commitment Letter, (b)</w:t>
            </w:r>
          </w:p>
        </w:tc>
      </w:tr>
      <w:tr>
        <w:trPr>
          <w:trHeight w:val="20"/>
        </w:trPr>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3"/>
        </w:trPr>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8"/>
              </w:rPr>
              <w:t>materiality qualifications and other exceptions that give effect to and/or permit the</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2"/>
              </w:rPr>
              <w:t>structure and intended use of the Facilities, (c) the operational, administrative, agency</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5"/>
              </w:rPr>
              <w:t>and related requirements of the Administrative Agent, (d) customary increased cost,</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3"/>
              </w:rPr>
              <w:t>illegality, change in law, yield protection, withholding tax, capital adequacy, defaulting</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1"/>
              </w:rPr>
              <w:t>lender, EU and UK bail-in, borrower and lender ERISA, “hard-wired” LIBOR successor,</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3"/>
              </w:rPr>
              <w:t>limited liability company division, beneficial ownership and qualified financial contract-</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3"/>
              </w:rPr>
              <w:t>related provisions, and (e) the operational and strategic requirements of the Borrower</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1"/>
              </w:rPr>
              <w:t>(after giving effect to the Transactions). To the extent any other terms are not expressly</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3"/>
              </w:rPr>
              <w:t>set forth herein, the Definitive Documentation will (i) be negotiated in good faith within</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0"/>
              </w:rPr>
              <w:t>a reasonable time period to be determined based on the expected Closing Date, and (ii)</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1"/>
              </w:rPr>
              <w:t>contain such other terms, conditions and provisions as the Borrower and the Joint Lead</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rPr>
              <w:t>Arrangers shall mutually agree.</w:t>
            </w:r>
          </w:p>
        </w:tc>
      </w:tr>
      <w:tr>
        <w:trPr>
          <w:trHeight w:val="414"/>
        </w:trPr>
        <w:tc>
          <w:tcPr>
            <w:tcW w:w="2500" w:type="dxa"/>
            <w:vAlign w:val="bottom"/>
            <w:gridSpan w:val="3"/>
          </w:tcPr>
          <w:p>
            <w:pPr>
              <w:spacing w:after="0"/>
              <w:rPr>
                <w:sz w:val="20"/>
                <w:szCs w:val="20"/>
                <w:color w:val="auto"/>
              </w:rPr>
            </w:pPr>
            <w:r>
              <w:rPr>
                <w:rFonts w:ascii="Arial" w:cs="Arial" w:eastAsia="Arial" w:hAnsi="Arial"/>
                <w:sz w:val="20"/>
                <w:szCs w:val="20"/>
                <w:color w:val="auto"/>
              </w:rPr>
              <w:t>Collateral:</w:t>
            </w: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rPr>
              <w:t>Subject to the Limited Conditionality Provision, each Credit Party shall grant the</w:t>
            </w:r>
          </w:p>
        </w:tc>
      </w:tr>
      <w:tr>
        <w:trPr>
          <w:trHeight w:val="233"/>
        </w:trPr>
        <w:tc>
          <w:tcPr>
            <w:tcW w:w="78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5"/>
              </w:rPr>
              <w:t>Administrative Agent, for the benefit of the holders of the Secured Obligations, valid</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w w:val="97"/>
              </w:rPr>
              <w:t>and  perfected  first  priority  liens  and  security  interests  in  all  of  the  following</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20" w:type="dxa"/>
            <w:vAlign w:val="bottom"/>
            <w:gridSpan w:val="4"/>
          </w:tcPr>
          <w:p>
            <w:pPr>
              <w:ind w:left="360"/>
              <w:spacing w:after="0"/>
              <w:rPr>
                <w:sz w:val="20"/>
                <w:szCs w:val="20"/>
                <w:color w:val="auto"/>
              </w:rPr>
            </w:pPr>
            <w:r>
              <w:rPr>
                <w:rFonts w:ascii="Arial" w:cs="Arial" w:eastAsia="Arial" w:hAnsi="Arial"/>
                <w:sz w:val="20"/>
                <w:szCs w:val="20"/>
                <w:color w:val="auto"/>
              </w:rPr>
              <w:t>(collectively, the “</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w:t>
            </w:r>
          </w:p>
        </w:tc>
      </w:tr>
      <w:tr>
        <w:trPr>
          <w:trHeight w:val="425"/>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20"/>
                <w:szCs w:val="20"/>
                <w:color w:val="auto"/>
              </w:rPr>
              <w:t>(a)</w:t>
            </w:r>
          </w:p>
        </w:tc>
        <w:tc>
          <w:tcPr>
            <w:tcW w:w="6620" w:type="dxa"/>
            <w:vAlign w:val="bottom"/>
            <w:gridSpan w:val="3"/>
          </w:tcPr>
          <w:p>
            <w:pPr>
              <w:ind w:left="340"/>
              <w:spacing w:after="0"/>
              <w:rPr>
                <w:sz w:val="20"/>
                <w:szCs w:val="20"/>
                <w:color w:val="auto"/>
              </w:rPr>
            </w:pPr>
            <w:r>
              <w:rPr>
                <w:rFonts w:ascii="Arial" w:cs="Arial" w:eastAsia="Arial" w:hAnsi="Arial"/>
                <w:sz w:val="20"/>
                <w:szCs w:val="20"/>
                <w:color w:val="auto"/>
                <w:w w:val="90"/>
              </w:rPr>
              <w:t>One hundred percent (100%) of the issued and outstanding equity interests of</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rPr>
              <w:t>each domestic subsidiary directly owned by such Credit Party.</w:t>
            </w:r>
          </w:p>
        </w:tc>
      </w:tr>
      <w:tr>
        <w:trPr>
          <w:trHeight w:val="425"/>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20"/>
                <w:szCs w:val="20"/>
                <w:color w:val="auto"/>
              </w:rPr>
              <w:t>(b)</w:t>
            </w:r>
          </w:p>
        </w:tc>
        <w:tc>
          <w:tcPr>
            <w:tcW w:w="6620" w:type="dxa"/>
            <w:vAlign w:val="bottom"/>
            <w:gridSpan w:val="3"/>
          </w:tcPr>
          <w:p>
            <w:pPr>
              <w:ind w:left="320"/>
              <w:spacing w:after="0"/>
              <w:rPr>
                <w:sz w:val="20"/>
                <w:szCs w:val="20"/>
                <w:color w:val="auto"/>
              </w:rPr>
            </w:pPr>
            <w:r>
              <w:rPr>
                <w:rFonts w:ascii="Arial" w:cs="Arial" w:eastAsia="Arial" w:hAnsi="Arial"/>
                <w:sz w:val="20"/>
                <w:szCs w:val="20"/>
                <w:color w:val="auto"/>
                <w:w w:val="91"/>
              </w:rPr>
              <w:t>Sixty-five percent (65%) of the issued and outstanding equity interests entitled</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8"/>
              </w:rPr>
              <w:t>to vote (within the meaning of Treas. Reg. Section 1.956-2(c)(2)) and one</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7"/>
              </w:rPr>
              <w:t>hundred percent (100%) of the issued and outstanding equity interests not</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6"/>
              </w:rPr>
              <w:t>entitled to vote (within the meaning of Treas. Reg. Section 1.956-2(c)(2)) in</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rPr>
              <w:t>each foreign subsidiary directly owned by such Credit Party.</w:t>
            </w:r>
          </w:p>
        </w:tc>
      </w:tr>
      <w:tr>
        <w:trPr>
          <w:trHeight w:val="425"/>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20"/>
                <w:szCs w:val="20"/>
                <w:color w:val="auto"/>
              </w:rPr>
              <w:t>(c)</w:t>
            </w:r>
          </w:p>
        </w:tc>
        <w:tc>
          <w:tcPr>
            <w:tcW w:w="6620" w:type="dxa"/>
            <w:vAlign w:val="bottom"/>
            <w:gridSpan w:val="3"/>
          </w:tcPr>
          <w:p>
            <w:pPr>
              <w:ind w:left="300"/>
              <w:spacing w:after="0"/>
              <w:rPr>
                <w:sz w:val="20"/>
                <w:szCs w:val="20"/>
                <w:color w:val="auto"/>
              </w:rPr>
            </w:pPr>
            <w:r>
              <w:rPr>
                <w:rFonts w:ascii="Arial" w:cs="Arial" w:eastAsia="Arial" w:hAnsi="Arial"/>
                <w:sz w:val="20"/>
                <w:szCs w:val="20"/>
                <w:color w:val="auto"/>
                <w:w w:val="90"/>
              </w:rPr>
              <w:t>All of the present and future personal property and assets of such Credit Party,</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8"/>
              </w:rPr>
              <w:t>including machinery and equipment, inventory and other goods, accounts</w:t>
            </w:r>
          </w:p>
        </w:tc>
      </w:tr>
      <w:tr>
        <w:trPr>
          <w:trHeight w:val="230"/>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6"/>
              </w:rPr>
              <w:t>receivable, bank accounts, general intangibles, financial assets, investment</w:t>
            </w:r>
          </w:p>
        </w:tc>
      </w:tr>
      <w:tr>
        <w:trPr>
          <w:trHeight w:val="22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w w:val="94"/>
              </w:rPr>
              <w:t>property, license rights, patents, trademarks, tradenames, copyrights, chattel</w:t>
            </w:r>
          </w:p>
        </w:tc>
      </w:tr>
      <w:tr>
        <w:trPr>
          <w:trHeight w:val="250"/>
        </w:trPr>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20" w:type="dxa"/>
            <w:vAlign w:val="bottom"/>
            <w:gridSpan w:val="3"/>
          </w:tcPr>
          <w:p>
            <w:pPr>
              <w:ind w:left="200"/>
              <w:spacing w:after="0"/>
              <w:rPr>
                <w:sz w:val="20"/>
                <w:szCs w:val="20"/>
                <w:color w:val="auto"/>
              </w:rPr>
            </w:pPr>
            <w:r>
              <w:rPr>
                <w:rFonts w:ascii="Arial" w:cs="Arial" w:eastAsia="Arial" w:hAnsi="Arial"/>
                <w:sz w:val="20"/>
                <w:szCs w:val="20"/>
                <w:color w:val="auto"/>
              </w:rPr>
              <w:t>paper, insurance proceeds, contract rights, hedge agreements,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8" w:name="page179"/>
    <w:bookmarkEnd w:id="178"/>
    <w:p>
      <w:pPr>
        <w:ind w:left="2400"/>
        <w:spacing w:after="0"/>
        <w:rPr>
          <w:sz w:val="20"/>
          <w:szCs w:val="20"/>
          <w:color w:val="auto"/>
        </w:rPr>
      </w:pPr>
      <w:r>
        <w:rPr>
          <w:rFonts w:ascii="Arial" w:cs="Arial" w:eastAsia="Arial" w:hAnsi="Arial"/>
          <w:sz w:val="20"/>
          <w:szCs w:val="20"/>
          <w:color w:val="auto"/>
        </w:rPr>
        <w:t>documents, instruments, indemnification rights, tax refunds and cash.</w:t>
      </w:r>
    </w:p>
    <w:p>
      <w:pPr>
        <w:spacing w:after="0" w:line="216" w:lineRule="exact"/>
        <w:rPr>
          <w:sz w:val="20"/>
          <w:szCs w:val="20"/>
          <w:color w:val="auto"/>
        </w:rPr>
      </w:pPr>
    </w:p>
    <w:p>
      <w:pPr>
        <w:ind w:left="3040" w:right="20" w:hanging="642"/>
        <w:spacing w:after="0" w:line="260" w:lineRule="auto"/>
        <w:tabs>
          <w:tab w:leader="none" w:pos="30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All proceeds and products of the property and assets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w:t>
      </w:r>
    </w:p>
    <w:p>
      <w:pPr>
        <w:spacing w:after="0" w:line="190" w:lineRule="exact"/>
        <w:rPr>
          <w:sz w:val="20"/>
          <w:szCs w:val="20"/>
          <w:color w:val="auto"/>
        </w:rPr>
      </w:pPr>
    </w:p>
    <w:p>
      <w:pPr>
        <w:jc w:val="both"/>
        <w:ind w:left="2400"/>
        <w:spacing w:after="0" w:line="303" w:lineRule="auto"/>
        <w:rPr>
          <w:sz w:val="20"/>
          <w:szCs w:val="20"/>
          <w:color w:val="auto"/>
        </w:rPr>
      </w:pPr>
      <w:r>
        <w:rPr>
          <w:rFonts w:ascii="Arial" w:cs="Arial" w:eastAsia="Arial" w:hAnsi="Arial"/>
          <w:sz w:val="16"/>
          <w:szCs w:val="16"/>
          <w:color w:val="auto"/>
        </w:rPr>
        <w:t>The Collateral shall exclude the following with respect to each Credit Party: (i)(A) any fee-owned real property of such Credit Party, and (B) any real property leasehold interests of such Credit Party; (ii) any personal property (including motor vehicles, airplanes and other assets subject to certificates of title) of such Credit Party in respect of which perfection of a lien is neither (A) governed by the Uniform Commercial Code, nor</w:t>
      </w:r>
    </w:p>
    <w:p>
      <w:pPr>
        <w:spacing w:after="0" w:line="2" w:lineRule="exact"/>
        <w:rPr>
          <w:sz w:val="20"/>
          <w:szCs w:val="20"/>
          <w:color w:val="auto"/>
        </w:rPr>
      </w:pPr>
    </w:p>
    <w:p>
      <w:pPr>
        <w:jc w:val="both"/>
        <w:ind w:left="2400" w:hanging="2"/>
        <w:spacing w:after="0" w:line="267" w:lineRule="auto"/>
        <w:tabs>
          <w:tab w:leader="none" w:pos="273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effected by appropriate evidence of the lien being filed in either the United States Copyright Office or the United States Patent and Trademark Office; (iii) any asset of such Credit Party if the pledge of, or the granting of a security interest in, such asset is prohibited by law, rule or regulation applicable to such Credit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any such prohibition described in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on the security interests granted pursuant to the Definitive Documentation shall only apply to the extent that any such prohibition is not rendered ineffective pursuant to the Uniform Commercial Code, any other applicable law or principles of equity, and (B) in the event of the termination or elimination of any such prohibition contained in any applicable law, rule or regulation, a security interest in such assets shall be automatically and simultaneously granted pursuant to the Definitive Documentation and such assets shall be included as Collateral; (iv) any property of such Credit Party which is subject to a purchase money security interest or similar arrangement to the extent that a grant of a security interest in such property would violate the agreement pursuant to which such purchase money security interest or similar arrangement was granted or would create a right of termination in favor of any other party to such agreement; (v) any general intangible, permit, lease, license, contract or other instrument of such Credit Party to the extent the grant of a security interest in such general intangible, permit, lease, license, contract or other instrument in the manner contemplated by the Definitive Documentation, under the terms thereof or under applicable law, is prohibited and would result in the termination thereof or give the other parties thereto the right to terminate, accelerate or otherwise alter such Credit Party’s rights, titles and interests thereunder (including upon the giving of notice or the lapse of time or both);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any such limitation described in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on the security interests granted pursuant to the Definitive Documentation shall only apply to the extent that any such limitation could not be rendered ineffective pursuant to the Uniform Commercial Code, any other applicable law, or principles of equity, and (B) in the event of the termination or elimination of any such limitation or the requirement for any consent contained in any applicable law, general intangible, permit, lease, license, contract or other instrument, to the extent sufficient to permit any such item to become Collateral, or upon the granting of any such consent, or waiving or termination of any requirement for such consent, or the elimination of such limitation, as applicable, a security interest in such general intangible, permit, lease, license, contract or other instrument shall be automatically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2" w:right="99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u w:val="single" w:color="auto"/>
          <w:color w:val="auto"/>
        </w:rPr>
        <w:t>Conditions Precedent to Effectiveness and Borrowings on the Closing Date</w:t>
      </w:r>
      <w:r>
        <w:rPr>
          <w:rFonts w:ascii="Arial" w:cs="Arial" w:eastAsia="Arial" w:hAnsi="Arial"/>
          <w:sz w:val="20"/>
          <w:szCs w:val="20"/>
          <w:color w:val="auto"/>
        </w:rPr>
        <w:t>:</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Conditions Precedent to All Other Extensions of Credit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jc w:val="both"/>
        <w:ind w:left="2"/>
        <w:spacing w:after="0" w:line="270" w:lineRule="auto"/>
        <w:rPr>
          <w:sz w:val="20"/>
          <w:szCs w:val="20"/>
          <w:color w:val="auto"/>
        </w:rPr>
      </w:pPr>
      <w:r>
        <w:rPr>
          <w:rFonts w:ascii="Arial" w:cs="Arial" w:eastAsia="Arial" w:hAnsi="Arial"/>
          <w:sz w:val="18"/>
          <w:szCs w:val="18"/>
          <w:color w:val="auto"/>
        </w:rPr>
        <w:t>simultaneously granted under the Definitive Documentation and shall be included as Collateral; (vi) any asset of such Credit Party as to which the Administrative Agent and the Borrower reasonably agree that the cost of obtaining a security interest therein or perfection thereof are excessive in relation to the benefit to the holders of the Secured Obligations to be afforded thereby; and (vii) any “intent-to-use” application for registration of a trademark of such Credit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Collateral shall ratably secure the Secured Obligations.</w:t>
      </w:r>
    </w:p>
    <w:p>
      <w:pPr>
        <w:spacing w:after="0" w:line="229"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 xml:space="preserve">The effectiveness of the Definitive Documentation and the availability of the Necessary Acquisition Funds on the Closing Date shall be subject solely to the conditions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the Commitment Letter.</w:t>
      </w:r>
    </w:p>
    <w:p>
      <w:pPr>
        <w:spacing w:after="0" w:line="199" w:lineRule="exact"/>
        <w:rPr>
          <w:sz w:val="20"/>
          <w:szCs w:val="20"/>
          <w:color w:val="auto"/>
        </w:rPr>
      </w:pPr>
    </w:p>
    <w:p>
      <w:pPr>
        <w:jc w:val="both"/>
        <w:ind w:left="2"/>
        <w:spacing w:after="0" w:line="291" w:lineRule="auto"/>
        <w:rPr>
          <w:sz w:val="20"/>
          <w:szCs w:val="20"/>
          <w:color w:val="auto"/>
        </w:rPr>
      </w:pPr>
      <w:r>
        <w:rPr>
          <w:rFonts w:ascii="Arial" w:cs="Arial" w:eastAsia="Arial" w:hAnsi="Arial"/>
          <w:sz w:val="18"/>
          <w:szCs w:val="18"/>
          <w:color w:val="auto"/>
        </w:rPr>
        <w:t>The obligation of each Lender, the Swingline Lender and the L/C Issuer to honor any request for credit extension after the funding of the Necessary Acquisition Funds on the Closing Date shall be subject to the satisfaction of the following conditions precedent:</w:t>
      </w:r>
    </w:p>
    <w:p>
      <w:pPr>
        <w:spacing w:after="0" w:line="152" w:lineRule="exact"/>
        <w:rPr>
          <w:sz w:val="20"/>
          <w:szCs w:val="20"/>
          <w:color w:val="auto"/>
        </w:rPr>
      </w:pPr>
    </w:p>
    <w:p>
      <w:pPr>
        <w:jc w:val="both"/>
        <w:ind w:left="642" w:hanging="642"/>
        <w:spacing w:after="0" w:line="271"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representations and warranties in the Definitive Documentation shall be true and correct in all material respects (or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(or in all respects if any such representation or warranty is already qualified by materiality) as of such earlier date, and except that for purposes of this condition, the representations and warranties contained in the Definitive Documentation with respect to accuracy of financial statements shall be deemed to refer to the most recent financial statements delivered pursuant to the Definitive Documentation.</w:t>
      </w:r>
    </w:p>
    <w:p>
      <w:pPr>
        <w:spacing w:after="0" w:line="169" w:lineRule="exact"/>
        <w:rPr>
          <w:rFonts w:ascii="Arial" w:cs="Arial" w:eastAsia="Arial" w:hAnsi="Arial"/>
          <w:sz w:val="18"/>
          <w:szCs w:val="18"/>
          <w:color w:val="auto"/>
        </w:rPr>
      </w:pPr>
    </w:p>
    <w:p>
      <w:pPr>
        <w:ind w:left="642" w:hanging="642"/>
        <w:spacing w:after="0" w:line="287" w:lineRule="auto"/>
        <w:tabs>
          <w:tab w:leader="none" w:pos="80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No default or event of default shall exist or would result from such proposed credit extension or from the application of the proceeds thereof.</w:t>
      </w:r>
    </w:p>
    <w:p>
      <w:pPr>
        <w:spacing w:after="0" w:line="152" w:lineRule="exact"/>
        <w:rPr>
          <w:rFonts w:ascii="Arial" w:cs="Arial" w:eastAsia="Arial" w:hAnsi="Arial"/>
          <w:sz w:val="19"/>
          <w:szCs w:val="19"/>
          <w:color w:val="auto"/>
        </w:rPr>
      </w:pPr>
    </w:p>
    <w:p>
      <w:pPr>
        <w:ind w:left="642" w:hanging="642"/>
        <w:spacing w:after="0" w:line="260" w:lineRule="auto"/>
        <w:tabs>
          <w:tab w:leader="none" w:pos="801"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Swingline Lender, shall have received a request for credit</w:t>
      </w:r>
    </w:p>
    <w:p>
      <w:pPr>
        <w:spacing w:after="0" w:line="200" w:lineRule="exact"/>
        <w:rPr>
          <w:sz w:val="20"/>
          <w:szCs w:val="20"/>
          <w:color w:val="auto"/>
        </w:rPr>
      </w:pPr>
    </w:p>
    <w:p>
      <w:pPr>
        <w:sectPr>
          <w:pgSz w:w="11900" w:h="16838" w:orient="portrait"/>
          <w:cols w:equalWidth="0" w:num="2">
            <w:col w:w="2720" w:space="138"/>
            <w:col w:w="7062"/>
          </w:cols>
          <w:pgMar w:left="980" w:top="112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504825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extension  in  accordance  with  the  requirements  of  the  Definitive</w:t>
            </w:r>
          </w:p>
        </w:tc>
      </w:tr>
      <w:tr>
        <w:trPr>
          <w:trHeight w:val="250"/>
        </w:trPr>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Documentation.</w:t>
            </w:r>
          </w:p>
        </w:tc>
      </w:tr>
      <w:tr>
        <w:trPr>
          <w:trHeight w:val="414"/>
        </w:trPr>
        <w:tc>
          <w:tcPr>
            <w:tcW w:w="3220" w:type="dxa"/>
            <w:vAlign w:val="bottom"/>
            <w:gridSpan w:val="5"/>
          </w:tcPr>
          <w:p>
            <w:pPr>
              <w:spacing w:after="0"/>
              <w:rPr>
                <w:sz w:val="20"/>
                <w:szCs w:val="20"/>
                <w:color w:val="auto"/>
              </w:rPr>
            </w:pPr>
            <w:r>
              <w:rPr>
                <w:rFonts w:ascii="Arial" w:cs="Arial" w:eastAsia="Arial" w:hAnsi="Arial"/>
                <w:sz w:val="20"/>
                <w:szCs w:val="20"/>
                <w:color w:val="auto"/>
              </w:rPr>
              <w:t>Representations and Warranties:</w:t>
            </w: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1"/>
              </w:rPr>
              <w:t>The Definitive Documentation shall include representations and warranties</w:t>
            </w:r>
          </w:p>
        </w:tc>
      </w:tr>
      <w:tr>
        <w:trPr>
          <w:trHeight w:val="233"/>
        </w:trPr>
        <w:tc>
          <w:tcPr>
            <w:tcW w:w="16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with respect to the following: (a) existence, qualification and power; (b)</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3"/>
              </w:rPr>
              <w:t>authorization;  no  contravention;  (c)  governmental  authorization;  other</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consents; (d) enforceability; (e) accuracy of financial statements; (f) no</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material adverse effect; (g) no litigation; (h) no default; (i) ownership of</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9"/>
              </w:rPr>
              <w:t>property; (j) environmental matters; (k) maintenance of insurance; (l)</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8"/>
              </w:rPr>
              <w:t>payment  of  taxes;  (m)  ERISA  compliance;  (n)  margin  regulation;</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1"/>
              </w:rPr>
              <w:t>Investment Company Act compliance; (o) accuracy of disclosure, including</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accuracy in all respects of the information included in any Beneficial</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Ownership Certification delivered to the Administrative Agent or any</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Lender on or prior to the Closing Date; (p) compliance with laws; (q)</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5"/>
              </w:rPr>
              <w:t>solvency;  (r)  sanctions;  anti-corruption  laws;  (s)  subsidiaries;  equity</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9"/>
              </w:rPr>
              <w:t>interests;  information  with  respect  to  Credit  Parties;  (t)  collateral</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7"/>
              </w:rPr>
              <w:t>documentation  and  deliverables  with  respect  to  the  Collateral;  (u)</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2"/>
              </w:rPr>
              <w:t>intellectual property; licenses; (v) real properties; (w) no Credit Party is an</w:t>
            </w:r>
          </w:p>
        </w:tc>
      </w:tr>
      <w:tr>
        <w:trPr>
          <w:trHeight w:val="250"/>
        </w:trPr>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affected financial institution; and (x) no Credit Party is a covered entity.</w:t>
            </w:r>
          </w:p>
        </w:tc>
      </w:tr>
      <w:tr>
        <w:trPr>
          <w:trHeight w:val="414"/>
        </w:trPr>
        <w:tc>
          <w:tcPr>
            <w:tcW w:w="3220" w:type="dxa"/>
            <w:vAlign w:val="bottom"/>
            <w:gridSpan w:val="5"/>
          </w:tcPr>
          <w:p>
            <w:pPr>
              <w:spacing w:after="0"/>
              <w:rPr>
                <w:sz w:val="20"/>
                <w:szCs w:val="20"/>
                <w:color w:val="auto"/>
              </w:rPr>
            </w:pPr>
            <w:r>
              <w:rPr>
                <w:rFonts w:ascii="Arial" w:cs="Arial" w:eastAsia="Arial" w:hAnsi="Arial"/>
                <w:sz w:val="20"/>
                <w:szCs w:val="20"/>
                <w:color w:val="auto"/>
              </w:rPr>
              <w:t>Affirmative Covenants:</w:t>
            </w: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8"/>
              </w:rPr>
              <w:t>The Definitive Documentation shall include affirmative covenants with</w:t>
            </w:r>
          </w:p>
        </w:tc>
      </w:tr>
      <w:tr>
        <w:trPr>
          <w:trHeight w:val="233"/>
        </w:trPr>
        <w:tc>
          <w:tcPr>
            <w:tcW w:w="16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4"/>
              </w:rPr>
              <w:t>respect to the following: (a) delivery of financial statements, budgets and</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4"/>
              </w:rPr>
              <w:t>forecasts; (b) delivery of compliance certificate and other information; (c)</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delivery  of  notices;  (d)  payment  of  obligations;  (e)  preservation  of</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88"/>
              </w:rPr>
              <w:t>existence; maintenance of permits, licenses and franchises; preservation and</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7"/>
              </w:rPr>
              <w:t>renewal  of  intellectual  property;  (f)  maintenance  of  properties;  (g)</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5"/>
              </w:rPr>
              <w:t>maintenance of insurance; (h) compliance with laws; (i) maintenance of</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1"/>
              </w:rPr>
              <w:t>books and records; (j) granting of inspection rights; (k) use of proceeds; (l)</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4"/>
              </w:rPr>
              <w:t>covenant to guarantee obligations; (m) covenant to give security; further</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3"/>
              </w:rPr>
              <w:t>assurances; (n) compliance with anti-corruption laws; and (o) compliance</w:t>
            </w:r>
          </w:p>
        </w:tc>
      </w:tr>
      <w:tr>
        <w:trPr>
          <w:trHeight w:val="250"/>
        </w:trPr>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with sanctions.</w:t>
            </w:r>
          </w:p>
        </w:tc>
      </w:tr>
      <w:tr>
        <w:trPr>
          <w:trHeight w:val="415"/>
        </w:trPr>
        <w:tc>
          <w:tcPr>
            <w:tcW w:w="3220" w:type="dxa"/>
            <w:vAlign w:val="bottom"/>
            <w:gridSpan w:val="5"/>
          </w:tcPr>
          <w:p>
            <w:pPr>
              <w:spacing w:after="0"/>
              <w:rPr>
                <w:sz w:val="20"/>
                <w:szCs w:val="20"/>
                <w:color w:val="auto"/>
              </w:rPr>
            </w:pPr>
            <w:r>
              <w:rPr>
                <w:rFonts w:ascii="Arial" w:cs="Arial" w:eastAsia="Arial" w:hAnsi="Arial"/>
                <w:sz w:val="20"/>
                <w:szCs w:val="20"/>
                <w:color w:val="auto"/>
              </w:rPr>
              <w:t>Negative Covenants:</w:t>
            </w: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2"/>
              </w:rPr>
              <w:t>The Definitive Documentation shall include negative covenants restricting</w:t>
            </w:r>
          </w:p>
        </w:tc>
      </w:tr>
      <w:tr>
        <w:trPr>
          <w:trHeight w:val="233"/>
        </w:trPr>
        <w:tc>
          <w:tcPr>
            <w:tcW w:w="1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4"/>
              </w:rPr>
              <w:t>the  following:  (a)  liens;  (b)  indebtedness;  (c)  investments  (including</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5"/>
              </w:rPr>
              <w:t>acquisitions); (d) fundamental changes; (e) dispositions; (f) payments of</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0"/>
              </w:rPr>
              <w:t>dividends, share repurchases and other distributions; (g) changes in nature</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1"/>
              </w:rPr>
              <w:t>of business; (h) transactions with affiliates; (i) burdensome agreements; (j)</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use of proceeds to purchase or carry margin stock; (k) amendments to</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2"/>
              </w:rPr>
              <w:t>organizational documents; changes in fiscal year; changes in legal name,</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0"/>
              </w:rPr>
              <w:t>state of organization or form of entity; and accounting changes; (l) sale and</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3"/>
              </w:rPr>
              <w:t>leaseback  transactions;  (m)  prepayment  of  certain  indebtedness;  (n)</w:t>
            </w:r>
          </w:p>
        </w:tc>
      </w:tr>
      <w:tr>
        <w:trPr>
          <w:trHeight w:val="229"/>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amendment of certain indebtedness; (o)  use of  credit  extensions  (or</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1"/>
              </w:rPr>
              <w:t>proceeds thereof) in violation of sanctions; and (p) use of credit extensions</w:t>
            </w:r>
          </w:p>
        </w:tc>
      </w:tr>
      <w:tr>
        <w:trPr>
          <w:trHeight w:val="250"/>
        </w:trPr>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(or proceeds thereof) in violation of anti-corruption laws.</w:t>
            </w:r>
          </w:p>
        </w:tc>
      </w:tr>
      <w:tr>
        <w:trPr>
          <w:trHeight w:val="415"/>
        </w:trPr>
        <w:tc>
          <w:tcPr>
            <w:tcW w:w="3220" w:type="dxa"/>
            <w:vAlign w:val="bottom"/>
            <w:gridSpan w:val="5"/>
          </w:tcPr>
          <w:p>
            <w:pPr>
              <w:spacing w:after="0"/>
              <w:rPr>
                <w:sz w:val="20"/>
                <w:szCs w:val="20"/>
                <w:color w:val="auto"/>
              </w:rPr>
            </w:pPr>
            <w:r>
              <w:rPr>
                <w:rFonts w:ascii="Arial" w:cs="Arial" w:eastAsia="Arial" w:hAnsi="Arial"/>
                <w:sz w:val="20"/>
                <w:szCs w:val="20"/>
                <w:color w:val="auto"/>
              </w:rPr>
              <w:t>Financial Covenants:</w:t>
            </w: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The following:</w:t>
            </w:r>
          </w:p>
        </w:tc>
      </w:tr>
      <w:tr>
        <w:trPr>
          <w:trHeight w:val="449"/>
        </w:trPr>
        <w:tc>
          <w:tcPr>
            <w:tcW w:w="1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ind w:left="660"/>
              <w:spacing w:after="0"/>
              <w:rPr>
                <w:sz w:val="20"/>
                <w:szCs w:val="20"/>
                <w:color w:val="auto"/>
              </w:rPr>
            </w:pPr>
            <w:r>
              <w:rPr>
                <w:rFonts w:ascii="Arial" w:cs="Arial" w:eastAsia="Arial" w:hAnsi="Arial"/>
                <w:sz w:val="20"/>
                <w:szCs w:val="20"/>
                <w:color w:val="auto"/>
              </w:rPr>
              <w:t>(a)</w:t>
            </w:r>
          </w:p>
        </w:tc>
        <w:tc>
          <w:tcPr>
            <w:tcW w:w="5600" w:type="dxa"/>
            <w:vAlign w:val="bottom"/>
          </w:tcPr>
          <w:p>
            <w:pPr>
              <w:ind w:left="220"/>
              <w:spacing w:after="0"/>
              <w:rPr>
                <w:sz w:val="20"/>
                <w:szCs w:val="20"/>
                <w:color w:val="auto"/>
              </w:rPr>
            </w:pPr>
            <w:r>
              <w:rPr>
                <w:rFonts w:ascii="Arial" w:cs="Arial" w:eastAsia="Arial" w:hAnsi="Arial"/>
                <w:sz w:val="20"/>
                <w:szCs w:val="20"/>
                <w:color w:val="auto"/>
                <w:w w:val="89"/>
              </w:rPr>
              <w:t>The Credit Parties shall not permit the Consolidated Leverage Ratio</w:t>
            </w:r>
          </w:p>
        </w:tc>
      </w:tr>
      <w:tr>
        <w:trPr>
          <w:trHeight w:val="230"/>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w w:val="96"/>
              </w:rPr>
              <w:t>as of the end of any period of four (4) consecutive fiscal quarters of the</w:t>
            </w:r>
          </w:p>
        </w:tc>
      </w:tr>
      <w:tr>
        <w:trPr>
          <w:trHeight w:val="250"/>
        </w:trPr>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00" w:type="dxa"/>
            <w:vAlign w:val="bottom"/>
            <w:gridSpan w:val="2"/>
          </w:tcPr>
          <w:p>
            <w:pPr>
              <w:ind w:left="660"/>
              <w:spacing w:after="0"/>
              <w:rPr>
                <w:sz w:val="20"/>
                <w:szCs w:val="20"/>
                <w:color w:val="auto"/>
              </w:rPr>
            </w:pPr>
            <w:r>
              <w:rPr>
                <w:rFonts w:ascii="Arial" w:cs="Arial" w:eastAsia="Arial" w:hAnsi="Arial"/>
                <w:sz w:val="20"/>
                <w:szCs w:val="20"/>
                <w:color w:val="auto"/>
              </w:rPr>
              <w:t>Borrower ending as of the last day of any fiscal</w:t>
            </w:r>
          </w:p>
        </w:tc>
      </w:tr>
    </w:tbl>
    <w:p>
      <w:pPr>
        <w:spacing w:after="0" w:line="200" w:lineRule="exact"/>
        <w:rPr>
          <w:sz w:val="20"/>
          <w:szCs w:val="20"/>
          <w:color w:val="auto"/>
        </w:rPr>
      </w:pPr>
    </w:p>
    <w:p>
      <w:pPr>
        <w:sectPr>
          <w:pgSz w:w="11900" w:h="16838" w:orient="portrait"/>
          <w:cols w:equalWidth="0" w:num="1">
            <w:col w:w="9920"/>
          </w:cols>
          <w:pgMar w:left="980" w:top="1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504825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1" w:right="999" w:bottom="1440" w:gutter="0" w:footer="0" w:header="0"/>
          <w:type w:val="continuous"/>
        </w:sectPr>
      </w:pPr>
    </w:p>
    <w:bookmarkStart w:id="181" w:name="page182"/>
    <w:bookmarkEnd w:id="181"/>
    <w:p>
      <w:pPr>
        <w:jc w:val="both"/>
        <w:ind w:left="2400"/>
        <w:spacing w:after="0" w:line="267" w:lineRule="auto"/>
        <w:rPr>
          <w:sz w:val="20"/>
          <w:szCs w:val="20"/>
          <w:color w:val="auto"/>
        </w:rPr>
      </w:pPr>
      <w:r>
        <w:rPr>
          <w:rFonts w:ascii="Arial" w:cs="Arial" w:eastAsia="Arial" w:hAnsi="Arial"/>
          <w:sz w:val="18"/>
          <w:szCs w:val="18"/>
          <w:color w:val="auto"/>
        </w:rPr>
        <w:t xml:space="preserve">quarter of the Borrower to be greater than 3.00 to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upon the occurrence of a Qualified Acquisition, for each of the four (4) fiscal quarters of the Borrower immediately following the consummation of such Qualified Acquisition (including, for the avoidance of doubt, the fiscal quarter in which such Qualified Acquisition was consummated) (such period of increase, the “</w:t>
      </w:r>
      <w:r>
        <w:rPr>
          <w:rFonts w:ascii="Arial" w:cs="Arial" w:eastAsia="Arial" w:hAnsi="Arial"/>
          <w:sz w:val="18"/>
          <w:szCs w:val="18"/>
          <w:b w:val="1"/>
          <w:bCs w:val="1"/>
          <w:i w:val="1"/>
          <w:iCs w:val="1"/>
          <w:color w:val="auto"/>
        </w:rPr>
        <w:t>Leverage Increase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ratio set forth above shall be increased to 3.50 to 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(i) no more than one (1) Leverage Increase Period shall be in effect at any time, (ii)</w:t>
      </w:r>
      <w:r>
        <w:rPr>
          <w:rFonts w:ascii="Arial" w:cs="Arial" w:eastAsia="Arial" w:hAnsi="Arial"/>
          <w:sz w:val="18"/>
          <w:szCs w:val="18"/>
          <w:i w:val="1"/>
          <w:iCs w:val="1"/>
          <w:color w:val="auto"/>
        </w:rPr>
        <w:t xml:space="preserve"> </w:t>
      </w:r>
      <w:r>
        <w:rPr>
          <w:rFonts w:ascii="Arial" w:cs="Arial" w:eastAsia="Arial" w:hAnsi="Arial"/>
          <w:sz w:val="18"/>
          <w:szCs w:val="18"/>
          <w:color w:val="auto"/>
        </w:rPr>
        <w:t>for at least two (2) fiscal quarters of the Borrower immediately following each Leverage Increase Period, the Consolidated Leverage Ratio as of the end of such fiscal quarters shall not be greater than 3.00 to 1.0 prior to giving effect to another Leverage Increase Period, and (iii) each Leverage Increase Period shall only apply with respect to the calculation of the Consolidated Leverage Ratio for purposes of (A) determining compliance with the financial maintenance covenant as of the end of any period of four</w:t>
      </w:r>
    </w:p>
    <w:p>
      <w:pPr>
        <w:spacing w:after="0" w:line="6" w:lineRule="exact"/>
        <w:rPr>
          <w:sz w:val="20"/>
          <w:szCs w:val="20"/>
          <w:color w:val="auto"/>
        </w:rPr>
      </w:pPr>
    </w:p>
    <w:p>
      <w:pPr>
        <w:jc w:val="both"/>
        <w:ind w:left="2400" w:hanging="2"/>
        <w:spacing w:after="0" w:line="271" w:lineRule="auto"/>
        <w:tabs>
          <w:tab w:leader="none" w:pos="27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consecutive fiscal quarters of the Borrower ending as of the last day of any fiscal quarter of the Borrower, and (B) any calculation of the Consolidated Leverage Ratio in determining the permissibility of the consummation of the Qualified Acquisition with respect to which such Leverage Increase Period relates (or, to the extent such Qualified Acquisition is financed with the proceeds of an Incremental Facility, for purposes of determining the permissibility of the incurrence of such Incremental Facility in connection with the consummation of such Qualified Acquisition).</w:t>
      </w:r>
    </w:p>
    <w:p>
      <w:pPr>
        <w:spacing w:after="0" w:line="170" w:lineRule="exact"/>
        <w:rPr>
          <w:sz w:val="20"/>
          <w:szCs w:val="20"/>
          <w:color w:val="auto"/>
        </w:rPr>
      </w:pPr>
    </w:p>
    <w:p>
      <w:pPr>
        <w:ind w:left="2400" w:right="20"/>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Leverage Ratio</w:t>
      </w:r>
      <w:r>
        <w:rPr>
          <w:rFonts w:ascii="Arial" w:cs="Arial" w:eastAsia="Arial" w:hAnsi="Arial"/>
          <w:sz w:val="16"/>
          <w:szCs w:val="16"/>
          <w:color w:val="auto"/>
        </w:rPr>
        <w:t xml:space="preserve">” means, as of any date of determination, the ratio of (a) consolidated funded indebtedness of the Borrower and its subsidiaries as of such date, </w:t>
      </w:r>
      <w:r>
        <w:rPr>
          <w:rFonts w:ascii="Arial" w:cs="Arial" w:eastAsia="Arial" w:hAnsi="Arial"/>
          <w:sz w:val="16"/>
          <w:szCs w:val="16"/>
          <w:i w:val="1"/>
          <w:iCs w:val="1"/>
          <w:color w:val="auto"/>
        </w:rPr>
        <w:t>to</w:t>
      </w:r>
    </w:p>
    <w:p>
      <w:pPr>
        <w:spacing w:after="0" w:line="1" w:lineRule="exact"/>
        <w:rPr>
          <w:sz w:val="20"/>
          <w:szCs w:val="20"/>
          <w:color w:val="auto"/>
        </w:rPr>
      </w:pPr>
    </w:p>
    <w:p>
      <w:pPr>
        <w:jc w:val="both"/>
        <w:ind w:left="2400" w:hanging="2"/>
        <w:spacing w:after="0" w:line="241" w:lineRule="auto"/>
        <w:tabs>
          <w:tab w:leader="none" w:pos="269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consolidated EBITDA of the Borrower and its subsidiaries for the period of four (4) consecutive fiscal quarters of the Borrower most recently completed on or prior to such date.</w:t>
      </w:r>
    </w:p>
    <w:p>
      <w:pPr>
        <w:spacing w:after="0" w:line="196" w:lineRule="exact"/>
        <w:rPr>
          <w:sz w:val="20"/>
          <w:szCs w:val="20"/>
          <w:color w:val="auto"/>
        </w:rPr>
      </w:pPr>
    </w:p>
    <w:p>
      <w:pPr>
        <w:jc w:val="both"/>
        <w:ind w:left="24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Acquisition</w:t>
      </w:r>
      <w:r>
        <w:rPr>
          <w:rFonts w:ascii="Arial" w:cs="Arial" w:eastAsia="Arial" w:hAnsi="Arial"/>
          <w:sz w:val="18"/>
          <w:szCs w:val="18"/>
          <w:color w:val="auto"/>
        </w:rPr>
        <w:t xml:space="preserve">” means an acquisition (or series of related acquisitions consummated in any six-month period) permitted pursuant to the Definitive Documentation for which the aggregate consideration is at least $75 million, but only to the extent that at least $75 million of such consideration is funded with the proceeds of consolidated funded indebtedness of the Borrower and its subsidiaries (including any indebtedness assumed by the Borrower or any of its subsidiaries in connection with such acquisition(s));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for any acquisition (or series of related acquisitions) to qualify as a “Qualified Acquisition,” the Administrative Agent shall have received a certificate from a responsible officer of the Borrower certifying that such acquisition (or series of related acquisitions) meets the criteria set forth in this definition and notifying the Administrative Agent that the Borrower has elected to treat such acquisition (or series of related acquisitions) as a “Qualified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2" w:right="999" w:bottom="1440" w:gutter="0" w:footer="0" w:header="0"/>
        </w:sectPr>
      </w:pPr>
    </w:p>
    <w:bookmarkStart w:id="182" w:name="page183"/>
    <w:bookmarkEnd w:id="182"/>
    <w:p>
      <w:pPr>
        <w:jc w:val="both"/>
        <w:ind w:left="4340" w:hanging="645"/>
        <w:spacing w:after="0" w:line="275" w:lineRule="auto"/>
        <w:tabs>
          <w:tab w:leader="none" w:pos="45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Credit Parties shall not permit the Consolidated Fixed Charge Coverage Ratio (as defined below) as of the end of any period of four</w:t>
      </w:r>
    </w:p>
    <w:p>
      <w:pPr>
        <w:ind w:left="4340" w:right="20" w:firstLine="3"/>
        <w:spacing w:after="0" w:line="297" w:lineRule="auto"/>
        <w:tabs>
          <w:tab w:leader="none" w:pos="464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consecutive fiscal quarters of the Borrower ending as of the last day of any fiscal quarter of the Borrower to be less than 1.25 to 1.0.</w:t>
      </w:r>
    </w:p>
    <w:p>
      <w:pPr>
        <w:spacing w:after="0" w:line="147" w:lineRule="exact"/>
        <w:rPr>
          <w:sz w:val="20"/>
          <w:szCs w:val="20"/>
          <w:color w:val="auto"/>
        </w:rPr>
      </w:pPr>
    </w:p>
    <w:p>
      <w:pPr>
        <w:jc w:val="both"/>
        <w:ind w:left="434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Fixed Charge Coverage Ratio</w:t>
      </w:r>
      <w:r>
        <w:rPr>
          <w:rFonts w:ascii="Arial" w:cs="Arial" w:eastAsia="Arial" w:hAnsi="Arial"/>
          <w:sz w:val="18"/>
          <w:szCs w:val="18"/>
          <w:color w:val="auto"/>
        </w:rPr>
        <w:t xml:space="preserve">” means, as of any date of determination, the ratio of (a) the total of (i) consolidated EBITDA of the Borrower and its subsidiaries for the period of four (4) consecutive fiscal quarters of the Borrower most recently completed on or prior to such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consolidated maintenance capital expenditures of the Borrower and its subsidiaries for such period, </w:t>
      </w:r>
      <w:r>
        <w:rPr>
          <w:rFonts w:ascii="Arial" w:cs="Arial" w:eastAsia="Arial" w:hAnsi="Arial"/>
          <w:sz w:val="18"/>
          <w:szCs w:val="18"/>
          <w:i w:val="1"/>
          <w:iCs w:val="1"/>
          <w:color w:val="auto"/>
        </w:rPr>
        <w:t>to</w:t>
      </w:r>
    </w:p>
    <w:p>
      <w:pPr>
        <w:spacing w:after="0" w:line="1" w:lineRule="exact"/>
        <w:rPr>
          <w:sz w:val="20"/>
          <w:szCs w:val="20"/>
          <w:color w:val="auto"/>
        </w:rPr>
      </w:pPr>
    </w:p>
    <w:p>
      <w:pPr>
        <w:jc w:val="both"/>
        <w:ind w:left="4340" w:firstLine="3"/>
        <w:spacing w:after="0" w:line="253" w:lineRule="auto"/>
        <w:tabs>
          <w:tab w:leader="none" w:pos="465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the sum of (i) consolidated cash taxes of the Borrower and its subsidiaries paid during the period of four (4) consecutive fiscal quarters of the Borrower most recently completed on or prior to such, </w:t>
      </w:r>
      <w:r>
        <w:rPr>
          <w:rFonts w:ascii="Arial" w:cs="Arial" w:eastAsia="Arial" w:hAnsi="Arial"/>
          <w:sz w:val="19"/>
          <w:szCs w:val="19"/>
          <w:i w:val="1"/>
          <w:iCs w:val="1"/>
          <w:color w:val="auto"/>
        </w:rPr>
        <w:t xml:space="preserve">plus </w:t>
      </w:r>
      <w:r>
        <w:rPr>
          <w:rFonts w:ascii="Arial" w:cs="Arial" w:eastAsia="Arial" w:hAnsi="Arial"/>
          <w:sz w:val="19"/>
          <w:szCs w:val="19"/>
          <w:color w:val="auto"/>
        </w:rPr>
        <w:t>(ii) the cash portion of consolidated interest charges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and its subsidiaries for such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the amount of all scheduled payments of principal on consolidated funded indebtedness of the Borrower and its subsidiaries for such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(iv) the amount of all dividends, share repurchases and other distributions made in cash by the Borrower and its subsidiaries in such period (other than any such dividend, share repurchase or other distribution made to the Borrower or any subsidiary of the Borrower in such period).</w:t>
      </w:r>
    </w:p>
    <w:p>
      <w:pPr>
        <w:spacing w:after="0" w:line="190" w:lineRule="exact"/>
        <w:rPr>
          <w:sz w:val="20"/>
          <w:szCs w:val="20"/>
          <w:color w:val="auto"/>
        </w:rPr>
      </w:pPr>
    </w:p>
    <w:p>
      <w:pPr>
        <w:jc w:val="both"/>
        <w:ind w:left="3700"/>
        <w:spacing w:after="0" w:line="244" w:lineRule="auto"/>
        <w:rPr>
          <w:sz w:val="20"/>
          <w:szCs w:val="20"/>
          <w:color w:val="auto"/>
        </w:rPr>
      </w:pPr>
      <w:r>
        <w:rPr>
          <w:rFonts w:ascii="Arial" w:cs="Arial" w:eastAsia="Arial" w:hAnsi="Arial"/>
          <w:sz w:val="20"/>
          <w:szCs w:val="20"/>
          <w:color w:val="auto"/>
        </w:rPr>
        <w:t xml:space="preserve">Each of the ratios referred to above will be calculated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Certain components of the Consolidated Fixed Charge Coverage Ratio shall be annualized in connection with calculations of the Consolidated Fixed Charge Coverage Ratio occurring prior to the one-year anniversary of the Closing Date.</w:t>
      </w:r>
    </w:p>
    <w:p>
      <w:pPr>
        <w:spacing w:after="0" w:line="208" w:lineRule="exact"/>
        <w:rPr>
          <w:sz w:val="20"/>
          <w:szCs w:val="20"/>
          <w:color w:val="auto"/>
        </w:rPr>
      </w:pPr>
    </w:p>
    <w:p>
      <w:pPr>
        <w:spacing w:after="0"/>
        <w:tabs>
          <w:tab w:leader="none" w:pos="3680" w:val="left"/>
        </w:tabs>
        <w:rPr>
          <w:sz w:val="20"/>
          <w:szCs w:val="20"/>
          <w:color w:val="auto"/>
        </w:rPr>
      </w:pPr>
      <w:r>
        <w:rPr>
          <w:rFonts w:ascii="Arial" w:cs="Arial" w:eastAsia="Arial" w:hAnsi="Arial"/>
          <w:sz w:val="20"/>
          <w:szCs w:val="20"/>
          <w:u w:val="single" w:color="auto"/>
          <w:color w:val="auto"/>
        </w:rPr>
        <w:t>Events of Default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The Definitive Documentation shall include the following events of default:</w:t>
      </w:r>
    </w:p>
    <w:p>
      <w:pPr>
        <w:spacing w:after="0" w:line="16" w:lineRule="exact"/>
        <w:rPr>
          <w:sz w:val="20"/>
          <w:szCs w:val="20"/>
          <w:color w:val="auto"/>
        </w:rPr>
      </w:pPr>
    </w:p>
    <w:p>
      <w:pPr>
        <w:jc w:val="both"/>
        <w:ind w:left="3700" w:hanging="5"/>
        <w:spacing w:after="0" w:line="270" w:lineRule="auto"/>
        <w:tabs>
          <w:tab w:leader="none" w:pos="399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non-payment of principal, interest, fees or other amounts; (b) default of specific covenants; (c) default of other covenants and agreements; (d) any representation, warranty, certification or statement of fact being incorrect or misleading; (e) cross-defaults to other indebtedness in an amount to be agreed; (f) bankruptcy and insolvency proceedings; (g) inability to pay debts; attachment; (h) judgments; (i) ERISA; (j) invalidity of Definitive Documentation; (k) failure of collateral documentation to create a valid and perfected first priority security interest (subject to certain exceptions to be mutually agreed) in the Collateral; and (l) change of control.</w:t>
      </w:r>
    </w:p>
    <w:p>
      <w:pPr>
        <w:spacing w:after="0" w:line="183" w:lineRule="exact"/>
        <w:rPr>
          <w:sz w:val="20"/>
          <w:szCs w:val="20"/>
          <w:color w:val="auto"/>
        </w:rPr>
      </w:pPr>
    </w:p>
    <w:p>
      <w:pPr>
        <w:jc w:val="both"/>
        <w:ind w:left="3700" w:hanging="3685"/>
        <w:spacing w:after="0" w:line="257" w:lineRule="auto"/>
        <w:tabs>
          <w:tab w:leader="none" w:pos="3680" w:val="left"/>
        </w:tabs>
        <w:rPr>
          <w:sz w:val="20"/>
          <w:szCs w:val="20"/>
          <w:color w:val="auto"/>
        </w:rPr>
      </w:pPr>
      <w:r>
        <w:rPr>
          <w:rFonts w:ascii="Arial" w:cs="Arial" w:eastAsia="Arial" w:hAnsi="Arial"/>
          <w:sz w:val="20"/>
          <w:szCs w:val="20"/>
          <w:u w:val="single" w:color="auto"/>
          <w:color w:val="auto"/>
        </w:rPr>
        <w:t>Assignments and Participations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Subject to the consents described in the immediately following sentence, the Definitive Documentation shall permit (a) each Lender under the Revolving Facility to make assignments to other financial institutions in respect of the Revolving Facility in a minimum amount equal to $5 million, and (b) after the funding of the Necessary Acquisition Funds on the Closing Date, each Lender under the Term Loan Facility to make assignments to other financial institutions in respect of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Facility in a minimum amount equal to $1 million.  No consent shall be</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2"/>
              </w:rPr>
              <w:t>required for any such assignment, other than: (i) the consent of the Borrower</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2"/>
              </w:rPr>
              <w:t>(such consent not to be unreasonably withheld or delayed) shall be required</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4"/>
              </w:rPr>
              <w:t>unless (A) an event of default has occurred and is continuing at the time of</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such assignment, or (B) the assignment is to a Lender, an affiliate of a Lender</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 xml:space="preserve">or an Approved Fund (as defined below); </w:t>
            </w:r>
            <w:r>
              <w:rPr>
                <w:rFonts w:ascii="Arial" w:cs="Arial" w:eastAsia="Arial" w:hAnsi="Arial"/>
                <w:sz w:val="20"/>
                <w:szCs w:val="20"/>
                <w:i w:val="1"/>
                <w:iCs w:val="1"/>
                <w:color w:val="auto"/>
                <w:w w:val="90"/>
              </w:rPr>
              <w:t>provided</w:t>
            </w:r>
            <w:r>
              <w:rPr>
                <w:rFonts w:ascii="Arial" w:cs="Arial" w:eastAsia="Arial" w:hAnsi="Arial"/>
                <w:sz w:val="20"/>
                <w:szCs w:val="20"/>
                <w:color w:val="auto"/>
                <w:w w:val="90"/>
              </w:rPr>
              <w:t xml:space="preserve">, </w:t>
            </w:r>
            <w:r>
              <w:rPr>
                <w:rFonts w:ascii="Arial" w:cs="Arial" w:eastAsia="Arial" w:hAnsi="Arial"/>
                <w:sz w:val="20"/>
                <w:szCs w:val="20"/>
                <w:i w:val="1"/>
                <w:iCs w:val="1"/>
                <w:color w:val="auto"/>
                <w:w w:val="90"/>
              </w:rPr>
              <w:t>that</w:t>
            </w:r>
            <w:r>
              <w:rPr>
                <w:rFonts w:ascii="Arial" w:cs="Arial" w:eastAsia="Arial" w:hAnsi="Arial"/>
                <w:sz w:val="20"/>
                <w:szCs w:val="20"/>
                <w:color w:val="auto"/>
                <w:w w:val="90"/>
              </w:rPr>
              <w:t>, the Borrower shall be</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87"/>
              </w:rPr>
              <w:t>deemed to have consented to any such assignment unless it shall object thereto</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6"/>
              </w:rPr>
              <w:t>by written notice to the Administrative Agent within five (5) business days</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7"/>
              </w:rPr>
              <w:t>after having received notice thereof; (ii) the consent of the Administrative</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5"/>
              </w:rPr>
              <w:t>Agent (such consent not to be unreasonably withheld or delayed) shall be</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7"/>
              </w:rPr>
              <w:t>required for any assignment (A) in respect of the Revolving Facility to an</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6"/>
              </w:rPr>
              <w:t>entity that is not a Lender under the Revolving Facility, an affiliate of such</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Lender or an Approved Fund in respect of such Lender, or (B) of any</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3"/>
              </w:rPr>
              <w:t>outstanding term loan under the Term Loan Facility to an entity that is not a</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2"/>
              </w:rPr>
              <w:t>Lender, an affiliate of a Lender or an Approved Fund; and (iii) the consent of</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1"/>
              </w:rPr>
              <w:t>the L/C Issuer and the Swingline Lender shall be required for any assignment</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6"/>
              </w:rPr>
              <w:t>in respect of the Revolving Facility.  The parties to each assignment shall</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7"/>
              </w:rPr>
              <w:t>execute  and  deliver  to  the  Administrative  Agent  an  assignment  and</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assumption, together with a processing and recordation fee of $3,500 for each</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5"/>
              </w:rPr>
              <w:t xml:space="preserve">assignment;  </w:t>
            </w:r>
            <w:r>
              <w:rPr>
                <w:rFonts w:ascii="Arial" w:cs="Arial" w:eastAsia="Arial" w:hAnsi="Arial"/>
                <w:sz w:val="20"/>
                <w:szCs w:val="20"/>
                <w:i w:val="1"/>
                <w:iCs w:val="1"/>
                <w:color w:val="auto"/>
                <w:w w:val="95"/>
              </w:rPr>
              <w:t>provided</w:t>
            </w:r>
            <w:r>
              <w:rPr>
                <w:rFonts w:ascii="Arial" w:cs="Arial" w:eastAsia="Arial" w:hAnsi="Arial"/>
                <w:sz w:val="20"/>
                <w:szCs w:val="20"/>
                <w:color w:val="auto"/>
                <w:w w:val="95"/>
              </w:rPr>
              <w:t xml:space="preserve">,  </w:t>
            </w:r>
            <w:r>
              <w:rPr>
                <w:rFonts w:ascii="Arial" w:cs="Arial" w:eastAsia="Arial" w:hAnsi="Arial"/>
                <w:sz w:val="20"/>
                <w:szCs w:val="20"/>
                <w:i w:val="1"/>
                <w:iCs w:val="1"/>
                <w:color w:val="auto"/>
                <w:w w:val="95"/>
              </w:rPr>
              <w:t>that</w:t>
            </w:r>
            <w:r>
              <w:rPr>
                <w:rFonts w:ascii="Arial" w:cs="Arial" w:eastAsia="Arial" w:hAnsi="Arial"/>
                <w:sz w:val="20"/>
                <w:szCs w:val="20"/>
                <w:color w:val="auto"/>
                <w:w w:val="95"/>
              </w:rPr>
              <w:t>,  the  Administrative  Agent  may,  in  its  sole</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3"/>
              </w:rPr>
              <w:t>discretion, elect to waive such processing and recordation fee in the case of</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any such assignment. Each Lender will also have the right, without consent of</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3"/>
              </w:rPr>
              <w:t>the Borrower or the Administrative Agent, to assign as security, all or part of</w:t>
            </w:r>
          </w:p>
        </w:tc>
      </w:tr>
      <w:tr>
        <w:trPr>
          <w:trHeight w:val="250"/>
        </w:trPr>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4"/>
              </w:rPr>
              <w:t>its rights under the Definitive Documentation to any Federal Reserve Bank.</w:t>
            </w:r>
          </w:p>
        </w:tc>
      </w:tr>
      <w:tr>
        <w:trPr>
          <w:trHeight w:val="425"/>
        </w:trPr>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i w:val="1"/>
                <w:iCs w:val="1"/>
                <w:color w:val="auto"/>
                <w:w w:val="93"/>
              </w:rPr>
              <w:t>Approved Fund</w:t>
            </w:r>
            <w:r>
              <w:rPr>
                <w:rFonts w:ascii="Arial" w:cs="Arial" w:eastAsia="Arial" w:hAnsi="Arial"/>
                <w:sz w:val="20"/>
                <w:szCs w:val="20"/>
                <w:color w:val="auto"/>
                <w:w w:val="93"/>
              </w:rPr>
              <w:t>” means any person (other than a natural person) or entity</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9"/>
              </w:rPr>
              <w:t>that is (or will be) engaged in making, purchasing, holding or otherwise</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2"/>
              </w:rPr>
              <w:t>investing in commercial loans and similar extensions of credit in the ordinary</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89"/>
              </w:rPr>
              <w:t>course of its activities and that is administered or managed by (a) a Lender, (b)</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an affiliate of a Lender, or (c) any entity or an affiliate of an entity that</w:t>
            </w:r>
          </w:p>
        </w:tc>
      </w:tr>
      <w:tr>
        <w:trPr>
          <w:trHeight w:val="250"/>
        </w:trPr>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administers or manages a Lender.</w:t>
            </w:r>
          </w:p>
        </w:tc>
      </w:tr>
      <w:tr>
        <w:trPr>
          <w:trHeight w:val="425"/>
        </w:trPr>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5"/>
              </w:rPr>
              <w:t>Any Lender shall be permitted to sell participations in such Lender’s rights</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6"/>
              </w:rPr>
              <w:t>and obligations under the Definitive Documentation, subject to customary</w:t>
            </w:r>
          </w:p>
        </w:tc>
      </w:tr>
      <w:tr>
        <w:trPr>
          <w:trHeight w:val="250"/>
        </w:trPr>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terms and conditions.</w:t>
            </w:r>
          </w:p>
        </w:tc>
      </w:tr>
      <w:tr>
        <w:trPr>
          <w:trHeight w:val="414"/>
        </w:trPr>
        <w:tc>
          <w:tcPr>
            <w:tcW w:w="2900" w:type="dxa"/>
            <w:vAlign w:val="bottom"/>
            <w:gridSpan w:val="2"/>
          </w:tcPr>
          <w:p>
            <w:pPr>
              <w:spacing w:after="0"/>
              <w:rPr>
                <w:sz w:val="20"/>
                <w:szCs w:val="20"/>
                <w:color w:val="auto"/>
              </w:rPr>
            </w:pPr>
            <w:r>
              <w:rPr>
                <w:rFonts w:ascii="Arial" w:cs="Arial" w:eastAsia="Arial" w:hAnsi="Arial"/>
                <w:sz w:val="20"/>
                <w:szCs w:val="20"/>
                <w:color w:val="auto"/>
              </w:rPr>
              <w:t>Waivers and Amendments:</w:t>
            </w:r>
          </w:p>
        </w:tc>
        <w:tc>
          <w:tcPr>
            <w:tcW w:w="7020" w:type="dxa"/>
            <w:vAlign w:val="bottom"/>
          </w:tcPr>
          <w:p>
            <w:pPr>
              <w:ind w:left="760"/>
              <w:spacing w:after="0"/>
              <w:rPr>
                <w:sz w:val="20"/>
                <w:szCs w:val="20"/>
                <w:color w:val="auto"/>
              </w:rPr>
            </w:pPr>
            <w:r>
              <w:rPr>
                <w:rFonts w:ascii="Arial" w:cs="Arial" w:eastAsia="Arial" w:hAnsi="Arial"/>
                <w:sz w:val="20"/>
                <w:szCs w:val="20"/>
                <w:color w:val="auto"/>
                <w:w w:val="93"/>
              </w:rPr>
              <w:t>Amendments and waivers of the provisions of the Definitive Documentation</w:t>
            </w:r>
          </w:p>
        </w:tc>
      </w:tr>
      <w:tr>
        <w:trPr>
          <w:trHeight w:val="233"/>
        </w:trPr>
        <w:tc>
          <w:tcPr>
            <w:tcW w:w="210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6"/>
              </w:rPr>
              <w:t>will  require  the  approval  of  Lenders  holding  loans  and  commitments</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5"/>
              </w:rPr>
              <w:t>representing more than fifty percent (50%) of the aggregate amount of the</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loans and commitments under the Facilities (the “</w:t>
            </w:r>
            <w:r>
              <w:rPr>
                <w:rFonts w:ascii="Arial" w:cs="Arial" w:eastAsia="Arial" w:hAnsi="Arial"/>
                <w:sz w:val="20"/>
                <w:szCs w:val="20"/>
                <w:b w:val="1"/>
                <w:bCs w:val="1"/>
                <w:i w:val="1"/>
                <w:iCs w:val="1"/>
                <w:color w:val="auto"/>
                <w:w w:val="90"/>
              </w:rPr>
              <w:t>Required Lenders</w:t>
            </w:r>
            <w:r>
              <w:rPr>
                <w:rFonts w:ascii="Arial" w:cs="Arial" w:eastAsia="Arial" w:hAnsi="Arial"/>
                <w:sz w:val="20"/>
                <w:szCs w:val="20"/>
                <w:color w:val="auto"/>
                <w:w w:val="90"/>
              </w:rPr>
              <w:t>”), except</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that no amendment or waiver shall: (a) extend or increase any commitment of</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7"/>
              </w:rPr>
              <w:t>any Lender (or reinstate any terminated commitment) without the written</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7"/>
              </w:rPr>
              <w:t>consent of such Lender (it being understood and agreed that neither (i) a</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waiver of any condition precedent under the heading “Conditions Precedent to</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9"/>
              </w:rPr>
              <w:t>All Other Extensions of Credit” above, nor (ii) a waiver of any default or</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0"/>
              </w:rPr>
              <w:t>event of default, in each case, shall be considered an extension of or increase</w:t>
            </w:r>
          </w:p>
        </w:tc>
      </w:tr>
      <w:tr>
        <w:trPr>
          <w:trHeight w:val="229"/>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w w:val="94"/>
              </w:rPr>
              <w:t>in any commitment of any Lender); (b) postpone any date for any payment</w:t>
            </w:r>
          </w:p>
        </w:tc>
      </w:tr>
      <w:tr>
        <w:trPr>
          <w:trHeight w:val="230"/>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(excluding mandatory prepayments) of principal, interest, fees or other</w:t>
            </w:r>
          </w:p>
        </w:tc>
      </w:tr>
      <w:tr>
        <w:trPr>
          <w:trHeight w:val="250"/>
        </w:trPr>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20" w:type="dxa"/>
            <w:vAlign w:val="bottom"/>
          </w:tcPr>
          <w:p>
            <w:pPr>
              <w:ind w:left="760"/>
              <w:spacing w:after="0"/>
              <w:rPr>
                <w:sz w:val="20"/>
                <w:szCs w:val="20"/>
                <w:color w:val="auto"/>
              </w:rPr>
            </w:pPr>
            <w:r>
              <w:rPr>
                <w:rFonts w:ascii="Arial" w:cs="Arial" w:eastAsia="Arial" w:hAnsi="Arial"/>
                <w:sz w:val="20"/>
                <w:szCs w:val="20"/>
                <w:color w:val="auto"/>
              </w:rPr>
              <w:t>amounts due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1" w:right="9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to any Lender without the written consent of such Lender; (c) reduce the principal of, or</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the rate of interest on, any loan, or (subject to the ability to amend any fee letter solely</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with the consent of the parties to such fee letter) any fees or other amounts payable to</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 xml:space="preserve">any Lender without the written consent of such Lender; </w:t>
            </w:r>
            <w:r>
              <w:rPr>
                <w:rFonts w:ascii="Arial" w:cs="Arial" w:eastAsia="Arial" w:hAnsi="Arial"/>
                <w:sz w:val="20"/>
                <w:szCs w:val="20"/>
                <w:i w:val="1"/>
                <w:iCs w:val="1"/>
                <w:color w:val="auto"/>
                <w:w w:val="91"/>
              </w:rPr>
              <w:t>provided</w:t>
            </w:r>
            <w:r>
              <w:rPr>
                <w:rFonts w:ascii="Arial" w:cs="Arial" w:eastAsia="Arial" w:hAnsi="Arial"/>
                <w:sz w:val="20"/>
                <w:szCs w:val="20"/>
                <w:color w:val="auto"/>
                <w:w w:val="91"/>
              </w:rPr>
              <w:t xml:space="preserve">, </w:t>
            </w:r>
            <w:r>
              <w:rPr>
                <w:rFonts w:ascii="Arial" w:cs="Arial" w:eastAsia="Arial" w:hAnsi="Arial"/>
                <w:sz w:val="20"/>
                <w:szCs w:val="20"/>
                <w:i w:val="1"/>
                <w:iCs w:val="1"/>
                <w:color w:val="auto"/>
                <w:w w:val="91"/>
              </w:rPr>
              <w:t>that</w:t>
            </w:r>
            <w:r>
              <w:rPr>
                <w:rFonts w:ascii="Arial" w:cs="Arial" w:eastAsia="Arial" w:hAnsi="Arial"/>
                <w:sz w:val="20"/>
                <w:szCs w:val="20"/>
                <w:color w:val="auto"/>
                <w:w w:val="91"/>
              </w:rPr>
              <w:t>, only the consent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of the Required Lenders shall be necessary to amend (i) the provisions of the Definitive</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Documentation with respect to default rate interest (including waiving any obligation to</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pay interest or fees at the Default Rate (as defined below)), or (ii) any financial covenant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4"/>
              </w:rPr>
              <w:t>(or any defined term used therein), even if the effect of such amendment would be to</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reduce the rate of interest on any loan or to reduce any fee payable to the Lenders; (d)</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change certain of the provisions of the Definitive Documentation in a manner that would</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4"/>
              </w:rPr>
              <w:t>alter the pro rata sharing of payments required thereby without the written consent of</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each Lender that is directly and adversely affected thereby; (e) change any provision of</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the amendment section of the credit agreement or the definition of “Required Lenders”</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7"/>
              </w:rPr>
              <w:t>without the written consent of each Lender; (f) release all or substantially all of the</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4"/>
              </w:rPr>
              <w:t>Collateral without the written consent of each Lender; (g) subordinate the liens in the</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Collateral without the written consent of each Lender; (h) release all or substantially all</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of the value of the guaranties provided pursuant to the Definitive Documentation without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the written consent of each Lender (with an exception for any release in connection with</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5"/>
              </w:rPr>
              <w:t>a transaction permitted pursuant to the Definitive Documentation); or (i) release the</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6"/>
              </w:rPr>
              <w:t>Borrower or permit the Borrower to assign or transfer any of its rights or obligations</w:t>
            </w:r>
          </w:p>
        </w:tc>
      </w:tr>
      <w:tr>
        <w:trPr>
          <w:trHeight w:val="250"/>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rPr>
              <w:t>under the Definitive Documentation without the written consent of each Lender.</w:t>
            </w:r>
          </w:p>
        </w:tc>
      </w:tr>
      <w:tr>
        <w:trPr>
          <w:trHeight w:val="414"/>
        </w:trPr>
        <w:tc>
          <w:tcPr>
            <w:tcW w:w="2100" w:type="dxa"/>
            <w:vAlign w:val="bottom"/>
            <w:gridSpan w:val="2"/>
          </w:tcPr>
          <w:p>
            <w:pPr>
              <w:spacing w:after="0"/>
              <w:rPr>
                <w:sz w:val="20"/>
                <w:szCs w:val="20"/>
                <w:color w:val="auto"/>
              </w:rPr>
            </w:pPr>
            <w:r>
              <w:rPr>
                <w:rFonts w:ascii="Arial" w:cs="Arial" w:eastAsia="Arial" w:hAnsi="Arial"/>
                <w:sz w:val="20"/>
                <w:szCs w:val="20"/>
                <w:color w:val="auto"/>
              </w:rPr>
              <w:t>Indemnification:</w:t>
            </w: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The Credit Parties will indemnify the Administrative Agent (and any sub-agent thereof),</w:t>
            </w:r>
          </w:p>
        </w:tc>
      </w:tr>
      <w:tr>
        <w:trPr>
          <w:trHeight w:val="233"/>
        </w:trPr>
        <w:tc>
          <w:tcPr>
            <w:tcW w:w="128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each Joint Lead Arranger, each Lender, the L/C Issuer, the Swingline Lender, and each</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3"/>
              </w:rPr>
              <w:t>of their respective affiliates, and their and such affiliates’ respective officers, directors,</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employees, agents, advisors and other representatives (each, an “</w:t>
            </w:r>
            <w:r>
              <w:rPr>
                <w:rFonts w:ascii="Arial" w:cs="Arial" w:eastAsia="Arial" w:hAnsi="Arial"/>
                <w:sz w:val="20"/>
                <w:szCs w:val="20"/>
                <w:b w:val="1"/>
                <w:bCs w:val="1"/>
                <w:i w:val="1"/>
                <w:iCs w:val="1"/>
                <w:color w:val="auto"/>
                <w:w w:val="91"/>
              </w:rPr>
              <w:t>Indemnified Party</w:t>
            </w:r>
            <w:r>
              <w:rPr>
                <w:rFonts w:ascii="Arial" w:cs="Arial" w:eastAsia="Arial" w:hAnsi="Arial"/>
                <w:sz w:val="20"/>
                <w:szCs w:val="20"/>
                <w:color w:val="auto"/>
                <w:w w:val="91"/>
              </w:rPr>
              <w: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rPr>
              <w:t>against, and hold each Indemnified Party harmless from, any and all actual or</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prospective losses, claims, damages, liabilities and related expenses (including, without</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limitation, the reasonable fees, disbursements and other charges of counsel (but limited,</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in the case of legal fees and expenses, to the reasonable and documented out of pocket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fees, disbursements and other charges of one primary counsel to all Indemnified Parties</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89"/>
              </w:rPr>
              <w:t>(taken as a whole) and, if reasonably necessary, a single local counsel for all Indemnified</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Parties (taken as a whole) in each relevant jurisdiction and a single specialty counsel for</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0"/>
              </w:rPr>
              <w:t>all Indemnified Parties (taken as a whole) with respect to each relevant specialty, and in</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4"/>
              </w:rPr>
              <w:t>the case of an actual or perceived conflict of interest, one additional primary, local or</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6"/>
              </w:rPr>
              <w:t>specialty counsel, as the case may be, to the affected Indemnified Parties similarly</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2"/>
              </w:rPr>
              <w:t>situated and taken as a whole)) incurred by any Indemnified Party or asserted against</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4"/>
              </w:rPr>
              <w:t>any Indemnified Party by any person or entity (including any Credit Party) arising out</w:t>
            </w:r>
          </w:p>
        </w:tc>
      </w:tr>
      <w:tr>
        <w:trPr>
          <w:trHeight w:val="229"/>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6"/>
              </w:rPr>
              <w:t>of, in connection with, or as a result of (a) the execution or delivery of the Definitive</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3"/>
              </w:rPr>
              <w:t>Documentation, the performance by the parties thereto of their respective obligations</w:t>
            </w:r>
          </w:p>
        </w:tc>
      </w:tr>
      <w:tr>
        <w:trPr>
          <w:trHeight w:val="230"/>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88"/>
              </w:rPr>
              <w:t>thereunder or the consummation of the transactions contemplated thereby, or, in the case</w:t>
            </w:r>
          </w:p>
        </w:tc>
      </w:tr>
      <w:tr>
        <w:trPr>
          <w:trHeight w:val="250"/>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20" w:type="dxa"/>
            <w:vAlign w:val="bottom"/>
          </w:tcPr>
          <w:p>
            <w:pPr>
              <w:ind w:left="760"/>
              <w:spacing w:after="0"/>
              <w:rPr>
                <w:sz w:val="20"/>
                <w:szCs w:val="20"/>
                <w:color w:val="auto"/>
              </w:rPr>
            </w:pPr>
            <w:r>
              <w:rPr>
                <w:rFonts w:ascii="Arial" w:cs="Arial" w:eastAsia="Arial" w:hAnsi="Arial"/>
                <w:sz w:val="20"/>
                <w:szCs w:val="20"/>
                <w:color w:val="auto"/>
                <w:w w:val="91"/>
              </w:rPr>
              <w:t>of the Administrative Agent (and any sub-agent thereof) and its related parties only, the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1" w:right="9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2"/>
              </w:rPr>
              <w:t>administration of the Definitive Documentation, (b) any loan under the Facilities</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5"/>
              </w:rPr>
              <w:t>or any Letter of Credit or the use or proposed use of the proceeds therefrom</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1"/>
              </w:rPr>
              <w:t>(including any refusal by the L/C Issuer to honor a demand for payment under a</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2"/>
              </w:rPr>
              <w:t>Letter of Credit if the documents presented in connection with such demand do</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7"/>
              </w:rPr>
              <w:t>not strictly comply with the terms of such Letter of Credit), (c) any actual or</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6"/>
              </w:rPr>
              <w:t>alleged presence or release of hazardous materials on or from any property</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4"/>
              </w:rPr>
              <w:t>owned, leased or operated by a Credit Party or any of its subsidiaries, or any</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rPr>
              <w:t>environmental liability related in any way to a Credit Party or any of its</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rPr>
              <w:t>subsidiaries, or (d) any actual or prospective claim, litigation, arbitration,</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4"/>
              </w:rPr>
              <w:t>investigation or proceeding relating to any of the foregoing, whether based on</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6"/>
              </w:rPr>
              <w:t>contract, tort or any other theory, whether brought by a third party or by any</w:t>
            </w:r>
          </w:p>
        </w:tc>
      </w:tr>
      <w:tr>
        <w:trPr>
          <w:trHeight w:val="223"/>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line="224" w:lineRule="exact"/>
              <w:rPr>
                <w:sz w:val="20"/>
                <w:szCs w:val="20"/>
                <w:color w:val="auto"/>
              </w:rPr>
            </w:pPr>
            <w:r>
              <w:rPr>
                <w:rFonts w:ascii="Arial" w:cs="Arial" w:eastAsia="Arial" w:hAnsi="Arial"/>
                <w:sz w:val="20"/>
                <w:szCs w:val="20"/>
                <w:color w:val="auto"/>
                <w:w w:val="91"/>
              </w:rPr>
              <w:t>Credit Party, and regardless of whether any Indemnified Party is a party thereto,</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b w:val="1"/>
                <w:bCs w:val="1"/>
                <w:color w:val="auto"/>
              </w:rPr>
              <w:t>IN ALL CASES, WHETHER OR NOT CAUSED BY OR ARISING, IN</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b w:val="1"/>
                <w:bCs w:val="1"/>
                <w:color w:val="auto"/>
              </w:rPr>
              <w:t>WHOLE   OR   IN   PART,   OUT   OF   THE   COMPARATIVE,</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b w:val="1"/>
                <w:bCs w:val="1"/>
                <w:color w:val="auto"/>
              </w:rPr>
              <w:t>CONTRIBUTORY OR SOLE NEGLIGENCE OF THE INDEMNIFIED</w:t>
            </w:r>
          </w:p>
        </w:tc>
      </w:tr>
      <w:tr>
        <w:trPr>
          <w:trHeight w:val="235"/>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b w:val="1"/>
                <w:bCs w:val="1"/>
                <w:color w:val="auto"/>
                <w:w w:val="90"/>
              </w:rPr>
              <w:t>PARTY</w:t>
            </w:r>
            <w:r>
              <w:rPr>
                <w:rFonts w:ascii="Arial" w:cs="Arial" w:eastAsia="Arial" w:hAnsi="Arial"/>
                <w:sz w:val="20"/>
                <w:szCs w:val="20"/>
                <w:color w:val="auto"/>
                <w:w w:val="90"/>
              </w:rPr>
              <w:t>;</w:t>
            </w:r>
            <w:r>
              <w:rPr>
                <w:rFonts w:ascii="Arial" w:cs="Arial" w:eastAsia="Arial" w:hAnsi="Arial"/>
                <w:sz w:val="20"/>
                <w:szCs w:val="20"/>
                <w:b w:val="1"/>
                <w:bCs w:val="1"/>
                <w:color w:val="auto"/>
                <w:w w:val="90"/>
              </w:rPr>
              <w:t xml:space="preserve"> </w:t>
            </w:r>
            <w:r>
              <w:rPr>
                <w:rFonts w:ascii="Arial" w:cs="Arial" w:eastAsia="Arial" w:hAnsi="Arial"/>
                <w:sz w:val="20"/>
                <w:szCs w:val="20"/>
                <w:i w:val="1"/>
                <w:iCs w:val="1"/>
                <w:color w:val="auto"/>
                <w:w w:val="90"/>
              </w:rPr>
              <w:t>provided</w:t>
            </w:r>
            <w:r>
              <w:rPr>
                <w:rFonts w:ascii="Arial" w:cs="Arial" w:eastAsia="Arial" w:hAnsi="Arial"/>
                <w:sz w:val="20"/>
                <w:szCs w:val="20"/>
                <w:color w:val="auto"/>
                <w:w w:val="90"/>
              </w:rPr>
              <w:t>,</w:t>
            </w:r>
            <w:r>
              <w:rPr>
                <w:rFonts w:ascii="Arial" w:cs="Arial" w:eastAsia="Arial" w:hAnsi="Arial"/>
                <w:sz w:val="20"/>
                <w:szCs w:val="20"/>
                <w:b w:val="1"/>
                <w:bCs w:val="1"/>
                <w:color w:val="auto"/>
                <w:w w:val="90"/>
              </w:rPr>
              <w:t xml:space="preserve"> </w:t>
            </w:r>
            <w:r>
              <w:rPr>
                <w:rFonts w:ascii="Arial" w:cs="Arial" w:eastAsia="Arial" w:hAnsi="Arial"/>
                <w:sz w:val="20"/>
                <w:szCs w:val="20"/>
                <w:i w:val="1"/>
                <w:iCs w:val="1"/>
                <w:color w:val="auto"/>
                <w:w w:val="90"/>
              </w:rPr>
              <w:t>that</w:t>
            </w:r>
            <w:r>
              <w:rPr>
                <w:rFonts w:ascii="Arial" w:cs="Arial" w:eastAsia="Arial" w:hAnsi="Arial"/>
                <w:sz w:val="20"/>
                <w:szCs w:val="20"/>
                <w:color w:val="auto"/>
                <w:w w:val="90"/>
              </w:rPr>
              <w:t>, such indemnity shall not, as to any Indemnified Party, be</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4"/>
              </w:rPr>
              <w:t>available to the extent that such losses, claims, damages, liabilities or related</w:t>
            </w:r>
          </w:p>
        </w:tc>
      </w:tr>
      <w:tr>
        <w:trPr>
          <w:trHeight w:val="229"/>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9"/>
              </w:rPr>
              <w:t>expenses are determined by a court of competent jurisdiction by final and</w:t>
            </w:r>
          </w:p>
        </w:tc>
      </w:tr>
      <w:tr>
        <w:trPr>
          <w:trHeight w:val="230"/>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4"/>
              </w:rPr>
              <w:t>nonappealable judgment to have resulted from the gross negligence or willful</w:t>
            </w:r>
          </w:p>
        </w:tc>
      </w:tr>
      <w:tr>
        <w:trPr>
          <w:trHeight w:val="250"/>
        </w:trPr>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rPr>
              <w:t>misconduct of such Indemnified Party.</w:t>
            </w:r>
          </w:p>
        </w:tc>
      </w:tr>
      <w:tr>
        <w:trPr>
          <w:trHeight w:val="414"/>
        </w:trPr>
        <w:tc>
          <w:tcPr>
            <w:tcW w:w="2660" w:type="dxa"/>
            <w:vAlign w:val="bottom"/>
            <w:gridSpan w:val="3"/>
          </w:tcPr>
          <w:p>
            <w:pPr>
              <w:spacing w:after="0"/>
              <w:rPr>
                <w:sz w:val="20"/>
                <w:szCs w:val="20"/>
                <w:color w:val="auto"/>
              </w:rPr>
            </w:pPr>
            <w:r>
              <w:rPr>
                <w:rFonts w:ascii="Arial" w:cs="Arial" w:eastAsia="Arial" w:hAnsi="Arial"/>
                <w:sz w:val="20"/>
                <w:szCs w:val="20"/>
                <w:color w:val="auto"/>
              </w:rPr>
              <w:t>Governing Law, etc.:</w:t>
            </w: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w w:val="92"/>
              </w:rPr>
              <w:t>State of New York. Additionally, each of the parties shall (a) waive its right to a</w:t>
            </w:r>
          </w:p>
        </w:tc>
      </w:tr>
      <w:tr>
        <w:trPr>
          <w:trHeight w:val="254"/>
        </w:trPr>
        <w:tc>
          <w:tcPr>
            <w:tcW w:w="16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rPr>
              <w:t>trial by jury, and (b) submit to New York jurisdiction.</w:t>
            </w:r>
          </w:p>
        </w:tc>
      </w:tr>
      <w:tr>
        <w:trPr>
          <w:trHeight w:val="414"/>
        </w:trPr>
        <w:tc>
          <w:tcPr>
            <w:tcW w:w="2660" w:type="dxa"/>
            <w:vAlign w:val="bottom"/>
            <w:gridSpan w:val="3"/>
          </w:tcPr>
          <w:p>
            <w:pPr>
              <w:spacing w:after="0"/>
              <w:rPr>
                <w:sz w:val="20"/>
                <w:szCs w:val="20"/>
                <w:color w:val="auto"/>
              </w:rPr>
            </w:pPr>
            <w:r>
              <w:rPr>
                <w:rFonts w:ascii="Arial" w:cs="Arial" w:eastAsia="Arial" w:hAnsi="Arial"/>
                <w:sz w:val="20"/>
                <w:szCs w:val="20"/>
                <w:color w:val="auto"/>
              </w:rPr>
              <w:t>Pricing/Fees/Expenses:</w:t>
            </w:r>
          </w:p>
        </w:tc>
        <w:tc>
          <w:tcPr>
            <w:tcW w:w="7260" w:type="dxa"/>
            <w:vAlign w:val="bottom"/>
            <w:gridSpan w:val="5"/>
          </w:tcPr>
          <w:p>
            <w:pPr>
              <w:ind w:left="800"/>
              <w:spacing w:after="0"/>
              <w:rPr>
                <w:sz w:val="20"/>
                <w:szCs w:val="20"/>
                <w:color w:val="auto"/>
              </w:rPr>
            </w:pPr>
            <w:r>
              <w:rPr>
                <w:rFonts w:ascii="Arial" w:cs="Arial" w:eastAsia="Arial" w:hAnsi="Arial"/>
                <w:sz w:val="20"/>
                <w:szCs w:val="20"/>
                <w:color w:val="auto"/>
              </w:rPr>
              <w:t>As set forth in Addendum I to this Exhibit B.</w:t>
            </w:r>
          </w:p>
        </w:tc>
      </w:tr>
      <w:tr>
        <w:trPr>
          <w:trHeight w:val="902"/>
        </w:trPr>
        <w:tc>
          <w:tcPr>
            <w:tcW w:w="1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Borders>
              <w:top w:val="single" w:sz="8" w:color="auto"/>
            </w:tcBorders>
          </w:tcPr>
          <w:p>
            <w:pPr>
              <w:ind w:left="140"/>
              <w:spacing w:after="0"/>
              <w:rPr>
                <w:sz w:val="20"/>
                <w:szCs w:val="20"/>
                <w:color w:val="auto"/>
              </w:rPr>
            </w:pPr>
            <w:r>
              <w:rPr>
                <w:rFonts w:ascii="Arial" w:cs="Arial" w:eastAsia="Arial" w:hAnsi="Arial"/>
                <w:sz w:val="20"/>
                <w:szCs w:val="20"/>
                <w:color w:val="auto"/>
              </w:rPr>
              <w:t>B-17</w:t>
            </w:r>
          </w:p>
        </w:tc>
        <w:tc>
          <w:tcPr>
            <w:tcW w:w="6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r>
      <w:tr>
        <w:trPr>
          <w:trHeight w:val="773"/>
        </w:trPr>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1" w:right="99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80" w:type="dxa"/>
            <w:vAlign w:val="bottom"/>
            <w:gridSpan w:val="4"/>
          </w:tcPr>
          <w:p>
            <w:pPr>
              <w:jc w:val="center"/>
              <w:ind w:right="4140"/>
              <w:spacing w:after="0"/>
              <w:rPr>
                <w:sz w:val="20"/>
                <w:szCs w:val="20"/>
                <w:color w:val="auto"/>
              </w:rPr>
            </w:pPr>
            <w:r>
              <w:rPr>
                <w:rFonts w:ascii="Arial" w:cs="Arial" w:eastAsia="Arial" w:hAnsi="Arial"/>
                <w:sz w:val="20"/>
                <w:szCs w:val="20"/>
                <w:color w:val="auto"/>
                <w:w w:val="92"/>
              </w:rPr>
              <w:t>AeroVironment, Inc.</w:t>
            </w:r>
          </w:p>
        </w:tc>
      </w:tr>
      <w:tr>
        <w:trPr>
          <w:trHeight w:val="20"/>
        </w:trPr>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7"/>
          </w:tcPr>
          <w:p>
            <w:pPr>
              <w:jc w:val="center"/>
              <w:ind w:right="2060"/>
              <w:spacing w:after="0" w:line="209" w:lineRule="exact"/>
              <w:rPr>
                <w:sz w:val="20"/>
                <w:szCs w:val="20"/>
                <w:color w:val="auto"/>
              </w:rPr>
            </w:pPr>
            <w:r>
              <w:rPr>
                <w:rFonts w:ascii="Arial" w:cs="Arial" w:eastAsia="Arial" w:hAnsi="Arial"/>
                <w:sz w:val="20"/>
                <w:szCs w:val="20"/>
                <w:color w:val="auto"/>
                <w:w w:val="90"/>
              </w:rPr>
              <w:t>Summary of Terms and Conditions – Addendum I</w:t>
            </w:r>
          </w:p>
        </w:tc>
      </w:tr>
      <w:tr>
        <w:trPr>
          <w:trHeight w:val="210"/>
        </w:trPr>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jc w:val="center"/>
              <w:ind w:right="900"/>
              <w:spacing w:after="0" w:line="209" w:lineRule="exact"/>
              <w:rPr>
                <w:sz w:val="20"/>
                <w:szCs w:val="20"/>
                <w:color w:val="auto"/>
              </w:rPr>
            </w:pPr>
            <w:r>
              <w:rPr>
                <w:rFonts w:ascii="Arial" w:cs="Arial" w:eastAsia="Arial" w:hAnsi="Arial"/>
                <w:sz w:val="20"/>
                <w:szCs w:val="20"/>
                <w:color w:val="auto"/>
                <w:w w:val="86"/>
              </w:rPr>
              <w:t>Pricing, Fees and Expenses</w:t>
            </w:r>
          </w:p>
        </w:tc>
        <w:tc>
          <w:tcPr>
            <w:tcW w:w="29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3"/>
            <w:shd w:val="clear" w:color="auto" w:fill="000000"/>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668"/>
        </w:trPr>
        <w:tc>
          <w:tcPr>
            <w:tcW w:w="2060" w:type="dxa"/>
            <w:vAlign w:val="bottom"/>
            <w:gridSpan w:val="2"/>
          </w:tcPr>
          <w:p>
            <w:pPr>
              <w:spacing w:after="0"/>
              <w:rPr>
                <w:sz w:val="20"/>
                <w:szCs w:val="20"/>
                <w:color w:val="auto"/>
              </w:rPr>
            </w:pPr>
            <w:r>
              <w:rPr>
                <w:rFonts w:ascii="Arial" w:cs="Arial" w:eastAsia="Arial" w:hAnsi="Arial"/>
                <w:sz w:val="20"/>
                <w:szCs w:val="20"/>
                <w:color w:val="auto"/>
              </w:rPr>
              <w:t>Interest Rates:</w:t>
            </w:r>
          </w:p>
        </w:tc>
        <w:tc>
          <w:tcPr>
            <w:tcW w:w="920" w:type="dxa"/>
            <w:vAlign w:val="bottom"/>
          </w:tcPr>
          <w:p>
            <w:pPr>
              <w:spacing w:after="0"/>
              <w:rPr>
                <w:sz w:val="24"/>
                <w:szCs w:val="24"/>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4"/>
              </w:rPr>
              <w:t>The interest rates per annum applicable to the Facilities (other than in respect of</w:t>
            </w:r>
          </w:p>
        </w:tc>
      </w:tr>
      <w:tr>
        <w:trPr>
          <w:trHeight w:val="233"/>
        </w:trPr>
        <w:tc>
          <w:tcPr>
            <w:tcW w:w="110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 xml:space="preserve">Swingline Loans) will be LIBOR </w:t>
            </w:r>
            <w:r>
              <w:rPr>
                <w:rFonts w:ascii="Arial" w:cs="Arial" w:eastAsia="Arial" w:hAnsi="Arial"/>
                <w:sz w:val="20"/>
                <w:szCs w:val="20"/>
                <w:i w:val="1"/>
                <w:iCs w:val="1"/>
                <w:color w:val="auto"/>
                <w:w w:val="93"/>
              </w:rPr>
              <w:t>plus</w:t>
            </w:r>
            <w:r>
              <w:rPr>
                <w:rFonts w:ascii="Arial" w:cs="Arial" w:eastAsia="Arial" w:hAnsi="Arial"/>
                <w:sz w:val="20"/>
                <w:szCs w:val="20"/>
                <w:color w:val="auto"/>
                <w:w w:val="93"/>
              </w:rPr>
              <w:t xml:space="preserve"> the Applicable Margin (as defined below) or,</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at the option of the Borrower, the Base Rate (to be defined as the highest of (a) the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 xml:space="preserve">Federal Funds Rate </w:t>
            </w:r>
            <w:r>
              <w:rPr>
                <w:rFonts w:ascii="Arial" w:cs="Arial" w:eastAsia="Arial" w:hAnsi="Arial"/>
                <w:sz w:val="20"/>
                <w:szCs w:val="20"/>
                <w:i w:val="1"/>
                <w:iCs w:val="1"/>
                <w:color w:val="auto"/>
                <w:w w:val="92"/>
              </w:rPr>
              <w:t>plus</w:t>
            </w:r>
            <w:r>
              <w:rPr>
                <w:rFonts w:ascii="Arial" w:cs="Arial" w:eastAsia="Arial" w:hAnsi="Arial"/>
                <w:sz w:val="20"/>
                <w:szCs w:val="20"/>
                <w:color w:val="auto"/>
                <w:w w:val="92"/>
              </w:rPr>
              <w:t xml:space="preserve"> one-half percent (0.50%), (b) the Bank of America prime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 xml:space="preserve">rate, and (c) the one (1) month LIBOR (adjusted daily) </w:t>
            </w:r>
            <w:r>
              <w:rPr>
                <w:rFonts w:ascii="Arial" w:cs="Arial" w:eastAsia="Arial" w:hAnsi="Arial"/>
                <w:sz w:val="20"/>
                <w:szCs w:val="20"/>
                <w:i w:val="1"/>
                <w:iCs w:val="1"/>
                <w:color w:val="auto"/>
                <w:w w:val="93"/>
              </w:rPr>
              <w:t>plus</w:t>
            </w:r>
            <w:r>
              <w:rPr>
                <w:rFonts w:ascii="Arial" w:cs="Arial" w:eastAsia="Arial" w:hAnsi="Arial"/>
                <w:sz w:val="20"/>
                <w:szCs w:val="20"/>
                <w:color w:val="auto"/>
                <w:w w:val="93"/>
              </w:rPr>
              <w:t xml:space="preserve"> one percent (1.00%))</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i w:val="1"/>
                <w:iCs w:val="1"/>
                <w:color w:val="auto"/>
                <w:w w:val="93"/>
              </w:rPr>
              <w:t xml:space="preserve">plus </w:t>
            </w:r>
            <w:r>
              <w:rPr>
                <w:rFonts w:ascii="Arial" w:cs="Arial" w:eastAsia="Arial" w:hAnsi="Arial"/>
                <w:sz w:val="20"/>
                <w:szCs w:val="20"/>
                <w:color w:val="auto"/>
                <w:w w:val="93"/>
              </w:rPr>
              <w:t>the Applicable Margin. “</w:t>
            </w:r>
            <w:r>
              <w:rPr>
                <w:rFonts w:ascii="Arial" w:cs="Arial" w:eastAsia="Arial" w:hAnsi="Arial"/>
                <w:sz w:val="20"/>
                <w:szCs w:val="20"/>
                <w:b w:val="1"/>
                <w:bCs w:val="1"/>
                <w:i w:val="1"/>
                <w:iCs w:val="1"/>
                <w:color w:val="auto"/>
                <w:w w:val="93"/>
              </w:rPr>
              <w:t>Applicable Margin</w:t>
            </w:r>
            <w:r>
              <w:rPr>
                <w:rFonts w:ascii="Arial" w:cs="Arial" w:eastAsia="Arial" w:hAnsi="Arial"/>
                <w:sz w:val="20"/>
                <w:szCs w:val="20"/>
                <w:color w:val="auto"/>
                <w:w w:val="93"/>
              </w:rPr>
              <w:t>” means (a) in the case of LIBOR</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loans, (i) until delivery of financial statements and a compliance certificate for the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6"/>
              </w:rPr>
              <w:t>first full fiscal quarter of the Borrower ending after the Closing Date, 2.00% per</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0"/>
              </w:rPr>
              <w:t>annum, and (ii) thereafter, a percentage per annum to be determined in accordance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with the performance pricing grid set forth below, and (b) in the case of Base Rate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loans, (i) until delivery of financial statements and a compliance certificate for the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6"/>
              </w:rPr>
              <w:t>first full fiscal quarter of the Borrower ending after the Closing Date, 1.00% per</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0"/>
              </w:rPr>
              <w:t>annum, and (ii) thereafter, a percentage per annum to be determined in accordance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with the performance pricing grid set forth below. Each Swingline Loan shall bear</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5"/>
              </w:rPr>
              <w:t xml:space="preserve">interest at the Base Rate </w:t>
            </w:r>
            <w:r>
              <w:rPr>
                <w:rFonts w:ascii="Arial" w:cs="Arial" w:eastAsia="Arial" w:hAnsi="Arial"/>
                <w:sz w:val="20"/>
                <w:szCs w:val="20"/>
                <w:i w:val="1"/>
                <w:iCs w:val="1"/>
                <w:color w:val="auto"/>
                <w:w w:val="95"/>
              </w:rPr>
              <w:t>plus</w:t>
            </w:r>
            <w:r>
              <w:rPr>
                <w:rFonts w:ascii="Arial" w:cs="Arial" w:eastAsia="Arial" w:hAnsi="Arial"/>
                <w:sz w:val="20"/>
                <w:szCs w:val="20"/>
                <w:color w:val="auto"/>
                <w:w w:val="95"/>
              </w:rPr>
              <w:t xml:space="preserve"> the Applicable Margin for Base Rate loans.  If the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87"/>
              </w:rPr>
              <w:t>Base Rate shall be less than one percent (1%), such rate shall be deemed one percent</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(1%) for purposes of the Definitive Documentation; and if LIBOR shall be less than</w:t>
            </w:r>
          </w:p>
        </w:tc>
      </w:tr>
      <w:tr>
        <w:trPr>
          <w:trHeight w:val="250"/>
        </w:trPr>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zero, such rate shall be deemed zero for purposes of the Definitive Documentation.</w:t>
            </w:r>
          </w:p>
        </w:tc>
      </w:tr>
      <w:tr>
        <w:trPr>
          <w:trHeight w:val="425"/>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The Borrower may select interest periods with respect to LIBOR loans of one (1),</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two (2), three (3) or six (6) months, in each case subject to availability. Interest on</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0"/>
              </w:rPr>
              <w:t>each Base Rate loan and each Swingline Loan shall be due and payable on the last</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business day of March, June, September and December, and on the Maturity Date;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and interest on each LIBOR loan shall be due and payable on the last day of each</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interest period applicable thereto, and if such interest period extends over three (3)</w:t>
            </w:r>
          </w:p>
        </w:tc>
      </w:tr>
      <w:tr>
        <w:trPr>
          <w:trHeight w:val="250"/>
        </w:trPr>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6"/>
              </w:rPr>
              <w:t>months, at the end of each three (3) month interval during such interest period.</w:t>
            </w:r>
          </w:p>
        </w:tc>
      </w:tr>
      <w:tr>
        <w:trPr>
          <w:trHeight w:val="425"/>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3"/>
              </w:rPr>
              <w:t>If any amount of principal of any loan is not paid when due (without regard to any</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applicable grace periods), whether at stated maturity, by acceleration or otherwise,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rPr>
              <w:t>or a payment or bankruptcy default exists, all outstanding Obligations shall</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thereafter bear interest at a fluctuating interest rate per annum at all times equal to</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4"/>
              </w:rPr>
              <w:t>the Default Rate to the fullest extent permitted by applicable laws.  If any amount</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9"/>
              </w:rPr>
              <w:t>(other than principal of any loan) is not paid when due (without regard to any</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applicable grace periods), whether at stated maturity, by acceleration or otherwise,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then upon the request of the Required Lenders, such amount shall thereafter bear</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0"/>
              </w:rPr>
              <w:t>interest at a fluctuating interest rate per annum at all times equal to the Default Rate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1"/>
              </w:rPr>
              <w:t>to the fullest extent permitted by applicable laws. Upon the request of the Required</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Lenders, while any event of default exists, all outstanding Obligations shall accrue</w:t>
            </w:r>
          </w:p>
        </w:tc>
      </w:tr>
      <w:tr>
        <w:trPr>
          <w:trHeight w:val="229"/>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2"/>
              </w:rPr>
              <w:t>at a fluctuating interest rate per annum at all times equal to the Default Rate to the</w:t>
            </w:r>
          </w:p>
        </w:tc>
      </w:tr>
      <w:tr>
        <w:trPr>
          <w:trHeight w:val="230"/>
        </w:trPr>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w w:val="90"/>
              </w:rPr>
              <w:t>fullest extent permitted by applicable laws. Accrued and unpaid interest on past due</w:t>
            </w:r>
          </w:p>
        </w:tc>
      </w:tr>
      <w:tr>
        <w:trPr>
          <w:trHeight w:val="250"/>
        </w:trPr>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940" w:type="dxa"/>
            <w:vAlign w:val="bottom"/>
            <w:gridSpan w:val="6"/>
          </w:tcPr>
          <w:p>
            <w:pPr>
              <w:ind w:left="220"/>
              <w:spacing w:after="0"/>
              <w:rPr>
                <w:sz w:val="20"/>
                <w:szCs w:val="20"/>
                <w:color w:val="auto"/>
              </w:rPr>
            </w:pPr>
            <w:r>
              <w:rPr>
                <w:rFonts w:ascii="Arial" w:cs="Arial" w:eastAsia="Arial" w:hAnsi="Arial"/>
                <w:sz w:val="20"/>
                <w:szCs w:val="20"/>
                <w:color w:val="auto"/>
              </w:rPr>
              <w:t>amounts</w:t>
            </w:r>
          </w:p>
        </w:tc>
      </w:tr>
      <w:tr>
        <w:trPr>
          <w:trHeight w:val="989"/>
        </w:trPr>
        <w:tc>
          <w:tcPr>
            <w:tcW w:w="1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55" w:right="999" w:bottom="1440" w:gutter="0" w:footer="0" w:header="0"/>
        </w:sectPr>
      </w:pPr>
    </w:p>
    <w:bookmarkStart w:id="187" w:name="page188"/>
    <w:bookmarkEnd w:id="187"/>
    <w:p>
      <w:pPr>
        <w:ind w:left="3660"/>
        <w:spacing w:after="0"/>
        <w:rPr>
          <w:sz w:val="20"/>
          <w:szCs w:val="20"/>
          <w:color w:val="auto"/>
        </w:rPr>
      </w:pPr>
      <w:r>
        <w:rPr>
          <w:rFonts w:ascii="Arial" w:cs="Arial" w:eastAsia="Arial" w:hAnsi="Arial"/>
          <w:sz w:val="16"/>
          <w:szCs w:val="16"/>
          <w:color w:val="auto"/>
        </w:rPr>
        <w:t>(including interest on past due interest) shall be due and payable upon demand.</w:t>
      </w:r>
    </w:p>
    <w:p>
      <w:pPr>
        <w:spacing w:after="0" w:line="262" w:lineRule="exact"/>
        <w:rPr>
          <w:sz w:val="20"/>
          <w:szCs w:val="20"/>
          <w:color w:val="auto"/>
        </w:rPr>
      </w:pPr>
    </w:p>
    <w:p>
      <w:pPr>
        <w:jc w:val="both"/>
        <w:ind w:left="36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means (a) with respect to any Obligation for which a rate is specified, a rate per annum equal to two percent (2%) in excess of the rate</w:t>
      </w:r>
    </w:p>
    <w:tbl>
      <w:tblPr>
        <w:tblLayout w:type="fixed"/>
        <w:tblInd w:w="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tcPr>
          <w:p>
            <w:pPr>
              <w:ind w:left="1120"/>
              <w:spacing w:after="0" w:line="214" w:lineRule="exact"/>
              <w:rPr>
                <w:sz w:val="20"/>
                <w:szCs w:val="20"/>
                <w:color w:val="auto"/>
              </w:rPr>
            </w:pPr>
            <w:r>
              <w:rPr>
                <w:rFonts w:ascii="Arial" w:cs="Arial" w:eastAsia="Arial" w:hAnsi="Arial"/>
                <w:sz w:val="20"/>
                <w:szCs w:val="20"/>
                <w:color w:val="auto"/>
                <w:w w:val="92"/>
              </w:rPr>
              <w:t>otherwise applicable thereto, and (b) with respect to any Obligation for which</w:t>
            </w:r>
          </w:p>
        </w:tc>
      </w:tr>
      <w:tr>
        <w:trPr>
          <w:trHeight w:val="230"/>
        </w:trPr>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w w:val="93"/>
              </w:rPr>
              <w:t>a rate is not specified or available, a rate per annum equal to the Base Rate</w:t>
            </w:r>
          </w:p>
        </w:tc>
      </w:tr>
      <w:tr>
        <w:trPr>
          <w:trHeight w:val="229"/>
        </w:trPr>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i w:val="1"/>
                <w:iCs w:val="1"/>
                <w:color w:val="auto"/>
                <w:w w:val="90"/>
              </w:rPr>
              <w:t xml:space="preserve">plus </w:t>
            </w:r>
            <w:r>
              <w:rPr>
                <w:rFonts w:ascii="Arial" w:cs="Arial" w:eastAsia="Arial" w:hAnsi="Arial"/>
                <w:sz w:val="20"/>
                <w:szCs w:val="20"/>
                <w:color w:val="auto"/>
                <w:w w:val="90"/>
              </w:rPr>
              <w:t>the Applicable Margin for Base Rate loans</w:t>
            </w:r>
            <w:r>
              <w:rPr>
                <w:rFonts w:ascii="Arial" w:cs="Arial" w:eastAsia="Arial" w:hAnsi="Arial"/>
                <w:sz w:val="20"/>
                <w:szCs w:val="20"/>
                <w:i w:val="1"/>
                <w:iCs w:val="1"/>
                <w:color w:val="auto"/>
                <w:w w:val="90"/>
              </w:rPr>
              <w:t xml:space="preserve"> plus </w:t>
            </w:r>
            <w:r>
              <w:rPr>
                <w:rFonts w:ascii="Arial" w:cs="Arial" w:eastAsia="Arial" w:hAnsi="Arial"/>
                <w:sz w:val="20"/>
                <w:szCs w:val="20"/>
                <w:color w:val="auto"/>
                <w:w w:val="90"/>
              </w:rPr>
              <w:t>two percent (2%), in each</w:t>
            </w:r>
          </w:p>
        </w:tc>
      </w:tr>
      <w:tr>
        <w:trPr>
          <w:trHeight w:val="250"/>
        </w:trPr>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case, to the fullest extent permitted by applicable law.</w:t>
            </w:r>
          </w:p>
        </w:tc>
      </w:tr>
      <w:tr>
        <w:trPr>
          <w:trHeight w:val="414"/>
        </w:trPr>
        <w:tc>
          <w:tcPr>
            <w:tcW w:w="2540" w:type="dxa"/>
            <w:vAlign w:val="bottom"/>
            <w:gridSpan w:val="2"/>
          </w:tcPr>
          <w:p>
            <w:pPr>
              <w:spacing w:after="0"/>
              <w:rPr>
                <w:sz w:val="20"/>
                <w:szCs w:val="20"/>
                <w:color w:val="auto"/>
              </w:rPr>
            </w:pPr>
            <w:r>
              <w:rPr>
                <w:rFonts w:ascii="Arial" w:cs="Arial" w:eastAsia="Arial" w:hAnsi="Arial"/>
                <w:sz w:val="20"/>
                <w:szCs w:val="20"/>
                <w:color w:val="auto"/>
              </w:rPr>
              <w:t>Commitment Fee:</w:t>
            </w:r>
          </w:p>
        </w:tc>
        <w:tc>
          <w:tcPr>
            <w:tcW w:w="7380" w:type="dxa"/>
            <w:vAlign w:val="bottom"/>
          </w:tcPr>
          <w:p>
            <w:pPr>
              <w:ind w:left="1120"/>
              <w:spacing w:after="0"/>
              <w:rPr>
                <w:sz w:val="20"/>
                <w:szCs w:val="20"/>
                <w:color w:val="auto"/>
              </w:rPr>
            </w:pPr>
            <w:r>
              <w:rPr>
                <w:rFonts w:ascii="Arial" w:cs="Arial" w:eastAsia="Arial" w:hAnsi="Arial"/>
                <w:sz w:val="20"/>
                <w:szCs w:val="20"/>
                <w:color w:val="auto"/>
                <w:w w:val="94"/>
              </w:rPr>
              <w:t>Commencing on the Closing Date, a commitment fee of (a) until delivery of</w:t>
            </w:r>
          </w:p>
        </w:tc>
      </w:tr>
      <w:tr>
        <w:trPr>
          <w:trHeight w:val="233"/>
        </w:trPr>
        <w:tc>
          <w:tcPr>
            <w:tcW w:w="138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w w:val="91"/>
              </w:rPr>
              <w:t>financial statements and a compliance certificate for the first full fiscal quarter</w:t>
            </w:r>
          </w:p>
        </w:tc>
      </w:tr>
      <w:tr>
        <w:trPr>
          <w:trHeight w:val="246"/>
        </w:trPr>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w w:val="96"/>
              </w:rPr>
              <w:t>of the Borrower ending after the Closing Date, 0.30% per annum, and (b)</w:t>
            </w:r>
          </w:p>
        </w:tc>
      </w:tr>
    </w:tbl>
    <w:p>
      <w:pPr>
        <w:jc w:val="both"/>
        <w:ind w:left="3660" w:right="20"/>
        <w:spacing w:after="0" w:line="266" w:lineRule="auto"/>
        <w:rPr>
          <w:sz w:val="20"/>
          <w:szCs w:val="20"/>
          <w:color w:val="auto"/>
        </w:rPr>
      </w:pPr>
      <w:r>
        <w:rPr>
          <w:rFonts w:ascii="Arial" w:cs="Arial" w:eastAsia="Arial" w:hAnsi="Arial"/>
          <w:sz w:val="18"/>
          <w:szCs w:val="18"/>
          <w:color w:val="auto"/>
        </w:rPr>
        <w:t>thereafter, a percentage per annum to be determined in accordance with the performance pricing grid set forth below, shall be payable on the actual daily</w:t>
      </w: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40" w:type="dxa"/>
            <w:vAlign w:val="bottom"/>
          </w:tcPr>
          <w:p>
            <w:pPr>
              <w:ind w:left="980"/>
              <w:spacing w:after="0" w:line="213" w:lineRule="exact"/>
              <w:rPr>
                <w:sz w:val="20"/>
                <w:szCs w:val="20"/>
                <w:color w:val="auto"/>
              </w:rPr>
            </w:pPr>
            <w:r>
              <w:rPr>
                <w:rFonts w:ascii="Arial" w:cs="Arial" w:eastAsia="Arial" w:hAnsi="Arial"/>
                <w:sz w:val="20"/>
                <w:szCs w:val="20"/>
                <w:color w:val="auto"/>
                <w:w w:val="91"/>
              </w:rPr>
              <w:t>unused portions of the Revolving Facility. Such fee shall be payable quarterly</w:t>
            </w:r>
          </w:p>
        </w:tc>
      </w:tr>
      <w:tr>
        <w:trPr>
          <w:trHeight w:val="229"/>
        </w:trPr>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40" w:type="dxa"/>
            <w:vAlign w:val="bottom"/>
          </w:tcPr>
          <w:p>
            <w:pPr>
              <w:ind w:left="980"/>
              <w:spacing w:after="0"/>
              <w:rPr>
                <w:sz w:val="20"/>
                <w:szCs w:val="20"/>
                <w:color w:val="auto"/>
              </w:rPr>
            </w:pPr>
            <w:r>
              <w:rPr>
                <w:rFonts w:ascii="Arial" w:cs="Arial" w:eastAsia="Arial" w:hAnsi="Arial"/>
                <w:sz w:val="20"/>
                <w:szCs w:val="20"/>
                <w:color w:val="auto"/>
                <w:w w:val="92"/>
              </w:rPr>
              <w:t>in arrears, commencing on the first quarterly payment date to occur after the</w:t>
            </w:r>
          </w:p>
        </w:tc>
      </w:tr>
      <w:tr>
        <w:trPr>
          <w:trHeight w:val="230"/>
        </w:trPr>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40" w:type="dxa"/>
            <w:vAlign w:val="bottom"/>
          </w:tcPr>
          <w:p>
            <w:pPr>
              <w:ind w:left="980"/>
              <w:spacing w:after="0"/>
              <w:rPr>
                <w:sz w:val="20"/>
                <w:szCs w:val="20"/>
                <w:color w:val="auto"/>
              </w:rPr>
            </w:pPr>
            <w:r>
              <w:rPr>
                <w:rFonts w:ascii="Arial" w:cs="Arial" w:eastAsia="Arial" w:hAnsi="Arial"/>
                <w:sz w:val="20"/>
                <w:szCs w:val="20"/>
                <w:color w:val="auto"/>
              </w:rPr>
              <w:t>Closing Date.  Swingline Loans will not be considered utilization of the</w:t>
            </w:r>
          </w:p>
        </w:tc>
      </w:tr>
      <w:tr>
        <w:trPr>
          <w:trHeight w:val="250"/>
        </w:trPr>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40" w:type="dxa"/>
            <w:vAlign w:val="bottom"/>
          </w:tcPr>
          <w:p>
            <w:pPr>
              <w:ind w:left="980"/>
              <w:spacing w:after="0"/>
              <w:rPr>
                <w:sz w:val="20"/>
                <w:szCs w:val="20"/>
                <w:color w:val="auto"/>
              </w:rPr>
            </w:pPr>
            <w:r>
              <w:rPr>
                <w:rFonts w:ascii="Arial" w:cs="Arial" w:eastAsia="Arial" w:hAnsi="Arial"/>
                <w:sz w:val="20"/>
                <w:szCs w:val="20"/>
                <w:color w:val="auto"/>
              </w:rPr>
              <w:t>Revolving Facility for purposes of calculating the commitment fee.</w:t>
            </w:r>
          </w:p>
        </w:tc>
      </w:tr>
      <w:tr>
        <w:trPr>
          <w:trHeight w:val="414"/>
        </w:trPr>
        <w:tc>
          <w:tcPr>
            <w:tcW w:w="2680" w:type="dxa"/>
            <w:vAlign w:val="bottom"/>
            <w:gridSpan w:val="2"/>
          </w:tcPr>
          <w:p>
            <w:pPr>
              <w:spacing w:after="0"/>
              <w:rPr>
                <w:sz w:val="20"/>
                <w:szCs w:val="20"/>
                <w:color w:val="auto"/>
              </w:rPr>
            </w:pPr>
            <w:r>
              <w:rPr>
                <w:rFonts w:ascii="Arial" w:cs="Arial" w:eastAsia="Arial" w:hAnsi="Arial"/>
                <w:sz w:val="20"/>
                <w:szCs w:val="20"/>
                <w:color w:val="auto"/>
              </w:rPr>
              <w:t>Letter of Credit Fees:</w:t>
            </w:r>
          </w:p>
        </w:tc>
        <w:tc>
          <w:tcPr>
            <w:tcW w:w="7240" w:type="dxa"/>
            <w:vAlign w:val="bottom"/>
          </w:tcPr>
          <w:p>
            <w:pPr>
              <w:ind w:left="980"/>
              <w:spacing w:after="0"/>
              <w:rPr>
                <w:sz w:val="20"/>
                <w:szCs w:val="20"/>
                <w:color w:val="auto"/>
              </w:rPr>
            </w:pPr>
            <w:r>
              <w:rPr>
                <w:rFonts w:ascii="Arial" w:cs="Arial" w:eastAsia="Arial" w:hAnsi="Arial"/>
                <w:sz w:val="20"/>
                <w:szCs w:val="20"/>
                <w:color w:val="auto"/>
                <w:w w:val="90"/>
              </w:rPr>
              <w:t>Letter of Credit fees shall be payable on the maximum amount available to be</w:t>
            </w:r>
          </w:p>
        </w:tc>
      </w:tr>
      <w:tr>
        <w:trPr>
          <w:trHeight w:val="20"/>
        </w:trPr>
        <w:tc>
          <w:tcPr>
            <w:tcW w:w="1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3660" w:right="20"/>
        <w:spacing w:after="0" w:line="270" w:lineRule="auto"/>
        <w:rPr>
          <w:sz w:val="20"/>
          <w:szCs w:val="20"/>
          <w:color w:val="auto"/>
        </w:rPr>
      </w:pPr>
      <w:r>
        <w:rPr>
          <w:rFonts w:ascii="Arial" w:cs="Arial" w:eastAsia="Arial" w:hAnsi="Arial"/>
          <w:sz w:val="18"/>
          <w:szCs w:val="18"/>
          <w:color w:val="auto"/>
        </w:rPr>
        <w:t>drawn under each Letter of Credit at a rate per annum equal to the Applicable Margin from time to time applicable to LIBOR loans. Such fees with respect to any Letter of Credit shall be (a) payable quarterly in arrears, commencing on the first quarterly payment date to occur after the issuance of such Letter of</w:t>
      </w: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80" w:type="dxa"/>
            <w:vAlign w:val="bottom"/>
            <w:gridSpan w:val="4"/>
          </w:tcPr>
          <w:p>
            <w:pPr>
              <w:spacing w:after="0" w:line="216" w:lineRule="exact"/>
              <w:rPr>
                <w:sz w:val="20"/>
                <w:szCs w:val="20"/>
                <w:color w:val="auto"/>
              </w:rPr>
            </w:pPr>
            <w:r>
              <w:rPr>
                <w:rFonts w:ascii="Arial" w:cs="Arial" w:eastAsia="Arial" w:hAnsi="Arial"/>
                <w:sz w:val="20"/>
                <w:szCs w:val="20"/>
                <w:color w:val="auto"/>
                <w:w w:val="95"/>
              </w:rPr>
              <w:t>Credit, and (b) shared proportionately by the Lenders under the Revolving</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gridSpan w:val="4"/>
          </w:tcPr>
          <w:p>
            <w:pPr>
              <w:spacing w:after="0"/>
              <w:rPr>
                <w:sz w:val="20"/>
                <w:szCs w:val="20"/>
                <w:color w:val="auto"/>
              </w:rPr>
            </w:pPr>
            <w:r>
              <w:rPr>
                <w:rFonts w:ascii="Arial" w:cs="Arial" w:eastAsia="Arial" w:hAnsi="Arial"/>
                <w:sz w:val="20"/>
                <w:szCs w:val="20"/>
                <w:color w:val="auto"/>
                <w:w w:val="95"/>
              </w:rPr>
              <w:t>Facility.  In addition, a fronting fee shall be payable to the L/C Issuer for its</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20"/>
                <w:szCs w:val="20"/>
                <w:color w:val="auto"/>
                <w:w w:val="95"/>
              </w:rPr>
              <w:t>own account, in an amount to be mutually agreed.</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3660" w:type="dxa"/>
            <w:vAlign w:val="bottom"/>
            <w:gridSpan w:val="5"/>
          </w:tcPr>
          <w:p>
            <w:pPr>
              <w:spacing w:after="0"/>
              <w:rPr>
                <w:sz w:val="20"/>
                <w:szCs w:val="20"/>
                <w:color w:val="auto"/>
              </w:rPr>
            </w:pPr>
            <w:r>
              <w:rPr>
                <w:rFonts w:ascii="Arial" w:cs="Arial" w:eastAsia="Arial" w:hAnsi="Arial"/>
                <w:sz w:val="20"/>
                <w:szCs w:val="20"/>
                <w:color w:val="auto"/>
              </w:rPr>
              <w:t>Performance Pricing:</w:t>
            </w:r>
          </w:p>
        </w:tc>
        <w:tc>
          <w:tcPr>
            <w:tcW w:w="6280" w:type="dxa"/>
            <w:vAlign w:val="bottom"/>
            <w:gridSpan w:val="4"/>
          </w:tcPr>
          <w:p>
            <w:pPr>
              <w:spacing w:after="0"/>
              <w:rPr>
                <w:sz w:val="20"/>
                <w:szCs w:val="20"/>
                <w:color w:val="auto"/>
              </w:rPr>
            </w:pPr>
            <w:r>
              <w:rPr>
                <w:rFonts w:ascii="Arial" w:cs="Arial" w:eastAsia="Arial" w:hAnsi="Arial"/>
                <w:sz w:val="20"/>
                <w:szCs w:val="20"/>
                <w:color w:val="auto"/>
                <w:w w:val="91"/>
              </w:rPr>
              <w:t>The Applicable Margin with respect to LIBOR loans, Base Rate loans and the</w:t>
            </w:r>
          </w:p>
        </w:tc>
        <w:tc>
          <w:tcPr>
            <w:tcW w:w="0" w:type="dxa"/>
            <w:vAlign w:val="bottom"/>
          </w:tcPr>
          <w:p>
            <w:pPr>
              <w:spacing w:after="0"/>
              <w:rPr>
                <w:sz w:val="1"/>
                <w:szCs w:val="1"/>
                <w:color w:val="auto"/>
              </w:rPr>
            </w:pPr>
          </w:p>
        </w:tc>
      </w:tr>
      <w:tr>
        <w:trPr>
          <w:trHeight w:val="233"/>
        </w:trPr>
        <w:tc>
          <w:tcPr>
            <w:tcW w:w="16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80" w:type="dxa"/>
            <w:vAlign w:val="bottom"/>
            <w:gridSpan w:val="4"/>
          </w:tcPr>
          <w:p>
            <w:pPr>
              <w:spacing w:after="0"/>
              <w:rPr>
                <w:sz w:val="20"/>
                <w:szCs w:val="20"/>
                <w:color w:val="auto"/>
              </w:rPr>
            </w:pPr>
            <w:r>
              <w:rPr>
                <w:rFonts w:ascii="Arial" w:cs="Arial" w:eastAsia="Arial" w:hAnsi="Arial"/>
                <w:sz w:val="20"/>
                <w:szCs w:val="20"/>
                <w:color w:val="auto"/>
                <w:w w:val="89"/>
              </w:rPr>
              <w:t>commitment fee shall be the following percentages per annum, based upon the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gridSpan w:val="4"/>
          </w:tcPr>
          <w:p>
            <w:pPr>
              <w:spacing w:after="0"/>
              <w:rPr>
                <w:sz w:val="20"/>
                <w:szCs w:val="20"/>
                <w:color w:val="auto"/>
              </w:rPr>
            </w:pPr>
            <w:r>
              <w:rPr>
                <w:rFonts w:ascii="Arial" w:cs="Arial" w:eastAsia="Arial" w:hAnsi="Arial"/>
                <w:sz w:val="20"/>
                <w:szCs w:val="20"/>
                <w:color w:val="auto"/>
                <w:w w:val="98"/>
              </w:rPr>
              <w:t>Consolidated Leverage Ratio as set forth in the most recent compliance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gridSpan w:val="4"/>
          </w:tcPr>
          <w:p>
            <w:pPr>
              <w:spacing w:after="0"/>
              <w:rPr>
                <w:sz w:val="20"/>
                <w:szCs w:val="20"/>
                <w:color w:val="auto"/>
              </w:rPr>
            </w:pPr>
            <w:r>
              <w:rPr>
                <w:rFonts w:ascii="Arial" w:cs="Arial" w:eastAsia="Arial" w:hAnsi="Arial"/>
                <w:sz w:val="20"/>
                <w:szCs w:val="20"/>
                <w:color w:val="auto"/>
                <w:w w:val="97"/>
              </w:rPr>
              <w:t>certificate received by the Administrative Agent pursuant to the Definitive</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20"/>
                <w:szCs w:val="20"/>
                <w:color w:val="auto"/>
              </w:rPr>
              <w:t>Documentation:</w:t>
            </w:r>
          </w:p>
        </w:tc>
        <w:tc>
          <w:tcPr>
            <w:tcW w:w="20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6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64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Consolidated</w:t>
            </w:r>
          </w:p>
        </w:tc>
        <w:tc>
          <w:tcPr>
            <w:tcW w:w="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LIBOR Loans</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Base Rate Loans</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Commitment Fee</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640" w:type="dxa"/>
            <w:vAlign w:val="bottom"/>
            <w:gridSpan w:val="3"/>
            <w:vMerge w:val="restart"/>
          </w:tcPr>
          <w:p>
            <w:pPr>
              <w:jc w:val="center"/>
              <w:ind w:left="321"/>
              <w:spacing w:after="0"/>
              <w:rPr>
                <w:sz w:val="20"/>
                <w:szCs w:val="20"/>
                <w:color w:val="auto"/>
              </w:rPr>
            </w:pPr>
            <w:r>
              <w:rPr>
                <w:rFonts w:ascii="Arial" w:cs="Arial" w:eastAsia="Arial" w:hAnsi="Arial"/>
                <w:sz w:val="20"/>
                <w:szCs w:val="20"/>
                <w:color w:val="auto"/>
                <w:w w:val="89"/>
              </w:rPr>
              <w:t>Leverage Ratio</w:t>
            </w:r>
          </w:p>
        </w:tc>
        <w:tc>
          <w:tcPr>
            <w:tcW w:w="44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vMerge w:val="continue"/>
          </w:tcPr>
          <w:p>
            <w:pPr>
              <w:spacing w:after="0"/>
              <w:rPr>
                <w:sz w:val="12"/>
                <w:szCs w:val="12"/>
                <w:color w:val="auto"/>
              </w:rPr>
            </w:pPr>
          </w:p>
        </w:tc>
        <w:tc>
          <w:tcPr>
            <w:tcW w:w="2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16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2"/>
          </w:tcPr>
          <w:p>
            <w:pPr>
              <w:jc w:val="center"/>
              <w:ind w:right="100"/>
              <w:spacing w:after="0" w:line="183" w:lineRule="exact"/>
              <w:rPr>
                <w:sz w:val="20"/>
                <w:szCs w:val="20"/>
                <w:color w:val="auto"/>
              </w:rPr>
            </w:pPr>
            <w:r>
              <w:rPr>
                <w:rFonts w:ascii="Arial" w:cs="Arial" w:eastAsia="Arial" w:hAnsi="Arial"/>
                <w:sz w:val="20"/>
                <w:szCs w:val="20"/>
                <w:color w:val="auto"/>
                <w:w w:val="91"/>
              </w:rPr>
              <w:t>&lt; 1.00 to 1.0</w:t>
            </w:r>
          </w:p>
        </w:tc>
        <w:tc>
          <w:tcPr>
            <w:tcW w:w="4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1.50%</w:t>
            </w:r>
          </w:p>
        </w:tc>
        <w:tc>
          <w:tcPr>
            <w:tcW w:w="20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0.50%</w:t>
            </w:r>
          </w:p>
        </w:tc>
        <w:tc>
          <w:tcPr>
            <w:tcW w:w="2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0.20%</w:t>
            </w:r>
          </w:p>
        </w:tc>
        <w:tc>
          <w:tcPr>
            <w:tcW w:w="0" w:type="dxa"/>
            <w:vAlign w:val="bottom"/>
          </w:tcPr>
          <w:p>
            <w:pPr>
              <w:spacing w:after="0"/>
              <w:rPr>
                <w:sz w:val="1"/>
                <w:szCs w:val="1"/>
                <w:color w:val="auto"/>
              </w:rPr>
            </w:pPr>
          </w:p>
        </w:tc>
      </w:tr>
      <w:tr>
        <w:trPr>
          <w:trHeight w:val="61"/>
        </w:trPr>
        <w:tc>
          <w:tcPr>
            <w:tcW w:w="164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gridSpan w:val="4"/>
          </w:tcPr>
          <w:p>
            <w:pPr>
              <w:jc w:val="center"/>
              <w:spacing w:after="0" w:line="207" w:lineRule="exact"/>
              <w:rPr>
                <w:sz w:val="20"/>
                <w:szCs w:val="20"/>
                <w:color w:val="auto"/>
              </w:rPr>
            </w:pPr>
            <w:r>
              <w:rPr>
                <w:rFonts w:ascii="Arial" w:cs="Arial" w:eastAsia="Arial" w:hAnsi="Arial"/>
                <w:sz w:val="20"/>
                <w:szCs w:val="20"/>
                <w:color w:val="auto"/>
                <w:w w:val="89"/>
              </w:rPr>
              <w:t>&gt; 1.00 to 1.0 but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0.75%</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jc w:val="center"/>
              <w:ind w:right="100"/>
              <w:spacing w:after="0" w:line="206" w:lineRule="exact"/>
              <w:rPr>
                <w:sz w:val="20"/>
                <w:szCs w:val="20"/>
                <w:color w:val="auto"/>
              </w:rPr>
            </w:pPr>
            <w:r>
              <w:rPr>
                <w:rFonts w:ascii="Arial" w:cs="Arial" w:eastAsia="Arial" w:hAnsi="Arial"/>
                <w:sz w:val="20"/>
                <w:szCs w:val="20"/>
                <w:color w:val="auto"/>
                <w:w w:val="91"/>
              </w:rPr>
              <w:t>&lt; 1.75 to 1.0</w:t>
            </w:r>
          </w:p>
        </w:tc>
        <w:tc>
          <w:tcPr>
            <w:tcW w:w="44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64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gridSpan w:val="4"/>
          </w:tcPr>
          <w:p>
            <w:pPr>
              <w:jc w:val="center"/>
              <w:spacing w:after="0" w:line="207" w:lineRule="exact"/>
              <w:rPr>
                <w:sz w:val="20"/>
                <w:szCs w:val="20"/>
                <w:color w:val="auto"/>
              </w:rPr>
            </w:pPr>
            <w:r>
              <w:rPr>
                <w:rFonts w:ascii="Arial" w:cs="Arial" w:eastAsia="Arial" w:hAnsi="Arial"/>
                <w:sz w:val="20"/>
                <w:szCs w:val="20"/>
                <w:color w:val="auto"/>
                <w:w w:val="89"/>
              </w:rPr>
              <w:t>&gt; 1.75 to 1.0 but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2.00%</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0.30%</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jc w:val="center"/>
              <w:ind w:right="100"/>
              <w:spacing w:after="0" w:line="206" w:lineRule="exact"/>
              <w:rPr>
                <w:sz w:val="20"/>
                <w:szCs w:val="20"/>
                <w:color w:val="auto"/>
              </w:rPr>
            </w:pPr>
            <w:r>
              <w:rPr>
                <w:rFonts w:ascii="Arial" w:cs="Arial" w:eastAsia="Arial" w:hAnsi="Arial"/>
                <w:sz w:val="20"/>
                <w:szCs w:val="20"/>
                <w:color w:val="auto"/>
                <w:w w:val="91"/>
              </w:rPr>
              <w:t>&lt; 2.50 to 1.0</w:t>
            </w:r>
          </w:p>
        </w:tc>
        <w:tc>
          <w:tcPr>
            <w:tcW w:w="44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64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1"/>
              </w:rPr>
              <w:t>&gt; 2.50 to 1.0</w:t>
            </w:r>
          </w:p>
        </w:tc>
        <w:tc>
          <w:tcPr>
            <w:tcW w:w="4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2.25%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22" w:right="9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2940" w:type="dxa"/>
            <w:vAlign w:val="bottom"/>
            <w:gridSpan w:val="3"/>
          </w:tcPr>
          <w:p>
            <w:pPr>
              <w:spacing w:after="0"/>
              <w:rPr>
                <w:sz w:val="20"/>
                <w:szCs w:val="20"/>
                <w:color w:val="auto"/>
              </w:rPr>
            </w:pPr>
            <w:r>
              <w:rPr>
                <w:rFonts w:ascii="Arial" w:cs="Arial" w:eastAsia="Arial" w:hAnsi="Arial"/>
                <w:sz w:val="20"/>
                <w:szCs w:val="20"/>
                <w:color w:val="auto"/>
              </w:rPr>
              <w:t>Calculation of Interest/Fees:</w:t>
            </w:r>
          </w:p>
        </w:tc>
        <w:tc>
          <w:tcPr>
            <w:tcW w:w="6980" w:type="dxa"/>
            <w:vAlign w:val="bottom"/>
          </w:tcPr>
          <w:p>
            <w:pPr>
              <w:ind w:left="680"/>
              <w:spacing w:after="0"/>
              <w:rPr>
                <w:sz w:val="20"/>
                <w:szCs w:val="20"/>
                <w:color w:val="auto"/>
              </w:rPr>
            </w:pPr>
            <w:r>
              <w:rPr>
                <w:rFonts w:ascii="Arial" w:cs="Arial" w:eastAsia="Arial" w:hAnsi="Arial"/>
                <w:sz w:val="20"/>
                <w:szCs w:val="20"/>
                <w:color w:val="auto"/>
                <w:w w:val="92"/>
              </w:rPr>
              <w:t>Computations of interest for Base Rate loans shall be made on the basis of a</w:t>
            </w:r>
          </w:p>
        </w:tc>
      </w:tr>
      <w:tr>
        <w:trPr>
          <w:trHeight w:val="233"/>
        </w:trPr>
        <w:tc>
          <w:tcPr>
            <w:tcW w:w="7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6"/>
              </w:rPr>
              <w:t>year of 365/366 days.  All other computations of fees and interest shall be</w:t>
            </w:r>
          </w:p>
        </w:tc>
      </w:tr>
      <w:tr>
        <w:trPr>
          <w:trHeight w:val="250"/>
        </w:trPr>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rPr>
              <w:t>made on the basis of a 360-day year and actual days elapsed.</w:t>
            </w:r>
          </w:p>
        </w:tc>
      </w:tr>
      <w:tr>
        <w:trPr>
          <w:trHeight w:val="414"/>
        </w:trPr>
        <w:tc>
          <w:tcPr>
            <w:tcW w:w="2940" w:type="dxa"/>
            <w:vAlign w:val="bottom"/>
            <w:gridSpan w:val="3"/>
          </w:tcPr>
          <w:p>
            <w:pPr>
              <w:spacing w:after="0"/>
              <w:rPr>
                <w:sz w:val="20"/>
                <w:szCs w:val="20"/>
                <w:color w:val="auto"/>
              </w:rPr>
            </w:pPr>
            <w:r>
              <w:rPr>
                <w:rFonts w:ascii="Arial" w:cs="Arial" w:eastAsia="Arial" w:hAnsi="Arial"/>
                <w:sz w:val="20"/>
                <w:szCs w:val="20"/>
                <w:color w:val="auto"/>
              </w:rPr>
              <w:t>Expenses:</w:t>
            </w:r>
          </w:p>
        </w:tc>
        <w:tc>
          <w:tcPr>
            <w:tcW w:w="6980" w:type="dxa"/>
            <w:vAlign w:val="bottom"/>
          </w:tcPr>
          <w:p>
            <w:pPr>
              <w:ind w:left="680"/>
              <w:spacing w:after="0"/>
              <w:rPr>
                <w:sz w:val="20"/>
                <w:szCs w:val="20"/>
                <w:color w:val="auto"/>
              </w:rPr>
            </w:pPr>
            <w:r>
              <w:rPr>
                <w:rFonts w:ascii="Arial" w:cs="Arial" w:eastAsia="Arial" w:hAnsi="Arial"/>
                <w:sz w:val="20"/>
                <w:szCs w:val="20"/>
                <w:color w:val="auto"/>
                <w:w w:val="92"/>
              </w:rPr>
              <w:t>The Credit Parties shall pay (a) all reasonable and documented out-of-pocket</w:t>
            </w:r>
          </w:p>
        </w:tc>
      </w:tr>
      <w:tr>
        <w:trPr>
          <w:trHeight w:val="233"/>
        </w:trPr>
        <w:tc>
          <w:tcPr>
            <w:tcW w:w="76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2"/>
              </w:rPr>
              <w:t>expenses incurred by the Administrative Agent and its affiliates (including the</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4"/>
              </w:rPr>
              <w:t>reasonable and documented fees, disbursements and other charges of one</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0"/>
              </w:rPr>
              <w:t>primary counsel to the Administrative Agent and, if reasonably necessary, one</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0"/>
              </w:rPr>
              <w:t>local counsel for the Administrative Agent in each relevant jurisdiction and one</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1"/>
              </w:rPr>
              <w:t>specialty counsel for the Administrative Agent in each relevant specialty (and,</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7"/>
              </w:rPr>
              <w:t>solely in the case of an actual or potential conflict of interest of any of the</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4"/>
              </w:rPr>
              <w:t>foregoing counsel, one additional primary, local or specialty counsel, as the</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88"/>
              </w:rPr>
              <w:t>case may be, to the affected persons similarly situated and taken as a whole)) in</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2"/>
              </w:rPr>
              <w:t>connection with the syndication of the Facilities, the preparation, negotiation,</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2"/>
              </w:rPr>
              <w:t>execution, delivery and administration of the Definitive Documentation or any</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4"/>
              </w:rPr>
              <w:t>amendments, modifications or waivers of the provisions thereof (whether or</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7"/>
              </w:rPr>
              <w:t>not the transactions contemplated thereby shall be consummated), (b) all</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3"/>
              </w:rPr>
              <w:t>reasonable out-of-pocket expenses incurred by the L/C Issuer in connection</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5"/>
              </w:rPr>
              <w:t>with the issuance, amendment, extension, reinstatement or renewal of any</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7"/>
              </w:rPr>
              <w:t>Letter of Credit or any demand for payment thereunder, and (c) all out-of-</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rPr>
              <w:t>pocket expenses incurred by the Administrative Agent, any Lender, the</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6"/>
              </w:rPr>
              <w:t>Swingline  Lender  or  the  L/C  Issuer  (including  the  fees,  charges  and</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rPr>
              <w:t>disbursement of counsel for the Administrative Agent, any Lender, the</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5"/>
              </w:rPr>
              <w:t>Swingline Lender or the L/C Issuer), in connection with the enforcement or</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4"/>
              </w:rPr>
              <w:t>protection of its rights (i) in connection with the Definitive Documentation, or</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rPr>
              <w:t>(ii) in connection with loans made or Letters of Credit issued under the</w:t>
            </w:r>
          </w:p>
        </w:tc>
      </w:tr>
      <w:tr>
        <w:trPr>
          <w:trHeight w:val="230"/>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9"/>
              </w:rPr>
              <w:t>Facilities, including all such out-of-pocket expenses incurred during any</w:t>
            </w:r>
          </w:p>
        </w:tc>
      </w:tr>
      <w:tr>
        <w:trPr>
          <w:trHeight w:val="229"/>
        </w:trPr>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w w:val="95"/>
              </w:rPr>
              <w:t>workout, restructuring or negotiations in respect of such loans or Letters of</w:t>
            </w:r>
          </w:p>
        </w:tc>
      </w:tr>
      <w:tr>
        <w:trPr>
          <w:trHeight w:val="250"/>
        </w:trPr>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980" w:type="dxa"/>
            <w:vAlign w:val="bottom"/>
          </w:tcPr>
          <w:p>
            <w:pPr>
              <w:ind w:left="680"/>
              <w:spacing w:after="0"/>
              <w:rPr>
                <w:sz w:val="20"/>
                <w:szCs w:val="20"/>
                <w:color w:val="auto"/>
              </w:rPr>
            </w:pPr>
            <w:r>
              <w:rPr>
                <w:rFonts w:ascii="Arial" w:cs="Arial" w:eastAsia="Arial" w:hAnsi="Arial"/>
                <w:sz w:val="20"/>
                <w:szCs w:val="20"/>
                <w:color w:val="auto"/>
              </w:rPr>
              <w:t>Credit.</w:t>
            </w:r>
          </w:p>
        </w:tc>
      </w:tr>
      <w:tr>
        <w:trPr>
          <w:trHeight w:val="878"/>
        </w:trPr>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80" w:type="dxa"/>
            <w:vAlign w:val="bottom"/>
          </w:tcPr>
          <w:p>
            <w:pPr>
              <w:ind w:left="1800"/>
              <w:spacing w:after="0"/>
              <w:rPr>
                <w:sz w:val="20"/>
                <w:szCs w:val="20"/>
                <w:color w:val="auto"/>
              </w:rPr>
            </w:pPr>
            <w:r>
              <w:rPr>
                <w:rFonts w:ascii="Arial" w:cs="Arial" w:eastAsia="Arial" w:hAnsi="Arial"/>
                <w:sz w:val="20"/>
                <w:szCs w:val="20"/>
                <w:color w:val="auto"/>
              </w:rPr>
              <w:t>B-I-3</w:t>
            </w:r>
          </w:p>
        </w:tc>
      </w:tr>
      <w:tr>
        <w:trPr>
          <w:trHeight w:val="773"/>
        </w:trPr>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8" w:right="9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AeroVironment,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Summary of Additional Conditions</w:t>
      </w:r>
      <w:r>
        <w:rPr>
          <w:rFonts w:ascii="Arial" w:cs="Arial" w:eastAsia="Arial" w:hAnsi="Arial"/>
          <w:sz w:val="29"/>
          <w:szCs w:val="29"/>
          <w:color w:val="auto"/>
          <w:vertAlign w:val="superscript"/>
        </w:rPr>
        <w:t>2</w:t>
      </w:r>
    </w:p>
    <w:p>
      <w:pPr>
        <w:spacing w:after="0" w:line="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in all respects to the Limited Conditionality Provision, the effectiveness of the Definitive Documentation and the funding of the Necessary Acquisition Funds on the Closing Date shall be subject to the satisfaction (or waiver by all Commitment Parties) of the following conditions precedent:</w:t>
      </w:r>
    </w:p>
    <w:p>
      <w:pPr>
        <w:spacing w:after="0" w:line="78" w:lineRule="exact"/>
        <w:rPr>
          <w:sz w:val="20"/>
          <w:szCs w:val="20"/>
          <w:color w:val="auto"/>
        </w:rPr>
      </w:pPr>
    </w:p>
    <w:p>
      <w:pPr>
        <w:ind w:right="20" w:firstLine="656"/>
        <w:spacing w:after="0" w:line="260" w:lineRule="auto"/>
        <w:tabs>
          <w:tab w:leader="none" w:pos="151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Since the date of the Acquisition Agreement, there shall not have been a “Company Material Adverse Effect” (as defined in the Acquisition Agreement as in effect on the date of the Commitment Letter).</w:t>
      </w:r>
    </w:p>
    <w:p>
      <w:pPr>
        <w:spacing w:after="0" w:line="176" w:lineRule="exact"/>
        <w:rPr>
          <w:rFonts w:ascii="Arial" w:cs="Arial" w:eastAsia="Arial" w:hAnsi="Arial"/>
          <w:sz w:val="20"/>
          <w:szCs w:val="20"/>
          <w:color w:val="auto"/>
        </w:rPr>
      </w:pPr>
    </w:p>
    <w:p>
      <w:pPr>
        <w:jc w:val="both"/>
        <w:ind w:firstLine="656"/>
        <w:spacing w:after="0" w:line="254" w:lineRule="auto"/>
        <w:tabs>
          <w:tab w:leader="none" w:pos="130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Acquisition Agreement shall be in full force and effect. The Acquisition shall have been consummated, or substantially concurrently with the funding of the Necessary Acquisition Funds on the Closing Date shall be consummated, in all material respects in accordance with the terms of the Acquisition Agreement, without giving effect to any modifications or amendments thereto (which, for the avoidance of doubt, shall include any Schedule Supplement (as defined in the Acquisition Agreement (as in effect on the date of the Commitment Letter))) or consents or waivers thereto or thereunder by the Borrower or any of its affiliates that are material and adverse to the Lenders (in their respective capacities as such) or the Joint Lead Arrangers (in their respective capacities as such) without the prior consent of the Joint Lead Arrangers (such consent not to be unreasonably withheld, delayed or conditioned). For purposes of the condition set forth in this </w:t>
      </w:r>
      <w:r>
        <w:rPr>
          <w:rFonts w:ascii="Arial" w:cs="Arial" w:eastAsia="Arial" w:hAnsi="Arial"/>
          <w:sz w:val="19"/>
          <w:szCs w:val="19"/>
          <w:u w:val="single" w:color="auto"/>
          <w:color w:val="auto"/>
        </w:rPr>
        <w:t>Section 2</w:t>
      </w:r>
      <w:r>
        <w:rPr>
          <w:rFonts w:ascii="Arial" w:cs="Arial" w:eastAsia="Arial" w:hAnsi="Arial"/>
          <w:sz w:val="19"/>
          <w:szCs w:val="19"/>
          <w:color w:val="auto"/>
        </w:rPr>
        <w:t>, it is hereby understood and agreed that: (a) any reduction of the purchase price in connection with the Acquisition shall not be deemed to be material and adverse to the interests of the Lenders and the Joint Lead Arrangers if such reduction of the purchase price shall be allocated to a reduction in the amount of the Term Loan Facility; (b) any increase of the purchase price in connection with the Acquisition shall not be deemed to be material and adverse to the interests of the Lenders and the Joint Lead Arrangers if such increase of the purchase price is (i) funded with cash on the balance sheet of the Borrower and/or is satisfied by increasing the amount of common equity of the Borrower issued to the Sellers on the Closing Date, and (ii) in an aggregate amount not in excess of $100 million; and (c) any change to the definition of “Company Material Adverse Effect” shall be deemed material and adverse to the Lenders and the Joint Lead Arrangers.</w:t>
      </w:r>
    </w:p>
    <w:p>
      <w:pPr>
        <w:spacing w:after="0" w:line="186" w:lineRule="exact"/>
        <w:rPr>
          <w:rFonts w:ascii="Arial" w:cs="Arial" w:eastAsia="Arial" w:hAnsi="Arial"/>
          <w:sz w:val="19"/>
          <w:szCs w:val="19"/>
          <w:color w:val="auto"/>
        </w:rPr>
      </w:pPr>
    </w:p>
    <w:p>
      <w:pPr>
        <w:jc w:val="both"/>
        <w:ind w:firstLine="656"/>
        <w:spacing w:after="0" w:line="244" w:lineRule="auto"/>
        <w:tabs>
          <w:tab w:leader="none" w:pos="139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All representations and warranties in the Definitive Documentation shall be made as of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w:t>
      </w:r>
      <w:r>
        <w:rPr>
          <w:rFonts w:ascii="Arial" w:cs="Arial" w:eastAsia="Arial" w:hAnsi="Arial"/>
          <w:sz w:val="20"/>
          <w:szCs w:val="20"/>
          <w:color w:val="auto"/>
        </w:rPr>
        <w:t>, only the accuracy in all material respects (or in all respects if already qualified by materiality)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Specified Representations shall be a condition to funding of the Necessary Acquisition Funds on the Closing Date. The Specified Acquisition Agreement Representations shall be true and correct in all material respects (or in all respects if already qualified by materiality) on the Closing Date.</w:t>
      </w:r>
    </w:p>
    <w:p>
      <w:pPr>
        <w:spacing w:after="0" w:line="194" w:lineRule="exact"/>
        <w:rPr>
          <w:rFonts w:ascii="Arial" w:cs="Arial" w:eastAsia="Arial" w:hAnsi="Arial"/>
          <w:sz w:val="20"/>
          <w:szCs w:val="20"/>
          <w:color w:val="auto"/>
        </w:rPr>
      </w:pPr>
    </w:p>
    <w:p>
      <w:pPr>
        <w:ind w:right="20" w:firstLine="656"/>
        <w:spacing w:after="0" w:line="260" w:lineRule="auto"/>
        <w:tabs>
          <w:tab w:leader="none" w:pos="169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Refinancing shall have been, or substantially concurrently with the funding of the Necessary Acquisition Funds on the Closing Date shall be, consummated.</w:t>
      </w:r>
    </w:p>
    <w:p>
      <w:pPr>
        <w:spacing w:after="0" w:line="176" w:lineRule="exact"/>
        <w:rPr>
          <w:rFonts w:ascii="Arial" w:cs="Arial" w:eastAsia="Arial" w:hAnsi="Arial"/>
          <w:sz w:val="20"/>
          <w:szCs w:val="20"/>
          <w:color w:val="auto"/>
        </w:rPr>
      </w:pPr>
    </w:p>
    <w:p>
      <w:pPr>
        <w:ind w:right="20" w:firstLine="656"/>
        <w:spacing w:after="0" w:line="260" w:lineRule="auto"/>
        <w:tabs>
          <w:tab w:leader="none" w:pos="135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Prior to, or substantially concurrently with, the funding of the Necessary Acquisition Funds on the Closing Date, the Borrower shall have consummated the Equity Contribution.</w:t>
      </w:r>
    </w:p>
    <w:p>
      <w:pPr>
        <w:spacing w:after="0" w:line="176" w:lineRule="exact"/>
        <w:rPr>
          <w:rFonts w:ascii="Arial" w:cs="Arial" w:eastAsia="Arial" w:hAnsi="Arial"/>
          <w:sz w:val="20"/>
          <w:szCs w:val="20"/>
          <w:color w:val="auto"/>
        </w:rPr>
      </w:pPr>
    </w:p>
    <w:p>
      <w:pPr>
        <w:ind w:firstLine="656"/>
        <w:spacing w:after="0" w:line="260" w:lineRule="auto"/>
        <w:tabs>
          <w:tab w:leader="none" w:pos="143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Joint Lead Arrangers shall have received (a) audited annual consolidated financial statements of the Borrower and its subsidiaries for the three (3) most recently completed fiscal years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191770</wp:posOffset>
            </wp:positionV>
            <wp:extent cx="15684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 w:right="60" w:hanging="332"/>
        <w:spacing w:after="0" w:line="207" w:lineRule="auto"/>
        <w:tabs>
          <w:tab w:leader="none" w:pos="173" w:val="left"/>
        </w:tabs>
        <w:numPr>
          <w:ilvl w:val="0"/>
          <w:numId w:val="158"/>
        </w:numPr>
        <w:rPr>
          <w:rFonts w:ascii="Arial" w:cs="Arial" w:eastAsia="Arial" w:hAnsi="Arial"/>
          <w:sz w:val="27"/>
          <w:szCs w:val="27"/>
          <w:color w:val="auto"/>
          <w:vertAlign w:val="superscript"/>
        </w:rPr>
      </w:pPr>
      <w:r>
        <w:rPr>
          <w:rFonts w:ascii="Arial" w:cs="Arial" w:eastAsia="Arial" w:hAnsi="Arial"/>
          <w:sz w:val="18"/>
          <w:szCs w:val="18"/>
          <w:color w:val="auto"/>
        </w:rPr>
        <w:t xml:space="preserve">Capitalized terms used but not defined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shall have the meanings set forth in the Commitment Letter (including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90" w:name="page191"/>
    <w:bookmarkEnd w:id="190"/>
    <w:p>
      <w:pPr>
        <w:jc w:val="both"/>
        <w:spacing w:after="0" w:line="268" w:lineRule="auto"/>
        <w:rPr>
          <w:sz w:val="20"/>
          <w:szCs w:val="20"/>
          <w:color w:val="auto"/>
        </w:rPr>
      </w:pPr>
      <w:r>
        <w:rPr>
          <w:rFonts w:ascii="Arial" w:cs="Arial" w:eastAsia="Arial" w:hAnsi="Arial"/>
          <w:sz w:val="18"/>
          <w:szCs w:val="18"/>
          <w:color w:val="auto"/>
        </w:rPr>
        <w:t xml:space="preserve">Borrower ended at least ninety (90) days prior to the Closing Date, to include in each case a balance sheet and statements of income, cash flows and shareholders’ equity (including all footnotes to the foregoing, all in reasonable detail and setting forth in comparative form the corresponding figures as of the end of, and for, the applicable preceding fiscal year of the Borrower), (b) audited annual consolidated financial statements of the Target and its subsidiaries for the fiscal years of the Target ended December 31, 2018 and December 31, 2019, to include in each case a balance sheet and statements of income, cash flows and shareholders’ equity (including all footnotes to the foregoing, all in reasonable detail and setting forth in comparative form the corresponding figures as of the end of, and for, the applicable preceding fiscal year of the Target), (c) unaudited consolidated financial statements of the Borrower and its subsidiaries for each fiscal quarter of the Borrower ended after the close of its most recently ended fiscal year and at least forty-five (45) days prior to the Closing Date (other than the fourth fiscal quarter of the Borrower’s fiscal year), to include in each case a balance sheet and statements of income and cash flows, all in reasonable detail and setting forth in comparative form the corresponding figures as of the end of, and for the corresponding period in, the applicable preceding fiscal year of the Borrower, (d) unaudited consolidated financial statements of the Target and its subsidiaries for each fiscal quarter of the Target ended after the close of its most recently ended fiscal year and at least forty-five (45) days prior to the Closing Date (other than the fourth fiscal quarter of the Target’s fiscal year), to include in each case a balance sheet and statements of income and cash flows, all in reasonable detail and setting forth in comparative form the corresponding figures as of the end of, and for the corresponding period in, the applicable preceding fiscal year of the Target, and (e)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statements of the Borrower and its subsidiaries as of and for the twelve-month period ending on the last day of the most recently completed four-fiscal quarter period of the Borrower ended at least forty-five (45) days prior to the Closing Date (or at least ninety (90) days prior to the Closing Date if such four-fiscal quarter period of the Borrower is the end of the Borrower’s fiscal year), to include a balance sheet and statements of income, cash flows and shareholders’ equity, prepared after giving effect to the Transactions as if the Transactions had occurred as of such date (in the case of such balance sheet) or at the beginning of such period (in the case of such other financial statements). It is acknowledged and agreed that, as of the date of the Commitment Letter, the Joint Lead Arrangers have received the financial statements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w:t>
      </w:r>
    </w:p>
    <w:p>
      <w:pPr>
        <w:spacing w:after="0" w:line="177" w:lineRule="exact"/>
        <w:rPr>
          <w:sz w:val="20"/>
          <w:szCs w:val="20"/>
          <w:color w:val="auto"/>
        </w:rPr>
      </w:pPr>
    </w:p>
    <w:p>
      <w:pPr>
        <w:jc w:val="both"/>
        <w:ind w:firstLine="656"/>
        <w:spacing w:after="0" w:line="269" w:lineRule="auto"/>
        <w:tabs>
          <w:tab w:leader="none" w:pos="176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Credit Party shall have executed and delivered to the Administrative Agent the Definitive Documentation (which shall be consistent with the Commitment Letter and subject to the Limited Conditionality Provision) to which they are parties, and the Administrative Agent shall have received (a) a customary notice of borrowing with respect to the borrowing of the Necessary Acquisition Funds (including any customary funds flow or notice of account designation as may be required by the Administrative Agent for the disbursement of the Necessary Acquisition Funds and, if LIBOR loans are requested, a customary funding indemnity letter), (b) customary closing certificates and customary legal opinions,</w:t>
      </w:r>
    </w:p>
    <w:p>
      <w:pPr>
        <w:spacing w:after="0" w:line="1" w:lineRule="exact"/>
        <w:rPr>
          <w:rFonts w:ascii="Arial" w:cs="Arial" w:eastAsia="Arial" w:hAnsi="Arial"/>
          <w:sz w:val="18"/>
          <w:szCs w:val="18"/>
          <w:color w:val="auto"/>
        </w:rPr>
      </w:pPr>
    </w:p>
    <w:p>
      <w:pPr>
        <w:jc w:val="both"/>
        <w:ind w:firstLine="8"/>
        <w:spacing w:after="0" w:line="257" w:lineRule="auto"/>
        <w:tabs>
          <w:tab w:leader="none" w:pos="27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customary organizational and governing documents, evidence of authority and good standing (or equivalent) certificates for each Credit Party in such Credit Party’s state of organization, and (d) a solvency certificate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to this Summary of Additional Conditions from the Borrower’s chief financial officer certifying that the Borrower and its subsidiaries, on a consolidated basis after giving effect to the Transactions, are solvent.</w:t>
      </w:r>
    </w:p>
    <w:p>
      <w:pPr>
        <w:spacing w:after="0" w:line="182" w:lineRule="exact"/>
        <w:rPr>
          <w:rFonts w:ascii="Arial" w:cs="Arial" w:eastAsia="Arial" w:hAnsi="Arial"/>
          <w:sz w:val="19"/>
          <w:szCs w:val="19"/>
          <w:color w:val="auto"/>
        </w:rPr>
      </w:pPr>
    </w:p>
    <w:p>
      <w:pPr>
        <w:jc w:val="both"/>
        <w:ind w:firstLine="656"/>
        <w:spacing w:after="0" w:line="257" w:lineRule="auto"/>
        <w:tabs>
          <w:tab w:leader="none" w:pos="164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Administrative Agent shall have received, subject in all respects to the Limited Conditionality Provision, all documents and instruments required to create and perfect the Administrative Agent’s security interest in the Collateral (to the extent perfection in such Collateral is required by the Definitive Documentation), and all such documents and instruments necessary for the creation and perfection of such security interests shall have been executed and delivered by the relevant Credit Parties and, if applicable, be in proper form for filing (or reasonably satisfactory arrangements shall have been mutually agreed upon for the execution, delivery and filing of such documents and instruments substantially concurrently with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6" w:right="999" w:bottom="1440" w:gutter="0" w:footer="0" w:header="0"/>
        </w:sectPr>
      </w:pPr>
    </w:p>
    <w:bookmarkStart w:id="191" w:name="page192"/>
    <w:bookmarkEnd w:id="191"/>
    <w:p>
      <w:pPr>
        <w:jc w:val="both"/>
        <w:ind w:firstLine="656"/>
        <w:spacing w:after="0" w:line="273" w:lineRule="auto"/>
        <w:tabs>
          <w:tab w:leader="none" w:pos="13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least five (5) business days prior to the Closing Date, (a) the Administrative Agent and each Lender shall have received all documentation and other information about the Credit Parties as has been reasonably requested by the Administrative Agent or such Lender at least ten (10) business days prior to the Closing Date that is required by regulatory authorities under applicable “know your customer” and anti-money laundering rules and regulations, including the PATRIOT Act, and (b) if the Borrower qualifies as a “legal entity customer” under 31 CFR § 1010.230 (the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Regulation</w:t>
      </w:r>
      <w:r>
        <w:rPr>
          <w:rFonts w:ascii="Arial" w:cs="Arial" w:eastAsia="Arial" w:hAnsi="Arial"/>
          <w:sz w:val="18"/>
          <w:szCs w:val="18"/>
          <w:color w:val="auto"/>
        </w:rPr>
        <w:t>”), the Borrower shall have delivered to the Administrative Agent and each Lender requesting the same at least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 (10) business days prior to the Closing Date, a certification regarding beneficial ownership as required by the Beneficial Ownership Regulation (each such certification, a “</w:t>
      </w:r>
      <w:r>
        <w:rPr>
          <w:rFonts w:ascii="Arial" w:cs="Arial" w:eastAsia="Arial" w:hAnsi="Arial"/>
          <w:sz w:val="18"/>
          <w:szCs w:val="18"/>
          <w:b w:val="1"/>
          <w:bCs w:val="1"/>
          <w:i w:val="1"/>
          <w:iCs w:val="1"/>
          <w:color w:val="auto"/>
        </w:rPr>
        <w:t>Beneficial Ownership Certification</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All fees required to be paid on the Closing Date pursuant to the Commitment Letter and the Fee Letters, and all reasonable out-of-pocket expenses required to be paid on the Closing Date pursuant to the Commitment Letter, in each case shall have been paid to the extent invoiced at least three (3) business days (or such shorter period of time as the Borrower may agree) prior to the Closing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6" w:right="9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0"/>
          <w:szCs w:val="20"/>
          <w:u w:val="single" w:color="auto"/>
          <w:color w:val="auto"/>
        </w:rPr>
        <w:t>AeroVironment,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Summary of Additional Conditions – Annex I</w:t>
      </w:r>
    </w:p>
    <w:p>
      <w:pPr>
        <w:jc w:val="center"/>
        <w:spacing w:after="0"/>
        <w:rPr>
          <w:sz w:val="20"/>
          <w:szCs w:val="20"/>
          <w:color w:val="auto"/>
        </w:rPr>
      </w:pPr>
      <w:r>
        <w:rPr>
          <w:rFonts w:ascii="Arial" w:cs="Arial" w:eastAsia="Arial" w:hAnsi="Arial"/>
          <w:sz w:val="20"/>
          <w:szCs w:val="20"/>
          <w:u w:val="single" w:color="auto"/>
          <w:color w:val="auto"/>
        </w:rPr>
        <w:t>Form of Solvency Certificate</w:t>
      </w:r>
    </w:p>
    <w:p>
      <w:pPr>
        <w:spacing w:after="0" w:line="200" w:lineRule="exact"/>
        <w:rPr>
          <w:sz w:val="20"/>
          <w:szCs w:val="20"/>
          <w:color w:val="auto"/>
        </w:rPr>
      </w:pPr>
    </w:p>
    <w:p>
      <w:pPr>
        <w:ind w:left="8860"/>
        <w:spacing w:after="0"/>
        <w:rPr>
          <w:sz w:val="20"/>
          <w:szCs w:val="20"/>
          <w:color w:val="auto"/>
        </w:rPr>
      </w:pPr>
      <w:r>
        <w:rPr>
          <w:rFonts w:ascii="Arial" w:cs="Arial" w:eastAsia="Arial" w:hAnsi="Arial"/>
          <w:sz w:val="19"/>
          <w:szCs w:val="19"/>
          <w:color w:val="auto"/>
        </w:rPr>
        <w:t>[__], 202[__]</w:t>
      </w:r>
    </w:p>
    <w:p>
      <w:pPr>
        <w:spacing w:after="0" w:line="2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Solvency Certificate (this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is being executed and delivered pursuant to Section [__] of that certain [Credit Agreement], dated as of [__], 202[__]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AeroVironment,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thereto, the Lenders party thereto, and Bank of America, N.A., in its capacities as the Administrative Agent, the Swingline Lender and the L/C Issuer. Capitalized terms used herein but not otherwise defined herein shall have the meanings provided to such terms in the Credit Agreement.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 [__], the chief financial officer of the Borrower, solely in such capacity and not in an individual capacity, hereby certify that I am the chief financial officer of the Borrower and that I am familiar with the businesses and assets of the Borrower and its Subsidiaries, I have made such other investigations and inquiries as I have deemed appropriate and I am duly authorized to execute this Solvency Certificate on behalf of the Borrower pursuant to the Credit Agreement.</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 further certify, solely in my capacity as chief financial officer of the Borrower and not in my individual capacity, as of the date hereof and after giving effect to the Transactions, that (a) the fair value of the property of the Borrower and its Subsidiaries, on a consolidated basis, is greater than the total amount of liabilities, including contingent liabilities, of the Borrower and its Subsidiaries, on a consolidated basis, (b) the present fair salable value of the assets of the Borrower and its Subsidiaries, on a consolidated basis, is not less than the amount that will be required to pay the probable liability of the Borrower and its Subsidiaries, on a consolidated basis, on its debts as they become absolute and matured, (c) the Borrower and its Subsidiaries, on a consolidated basis, do not intend to, and do not believe that they will, incur debts or liabilities beyond the ability of the Borrower and its Subsidiaries, on a consolidated basis, to pay such debts and liabilities as they mature, (d) the Borrower and its Subsidiaries, on a consolidated basis, are not engaged in business or a transaction, and are not about to engage in business or a transaction, for which the property of the Borrower and its Subsidiaries, on a consolidated basis, would constitute an unreasonably small capital, and (e) the Borrower and its Subsidiaries, on a consolidated basis, are able to pay their debts and liabilities, contingent obligations and other commitments as they mature in the ordinary course of business. For purposes hereof,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910590</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93" w:name="page194"/>
    <w:bookmarkEnd w:id="193"/>
    <w:p>
      <w:pPr>
        <w:ind w:left="200"/>
        <w:spacing w:after="0"/>
        <w:rPr>
          <w:sz w:val="20"/>
          <w:szCs w:val="20"/>
          <w:color w:val="auto"/>
        </w:rPr>
      </w:pPr>
      <w:r>
        <w:rPr>
          <w:rFonts w:ascii="Arial" w:cs="Arial" w:eastAsia="Arial" w:hAnsi="Arial"/>
          <w:sz w:val="18"/>
          <w:szCs w:val="18"/>
          <w:color w:val="auto"/>
        </w:rPr>
        <w:t>IN WITNESS WHEREOF, I have executed this Solvency Certificate on the date first written above.</w:t>
      </w:r>
    </w:p>
    <w:p>
      <w:pPr>
        <w:sectPr>
          <w:pgSz w:w="11900" w:h="16838" w:orient="portrait"/>
          <w:cols w:equalWidth="0" w:num="1">
            <w:col w:w="9019"/>
          </w:cols>
          <w:pgMar w:left="1440" w:top="879" w:right="1440" w:bottom="1440" w:gutter="0" w:footer="0" w:header="0"/>
        </w:sectPr>
      </w:pPr>
    </w:p>
    <w:p>
      <w:pPr>
        <w:spacing w:after="0" w:line="266"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AEROVIRONMENT, INC.,</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-144780</wp:posOffset>
            </wp:positionV>
            <wp:extent cx="17830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Title:Chief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497840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type w:val="continuous"/>
        </w:sectPr>
      </w:pPr>
    </w:p>
    <w:bookmarkStart w:id="194" w:name="page195"/>
    <w:bookmarkEnd w:id="194"/>
    <w:p>
      <w:pPr>
        <w:ind w:left="8900"/>
        <w:spacing w:after="0"/>
        <w:rPr>
          <w:sz w:val="20"/>
          <w:szCs w:val="20"/>
          <w:color w:val="auto"/>
        </w:rPr>
      </w:pPr>
      <w:r>
        <w:rPr>
          <w:rFonts w:ascii="Arial" w:cs="Arial" w:eastAsia="Arial" w:hAnsi="Arial"/>
          <w:sz w:val="18"/>
          <w:szCs w:val="18"/>
          <w:b w:val="1"/>
          <w:bCs w:val="1"/>
          <w:color w:val="auto"/>
        </w:rPr>
        <w:t>Exhibit 10.3</w:t>
      </w:r>
    </w:p>
    <w:p>
      <w:pPr>
        <w:spacing w:after="0" w:line="265"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b w:val="1"/>
          <w:bCs w:val="1"/>
          <w:color w:val="auto"/>
        </w:rPr>
        <w:t>The representations and warranties contained in this agreement were made for the purposes of allocating contractual risk between the parties and not as a means of establishing facts and are qualified by information in disclosure schedules that the parties exchanged in connection with the signing of this agreement. Moreover, the representations and warranties were made only as of the date of execution of this agreement and information concerning the subject matter of the representations and warranties may change after the date of this agreement. Only parties to this agreement have a right to enforce the agreement. Accordingly, third parties, including current securityholders and prospective investors, should not rely on the representations and warranties in this agreement.</w:t>
      </w:r>
    </w:p>
    <w:p>
      <w:pPr>
        <w:spacing w:after="0" w:line="159"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6292215"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202565</wp:posOffset>
            </wp:positionV>
            <wp:extent cx="6292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Deal: 00807FAA9</w:t>
      </w:r>
    </w:p>
    <w:p>
      <w:pPr>
        <w:jc w:val="right"/>
        <w:spacing w:after="0"/>
        <w:rPr>
          <w:sz w:val="20"/>
          <w:szCs w:val="20"/>
          <w:color w:val="auto"/>
        </w:rPr>
      </w:pPr>
      <w:r>
        <w:rPr>
          <w:rFonts w:ascii="Arial" w:cs="Arial" w:eastAsia="Arial" w:hAnsi="Arial"/>
          <w:sz w:val="20"/>
          <w:szCs w:val="20"/>
          <w:color w:val="auto"/>
        </w:rPr>
        <w:t>Revolving Facility: 00807FAB7</w:t>
      </w:r>
    </w:p>
    <w:p>
      <w:pPr>
        <w:jc w:val="right"/>
        <w:spacing w:after="0"/>
        <w:rPr>
          <w:sz w:val="20"/>
          <w:szCs w:val="20"/>
          <w:color w:val="auto"/>
        </w:rPr>
      </w:pPr>
      <w:r>
        <w:rPr>
          <w:rFonts w:ascii="Arial" w:cs="Arial" w:eastAsia="Arial" w:hAnsi="Arial"/>
          <w:sz w:val="20"/>
          <w:szCs w:val="20"/>
          <w:color w:val="auto"/>
        </w:rPr>
        <w:t>Term A Facility: 00807FAC5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February 19,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CERTAIN SUBSIDIARIES OF THE BORROWER PARTY HERETO,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Guarantors,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Administrative Agent, the Swingline Lender and an L/C Issuer,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L/C ISSUERS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BOFA SECURITIES,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U.S. BANK NATIONAL ASSOCIATION,</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977265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50"/>
        </w:trPr>
        <w:tc>
          <w:tcPr>
            <w:tcW w:w="1160" w:type="dxa"/>
            <w:vAlign w:val="bottom"/>
          </w:tcPr>
          <w:p>
            <w:pPr>
              <w:spacing w:after="0"/>
              <w:rPr>
                <w:sz w:val="21"/>
                <w:szCs w:val="21"/>
                <w:color w:val="auto"/>
              </w:rPr>
            </w:pPr>
          </w:p>
        </w:tc>
        <w:tc>
          <w:tcPr>
            <w:tcW w:w="7280" w:type="dxa"/>
            <w:vAlign w:val="bottom"/>
          </w:tcPr>
          <w:p>
            <w:pPr>
              <w:ind w:left="2800"/>
              <w:spacing w:after="0"/>
              <w:rPr>
                <w:sz w:val="20"/>
                <w:szCs w:val="20"/>
                <w:color w:val="auto"/>
              </w:rPr>
            </w:pPr>
            <w:r>
              <w:rPr>
                <w:rFonts w:ascii="Arial" w:cs="Arial" w:eastAsia="Arial" w:hAnsi="Arial"/>
                <w:sz w:val="20"/>
                <w:szCs w:val="20"/>
                <w:color w:val="auto"/>
              </w:rPr>
              <w:t>TABLE OF CONTENTS</w:t>
            </w:r>
          </w:p>
        </w:tc>
        <w:tc>
          <w:tcPr>
            <w:tcW w:w="1480" w:type="dxa"/>
            <w:vAlign w:val="bottom"/>
          </w:tcPr>
          <w:p>
            <w:pPr>
              <w:spacing w:after="0"/>
              <w:rPr>
                <w:sz w:val="21"/>
                <w:szCs w:val="21"/>
                <w:color w:val="auto"/>
              </w:rPr>
            </w:pPr>
          </w:p>
        </w:tc>
      </w:tr>
      <w:tr>
        <w:trPr>
          <w:trHeight w:val="438"/>
        </w:trPr>
        <w:tc>
          <w:tcPr>
            <w:tcW w:w="11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480" w:type="dxa"/>
            <w:vAlign w:val="bottom"/>
          </w:tcPr>
          <w:p>
            <w:pPr>
              <w:jc w:val="right"/>
              <w:ind w:right="141"/>
              <w:spacing w:after="0"/>
              <w:rPr>
                <w:sz w:val="20"/>
                <w:szCs w:val="20"/>
                <w:color w:val="auto"/>
              </w:rPr>
            </w:pPr>
            <w:r>
              <w:rPr>
                <w:rFonts w:ascii="Arial" w:cs="Arial" w:eastAsia="Arial" w:hAnsi="Arial"/>
                <w:sz w:val="20"/>
                <w:szCs w:val="20"/>
                <w:color w:val="auto"/>
              </w:rPr>
              <w:t>Page</w:t>
            </w:r>
          </w:p>
        </w:tc>
      </w:tr>
      <w:tr>
        <w:trPr>
          <w:trHeight w:val="229"/>
        </w:trPr>
        <w:tc>
          <w:tcPr>
            <w:tcW w:w="8440" w:type="dxa"/>
            <w:vAlign w:val="bottom"/>
            <w:gridSpan w:val="2"/>
          </w:tcPr>
          <w:p>
            <w:pPr>
              <w:spacing w:after="0"/>
              <w:rPr>
                <w:sz w:val="20"/>
                <w:szCs w:val="20"/>
                <w:color w:val="auto"/>
              </w:rPr>
            </w:pPr>
            <w:r>
              <w:rPr>
                <w:rFonts w:ascii="Arial" w:cs="Arial" w:eastAsia="Arial" w:hAnsi="Arial"/>
                <w:sz w:val="20"/>
                <w:szCs w:val="20"/>
                <w:color w:val="auto"/>
              </w:rPr>
              <w:t>ARTICLE I DEFINITIONS AND ACCOUNTING TERMS</w:t>
            </w:r>
          </w:p>
        </w:tc>
        <w:tc>
          <w:tcPr>
            <w:tcW w:w="1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1.01</w:t>
            </w:r>
          </w:p>
        </w:tc>
        <w:tc>
          <w:tcPr>
            <w:tcW w:w="7280" w:type="dxa"/>
            <w:vAlign w:val="bottom"/>
          </w:tcPr>
          <w:p>
            <w:pPr>
              <w:ind w:left="140"/>
              <w:spacing w:after="0"/>
              <w:rPr>
                <w:sz w:val="20"/>
                <w:szCs w:val="20"/>
                <w:color w:val="auto"/>
              </w:rPr>
            </w:pPr>
            <w:r>
              <w:rPr>
                <w:rFonts w:ascii="Arial" w:cs="Arial" w:eastAsia="Arial" w:hAnsi="Arial"/>
                <w:sz w:val="20"/>
                <w:szCs w:val="20"/>
                <w:color w:val="auto"/>
              </w:rPr>
              <w:t>Defined Terms.</w:t>
            </w:r>
          </w:p>
        </w:tc>
        <w:tc>
          <w:tcPr>
            <w:tcW w:w="1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1.02</w:t>
            </w:r>
          </w:p>
        </w:tc>
        <w:tc>
          <w:tcPr>
            <w:tcW w:w="7280" w:type="dxa"/>
            <w:vAlign w:val="bottom"/>
          </w:tcPr>
          <w:p>
            <w:pPr>
              <w:ind w:left="140"/>
              <w:spacing w:after="0"/>
              <w:rPr>
                <w:sz w:val="20"/>
                <w:szCs w:val="20"/>
                <w:color w:val="auto"/>
              </w:rPr>
            </w:pPr>
            <w:r>
              <w:rPr>
                <w:rFonts w:ascii="Arial" w:cs="Arial" w:eastAsia="Arial" w:hAnsi="Arial"/>
                <w:sz w:val="20"/>
                <w:szCs w:val="20"/>
                <w:color w:val="auto"/>
              </w:rPr>
              <w:t>Other Interpretive Provisions.</w:t>
            </w:r>
          </w:p>
        </w:tc>
        <w:tc>
          <w:tcPr>
            <w:tcW w:w="14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1.03</w:t>
            </w:r>
          </w:p>
        </w:tc>
        <w:tc>
          <w:tcPr>
            <w:tcW w:w="7280" w:type="dxa"/>
            <w:vAlign w:val="bottom"/>
          </w:tcPr>
          <w:p>
            <w:pPr>
              <w:ind w:left="140"/>
              <w:spacing w:after="0"/>
              <w:rPr>
                <w:sz w:val="20"/>
                <w:szCs w:val="20"/>
                <w:color w:val="auto"/>
              </w:rPr>
            </w:pPr>
            <w:r>
              <w:rPr>
                <w:rFonts w:ascii="Arial" w:cs="Arial" w:eastAsia="Arial" w:hAnsi="Arial"/>
                <w:sz w:val="20"/>
                <w:szCs w:val="20"/>
                <w:color w:val="auto"/>
              </w:rPr>
              <w:t>Accounting Terms.</w:t>
            </w:r>
          </w:p>
        </w:tc>
        <w:tc>
          <w:tcPr>
            <w:tcW w:w="14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1.04</w:t>
            </w:r>
          </w:p>
        </w:tc>
        <w:tc>
          <w:tcPr>
            <w:tcW w:w="7280" w:type="dxa"/>
            <w:vAlign w:val="bottom"/>
          </w:tcPr>
          <w:p>
            <w:pPr>
              <w:ind w:left="140"/>
              <w:spacing w:after="0"/>
              <w:rPr>
                <w:sz w:val="20"/>
                <w:szCs w:val="20"/>
                <w:color w:val="auto"/>
              </w:rPr>
            </w:pPr>
            <w:r>
              <w:rPr>
                <w:rFonts w:ascii="Arial" w:cs="Arial" w:eastAsia="Arial" w:hAnsi="Arial"/>
                <w:sz w:val="20"/>
                <w:szCs w:val="20"/>
                <w:color w:val="auto"/>
              </w:rPr>
              <w:t>Rounding.</w:t>
            </w:r>
          </w:p>
        </w:tc>
        <w:tc>
          <w:tcPr>
            <w:tcW w:w="14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1.05</w:t>
            </w:r>
          </w:p>
        </w:tc>
        <w:tc>
          <w:tcPr>
            <w:tcW w:w="7280" w:type="dxa"/>
            <w:vAlign w:val="bottom"/>
          </w:tcPr>
          <w:p>
            <w:pPr>
              <w:ind w:left="140"/>
              <w:spacing w:after="0"/>
              <w:rPr>
                <w:sz w:val="20"/>
                <w:szCs w:val="20"/>
                <w:color w:val="auto"/>
              </w:rPr>
            </w:pPr>
            <w:r>
              <w:rPr>
                <w:rFonts w:ascii="Arial" w:cs="Arial" w:eastAsia="Arial" w:hAnsi="Arial"/>
                <w:sz w:val="20"/>
                <w:szCs w:val="20"/>
                <w:color w:val="auto"/>
              </w:rPr>
              <w:t>Times of Day.</w:t>
            </w:r>
          </w:p>
        </w:tc>
        <w:tc>
          <w:tcPr>
            <w:tcW w:w="14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1.06</w:t>
            </w:r>
          </w:p>
        </w:tc>
        <w:tc>
          <w:tcPr>
            <w:tcW w:w="7280" w:type="dxa"/>
            <w:vAlign w:val="bottom"/>
          </w:tcPr>
          <w:p>
            <w:pPr>
              <w:ind w:left="140"/>
              <w:spacing w:after="0"/>
              <w:rPr>
                <w:sz w:val="20"/>
                <w:szCs w:val="20"/>
                <w:color w:val="auto"/>
              </w:rPr>
            </w:pPr>
            <w:r>
              <w:rPr>
                <w:rFonts w:ascii="Arial" w:cs="Arial" w:eastAsia="Arial" w:hAnsi="Arial"/>
                <w:sz w:val="20"/>
                <w:szCs w:val="20"/>
                <w:color w:val="auto"/>
              </w:rPr>
              <w:t>Letter of Credit Amounts.</w:t>
            </w:r>
          </w:p>
        </w:tc>
        <w:tc>
          <w:tcPr>
            <w:tcW w:w="14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1.07</w:t>
            </w:r>
          </w:p>
        </w:tc>
        <w:tc>
          <w:tcPr>
            <w:tcW w:w="7280" w:type="dxa"/>
            <w:vAlign w:val="bottom"/>
          </w:tcPr>
          <w:p>
            <w:pPr>
              <w:ind w:left="140"/>
              <w:spacing w:after="0"/>
              <w:rPr>
                <w:sz w:val="20"/>
                <w:szCs w:val="20"/>
                <w:color w:val="auto"/>
              </w:rPr>
            </w:pPr>
            <w:r>
              <w:rPr>
                <w:rFonts w:ascii="Arial" w:cs="Arial" w:eastAsia="Arial" w:hAnsi="Arial"/>
                <w:sz w:val="20"/>
                <w:szCs w:val="20"/>
                <w:color w:val="auto"/>
              </w:rPr>
              <w:t>UCC Terms.</w:t>
            </w:r>
          </w:p>
        </w:tc>
        <w:tc>
          <w:tcPr>
            <w:tcW w:w="14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1.08</w:t>
            </w:r>
          </w:p>
        </w:tc>
        <w:tc>
          <w:tcPr>
            <w:tcW w:w="7280" w:type="dxa"/>
            <w:vAlign w:val="bottom"/>
          </w:tcPr>
          <w:p>
            <w:pPr>
              <w:ind w:left="140"/>
              <w:spacing w:after="0"/>
              <w:rPr>
                <w:sz w:val="20"/>
                <w:szCs w:val="20"/>
                <w:color w:val="auto"/>
              </w:rPr>
            </w:pPr>
            <w:r>
              <w:rPr>
                <w:rFonts w:ascii="Arial" w:cs="Arial" w:eastAsia="Arial" w:hAnsi="Arial"/>
                <w:sz w:val="20"/>
                <w:szCs w:val="20"/>
                <w:color w:val="auto"/>
              </w:rPr>
              <w:t>Rates.</w:t>
            </w:r>
          </w:p>
        </w:tc>
        <w:tc>
          <w:tcPr>
            <w:tcW w:w="14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8440" w:type="dxa"/>
            <w:vAlign w:val="bottom"/>
            <w:gridSpan w:val="2"/>
          </w:tcPr>
          <w:p>
            <w:pPr>
              <w:spacing w:after="0"/>
              <w:rPr>
                <w:sz w:val="20"/>
                <w:szCs w:val="20"/>
                <w:color w:val="auto"/>
              </w:rPr>
            </w:pPr>
            <w:r>
              <w:rPr>
                <w:rFonts w:ascii="Arial" w:cs="Arial" w:eastAsia="Arial" w:hAnsi="Arial"/>
                <w:sz w:val="20"/>
                <w:szCs w:val="20"/>
                <w:color w:val="auto"/>
              </w:rPr>
              <w:t>ARTICLE II COMMITMENTS AND CREDIT EXTENSIONS</w:t>
            </w:r>
          </w:p>
        </w:tc>
        <w:tc>
          <w:tcPr>
            <w:tcW w:w="14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2.01</w:t>
            </w:r>
          </w:p>
        </w:tc>
        <w:tc>
          <w:tcPr>
            <w:tcW w:w="7280" w:type="dxa"/>
            <w:vAlign w:val="bottom"/>
          </w:tcPr>
          <w:p>
            <w:pPr>
              <w:ind w:left="140"/>
              <w:spacing w:after="0"/>
              <w:rPr>
                <w:sz w:val="20"/>
                <w:szCs w:val="20"/>
                <w:color w:val="auto"/>
              </w:rPr>
            </w:pPr>
            <w:r>
              <w:rPr>
                <w:rFonts w:ascii="Arial" w:cs="Arial" w:eastAsia="Arial" w:hAnsi="Arial"/>
                <w:sz w:val="20"/>
                <w:szCs w:val="20"/>
                <w:color w:val="auto"/>
              </w:rPr>
              <w:t>Loans.</w:t>
            </w:r>
          </w:p>
        </w:tc>
        <w:tc>
          <w:tcPr>
            <w:tcW w:w="14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2.02</w:t>
            </w:r>
          </w:p>
        </w:tc>
        <w:tc>
          <w:tcPr>
            <w:tcW w:w="7280" w:type="dxa"/>
            <w:vAlign w:val="bottom"/>
          </w:tcPr>
          <w:p>
            <w:pPr>
              <w:ind w:left="140"/>
              <w:spacing w:after="0"/>
              <w:rPr>
                <w:sz w:val="20"/>
                <w:szCs w:val="20"/>
                <w:color w:val="auto"/>
              </w:rPr>
            </w:pPr>
            <w:r>
              <w:rPr>
                <w:rFonts w:ascii="Arial" w:cs="Arial" w:eastAsia="Arial" w:hAnsi="Arial"/>
                <w:sz w:val="20"/>
                <w:szCs w:val="20"/>
                <w:color w:val="auto"/>
              </w:rPr>
              <w:t>Borrowings, Conversions and Continuations of Loans.</w:t>
            </w:r>
          </w:p>
        </w:tc>
        <w:tc>
          <w:tcPr>
            <w:tcW w:w="14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2.03</w:t>
            </w:r>
          </w:p>
        </w:tc>
        <w:tc>
          <w:tcPr>
            <w:tcW w:w="7280" w:type="dxa"/>
            <w:vAlign w:val="bottom"/>
          </w:tcPr>
          <w:p>
            <w:pPr>
              <w:ind w:left="140"/>
              <w:spacing w:after="0"/>
              <w:rPr>
                <w:sz w:val="20"/>
                <w:szCs w:val="20"/>
                <w:color w:val="auto"/>
              </w:rPr>
            </w:pPr>
            <w:r>
              <w:rPr>
                <w:rFonts w:ascii="Arial" w:cs="Arial" w:eastAsia="Arial" w:hAnsi="Arial"/>
                <w:sz w:val="20"/>
                <w:szCs w:val="20"/>
                <w:color w:val="auto"/>
              </w:rPr>
              <w:t>Letters of Credit.</w:t>
            </w:r>
          </w:p>
        </w:tc>
        <w:tc>
          <w:tcPr>
            <w:tcW w:w="14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2.04</w:t>
            </w:r>
          </w:p>
        </w:tc>
        <w:tc>
          <w:tcPr>
            <w:tcW w:w="7280" w:type="dxa"/>
            <w:vAlign w:val="bottom"/>
          </w:tcPr>
          <w:p>
            <w:pPr>
              <w:ind w:left="140"/>
              <w:spacing w:after="0"/>
              <w:rPr>
                <w:sz w:val="20"/>
                <w:szCs w:val="20"/>
                <w:color w:val="auto"/>
              </w:rPr>
            </w:pPr>
            <w:r>
              <w:rPr>
                <w:rFonts w:ascii="Arial" w:cs="Arial" w:eastAsia="Arial" w:hAnsi="Arial"/>
                <w:sz w:val="20"/>
                <w:szCs w:val="20"/>
                <w:color w:val="auto"/>
              </w:rPr>
              <w:t>Swingline Loans.</w:t>
            </w:r>
          </w:p>
        </w:tc>
        <w:tc>
          <w:tcPr>
            <w:tcW w:w="14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2.05</w:t>
            </w:r>
          </w:p>
        </w:tc>
        <w:tc>
          <w:tcPr>
            <w:tcW w:w="7280" w:type="dxa"/>
            <w:vAlign w:val="bottom"/>
          </w:tcPr>
          <w:p>
            <w:pPr>
              <w:ind w:left="140"/>
              <w:spacing w:after="0"/>
              <w:rPr>
                <w:sz w:val="20"/>
                <w:szCs w:val="20"/>
                <w:color w:val="auto"/>
              </w:rPr>
            </w:pPr>
            <w:r>
              <w:rPr>
                <w:rFonts w:ascii="Arial" w:cs="Arial" w:eastAsia="Arial" w:hAnsi="Arial"/>
                <w:sz w:val="20"/>
                <w:szCs w:val="20"/>
                <w:color w:val="auto"/>
              </w:rPr>
              <w:t>Prepayments.</w:t>
            </w:r>
          </w:p>
        </w:tc>
        <w:tc>
          <w:tcPr>
            <w:tcW w:w="14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2.06</w:t>
            </w:r>
          </w:p>
        </w:tc>
        <w:tc>
          <w:tcPr>
            <w:tcW w:w="7280" w:type="dxa"/>
            <w:vAlign w:val="bottom"/>
          </w:tcPr>
          <w:p>
            <w:pPr>
              <w:ind w:left="140"/>
              <w:spacing w:after="0"/>
              <w:rPr>
                <w:sz w:val="20"/>
                <w:szCs w:val="20"/>
                <w:color w:val="auto"/>
              </w:rPr>
            </w:pPr>
            <w:r>
              <w:rPr>
                <w:rFonts w:ascii="Arial" w:cs="Arial" w:eastAsia="Arial" w:hAnsi="Arial"/>
                <w:sz w:val="20"/>
                <w:szCs w:val="20"/>
                <w:color w:val="auto"/>
              </w:rPr>
              <w:t>Termination or Reduction of Commitments.</w:t>
            </w:r>
          </w:p>
        </w:tc>
        <w:tc>
          <w:tcPr>
            <w:tcW w:w="14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2.07</w:t>
            </w:r>
          </w:p>
        </w:tc>
        <w:tc>
          <w:tcPr>
            <w:tcW w:w="7280" w:type="dxa"/>
            <w:vAlign w:val="bottom"/>
          </w:tcPr>
          <w:p>
            <w:pPr>
              <w:ind w:left="140"/>
              <w:spacing w:after="0"/>
              <w:rPr>
                <w:sz w:val="20"/>
                <w:szCs w:val="20"/>
                <w:color w:val="auto"/>
              </w:rPr>
            </w:pPr>
            <w:r>
              <w:rPr>
                <w:rFonts w:ascii="Arial" w:cs="Arial" w:eastAsia="Arial" w:hAnsi="Arial"/>
                <w:sz w:val="20"/>
                <w:szCs w:val="20"/>
                <w:color w:val="auto"/>
              </w:rPr>
              <w:t>Repayment of Loans.</w:t>
            </w:r>
          </w:p>
        </w:tc>
        <w:tc>
          <w:tcPr>
            <w:tcW w:w="14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2.08</w:t>
            </w:r>
          </w:p>
        </w:tc>
        <w:tc>
          <w:tcPr>
            <w:tcW w:w="7280" w:type="dxa"/>
            <w:vAlign w:val="bottom"/>
          </w:tcPr>
          <w:p>
            <w:pPr>
              <w:ind w:left="140"/>
              <w:spacing w:after="0"/>
              <w:rPr>
                <w:sz w:val="20"/>
                <w:szCs w:val="20"/>
                <w:color w:val="auto"/>
              </w:rPr>
            </w:pPr>
            <w:r>
              <w:rPr>
                <w:rFonts w:ascii="Arial" w:cs="Arial" w:eastAsia="Arial" w:hAnsi="Arial"/>
                <w:sz w:val="20"/>
                <w:szCs w:val="20"/>
                <w:color w:val="auto"/>
              </w:rPr>
              <w:t>Interest and Default Rate.</w:t>
            </w:r>
          </w:p>
        </w:tc>
        <w:tc>
          <w:tcPr>
            <w:tcW w:w="14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2.09</w:t>
            </w:r>
          </w:p>
        </w:tc>
        <w:tc>
          <w:tcPr>
            <w:tcW w:w="7280" w:type="dxa"/>
            <w:vAlign w:val="bottom"/>
          </w:tcPr>
          <w:p>
            <w:pPr>
              <w:ind w:left="140"/>
              <w:spacing w:after="0"/>
              <w:rPr>
                <w:sz w:val="20"/>
                <w:szCs w:val="20"/>
                <w:color w:val="auto"/>
              </w:rPr>
            </w:pPr>
            <w:r>
              <w:rPr>
                <w:rFonts w:ascii="Arial" w:cs="Arial" w:eastAsia="Arial" w:hAnsi="Arial"/>
                <w:sz w:val="20"/>
                <w:szCs w:val="20"/>
                <w:color w:val="auto"/>
              </w:rPr>
              <w:t>Fees.</w:t>
            </w:r>
          </w:p>
        </w:tc>
        <w:tc>
          <w:tcPr>
            <w:tcW w:w="14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2.10</w:t>
            </w:r>
          </w:p>
        </w:tc>
        <w:tc>
          <w:tcPr>
            <w:tcW w:w="7280" w:type="dxa"/>
            <w:vAlign w:val="bottom"/>
          </w:tcPr>
          <w:p>
            <w:pPr>
              <w:ind w:left="14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14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2.11</w:t>
            </w:r>
          </w:p>
        </w:tc>
        <w:tc>
          <w:tcPr>
            <w:tcW w:w="7280" w:type="dxa"/>
            <w:vAlign w:val="bottom"/>
          </w:tcPr>
          <w:p>
            <w:pPr>
              <w:ind w:left="140"/>
              <w:spacing w:after="0"/>
              <w:rPr>
                <w:sz w:val="20"/>
                <w:szCs w:val="20"/>
                <w:color w:val="auto"/>
              </w:rPr>
            </w:pPr>
            <w:r>
              <w:rPr>
                <w:rFonts w:ascii="Arial" w:cs="Arial" w:eastAsia="Arial" w:hAnsi="Arial"/>
                <w:sz w:val="20"/>
                <w:szCs w:val="20"/>
                <w:color w:val="auto"/>
              </w:rPr>
              <w:t>Evidence of Debt.</w:t>
            </w:r>
          </w:p>
        </w:tc>
        <w:tc>
          <w:tcPr>
            <w:tcW w:w="14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2.12</w:t>
            </w:r>
          </w:p>
        </w:tc>
        <w:tc>
          <w:tcPr>
            <w:tcW w:w="7280" w:type="dxa"/>
            <w:vAlign w:val="bottom"/>
          </w:tcPr>
          <w:p>
            <w:pPr>
              <w:ind w:left="140"/>
              <w:spacing w:after="0"/>
              <w:rPr>
                <w:sz w:val="20"/>
                <w:szCs w:val="20"/>
                <w:color w:val="auto"/>
              </w:rPr>
            </w:pPr>
            <w:r>
              <w:rPr>
                <w:rFonts w:ascii="Arial" w:cs="Arial" w:eastAsia="Arial" w:hAnsi="Arial"/>
                <w:sz w:val="20"/>
                <w:szCs w:val="20"/>
                <w:color w:val="auto"/>
              </w:rPr>
              <w:t>Payments Generally; Administrative Agent’s Clawback.</w:t>
            </w:r>
          </w:p>
        </w:tc>
        <w:tc>
          <w:tcPr>
            <w:tcW w:w="14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2.13</w:t>
            </w:r>
          </w:p>
        </w:tc>
        <w:tc>
          <w:tcPr>
            <w:tcW w:w="7280" w:type="dxa"/>
            <w:vAlign w:val="bottom"/>
          </w:tcPr>
          <w:p>
            <w:pPr>
              <w:ind w:left="140"/>
              <w:spacing w:after="0"/>
              <w:rPr>
                <w:sz w:val="20"/>
                <w:szCs w:val="20"/>
                <w:color w:val="auto"/>
              </w:rPr>
            </w:pPr>
            <w:r>
              <w:rPr>
                <w:rFonts w:ascii="Arial" w:cs="Arial" w:eastAsia="Arial" w:hAnsi="Arial"/>
                <w:sz w:val="20"/>
                <w:szCs w:val="20"/>
                <w:color w:val="auto"/>
              </w:rPr>
              <w:t>Sharing of Payments by Lenders.</w:t>
            </w:r>
          </w:p>
        </w:tc>
        <w:tc>
          <w:tcPr>
            <w:tcW w:w="14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2.14</w:t>
            </w:r>
          </w:p>
        </w:tc>
        <w:tc>
          <w:tcPr>
            <w:tcW w:w="7280" w:type="dxa"/>
            <w:vAlign w:val="bottom"/>
          </w:tcPr>
          <w:p>
            <w:pPr>
              <w:ind w:left="140"/>
              <w:spacing w:after="0"/>
              <w:rPr>
                <w:sz w:val="20"/>
                <w:szCs w:val="20"/>
                <w:color w:val="auto"/>
              </w:rPr>
            </w:pPr>
            <w:r>
              <w:rPr>
                <w:rFonts w:ascii="Arial" w:cs="Arial" w:eastAsia="Arial" w:hAnsi="Arial"/>
                <w:sz w:val="20"/>
                <w:szCs w:val="20"/>
                <w:color w:val="auto"/>
              </w:rPr>
              <w:t>Cash Collateral.</w:t>
            </w:r>
          </w:p>
        </w:tc>
        <w:tc>
          <w:tcPr>
            <w:tcW w:w="14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2.15</w:t>
            </w:r>
          </w:p>
        </w:tc>
        <w:tc>
          <w:tcPr>
            <w:tcW w:w="7280" w:type="dxa"/>
            <w:vAlign w:val="bottom"/>
          </w:tcPr>
          <w:p>
            <w:pPr>
              <w:ind w:left="140"/>
              <w:spacing w:after="0"/>
              <w:rPr>
                <w:sz w:val="20"/>
                <w:szCs w:val="20"/>
                <w:color w:val="auto"/>
              </w:rPr>
            </w:pPr>
            <w:r>
              <w:rPr>
                <w:rFonts w:ascii="Arial" w:cs="Arial" w:eastAsia="Arial" w:hAnsi="Arial"/>
                <w:sz w:val="20"/>
                <w:szCs w:val="20"/>
                <w:color w:val="auto"/>
              </w:rPr>
              <w:t>Defaulting Lenders.</w:t>
            </w:r>
          </w:p>
        </w:tc>
        <w:tc>
          <w:tcPr>
            <w:tcW w:w="14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8440" w:type="dxa"/>
            <w:vAlign w:val="bottom"/>
            <w:gridSpan w:val="2"/>
          </w:tcPr>
          <w:p>
            <w:pPr>
              <w:spacing w:after="0"/>
              <w:rPr>
                <w:sz w:val="20"/>
                <w:szCs w:val="20"/>
                <w:color w:val="auto"/>
              </w:rPr>
            </w:pPr>
            <w:r>
              <w:rPr>
                <w:rFonts w:ascii="Arial" w:cs="Arial" w:eastAsia="Arial" w:hAnsi="Arial"/>
                <w:sz w:val="20"/>
                <w:szCs w:val="20"/>
                <w:color w:val="auto"/>
              </w:rPr>
              <w:t>ARTICLE III TAXES, YIELD PROTECTION AND ILLEGALITY</w:t>
            </w:r>
          </w:p>
        </w:tc>
        <w:tc>
          <w:tcPr>
            <w:tcW w:w="14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3.01</w:t>
            </w:r>
          </w:p>
        </w:tc>
        <w:tc>
          <w:tcPr>
            <w:tcW w:w="7280" w:type="dxa"/>
            <w:vAlign w:val="bottom"/>
          </w:tcPr>
          <w:p>
            <w:pPr>
              <w:ind w:left="140"/>
              <w:spacing w:after="0"/>
              <w:rPr>
                <w:sz w:val="20"/>
                <w:szCs w:val="20"/>
                <w:color w:val="auto"/>
              </w:rPr>
            </w:pPr>
            <w:r>
              <w:rPr>
                <w:rFonts w:ascii="Arial" w:cs="Arial" w:eastAsia="Arial" w:hAnsi="Arial"/>
                <w:sz w:val="20"/>
                <w:szCs w:val="20"/>
                <w:color w:val="auto"/>
              </w:rPr>
              <w:t>Taxes.</w:t>
            </w:r>
          </w:p>
        </w:tc>
        <w:tc>
          <w:tcPr>
            <w:tcW w:w="14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3.02</w:t>
            </w:r>
          </w:p>
        </w:tc>
        <w:tc>
          <w:tcPr>
            <w:tcW w:w="7280" w:type="dxa"/>
            <w:vAlign w:val="bottom"/>
          </w:tcPr>
          <w:p>
            <w:pPr>
              <w:ind w:left="140"/>
              <w:spacing w:after="0"/>
              <w:rPr>
                <w:sz w:val="20"/>
                <w:szCs w:val="20"/>
                <w:color w:val="auto"/>
              </w:rPr>
            </w:pPr>
            <w:r>
              <w:rPr>
                <w:rFonts w:ascii="Arial" w:cs="Arial" w:eastAsia="Arial" w:hAnsi="Arial"/>
                <w:sz w:val="20"/>
                <w:szCs w:val="20"/>
                <w:color w:val="auto"/>
              </w:rPr>
              <w:t>Illegality.</w:t>
            </w:r>
          </w:p>
        </w:tc>
        <w:tc>
          <w:tcPr>
            <w:tcW w:w="14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3.03</w:t>
            </w:r>
          </w:p>
        </w:tc>
        <w:tc>
          <w:tcPr>
            <w:tcW w:w="7280" w:type="dxa"/>
            <w:vAlign w:val="bottom"/>
          </w:tcPr>
          <w:p>
            <w:pPr>
              <w:ind w:left="140"/>
              <w:spacing w:after="0"/>
              <w:rPr>
                <w:sz w:val="20"/>
                <w:szCs w:val="20"/>
                <w:color w:val="auto"/>
              </w:rPr>
            </w:pPr>
            <w:r>
              <w:rPr>
                <w:rFonts w:ascii="Arial" w:cs="Arial" w:eastAsia="Arial" w:hAnsi="Arial"/>
                <w:sz w:val="20"/>
                <w:szCs w:val="20"/>
                <w:color w:val="auto"/>
              </w:rPr>
              <w:t>Inability to Determine Rates.</w:t>
            </w:r>
          </w:p>
        </w:tc>
        <w:tc>
          <w:tcPr>
            <w:tcW w:w="14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3.04</w:t>
            </w:r>
          </w:p>
        </w:tc>
        <w:tc>
          <w:tcPr>
            <w:tcW w:w="7280" w:type="dxa"/>
            <w:vAlign w:val="bottom"/>
          </w:tcPr>
          <w:p>
            <w:pPr>
              <w:ind w:left="140"/>
              <w:spacing w:after="0"/>
              <w:rPr>
                <w:sz w:val="20"/>
                <w:szCs w:val="20"/>
                <w:color w:val="auto"/>
              </w:rPr>
            </w:pPr>
            <w:r>
              <w:rPr>
                <w:rFonts w:ascii="Arial" w:cs="Arial" w:eastAsia="Arial" w:hAnsi="Arial"/>
                <w:sz w:val="20"/>
                <w:szCs w:val="20"/>
                <w:color w:val="auto"/>
              </w:rPr>
              <w:t>Increased Costs; Reserves on Eurodollar Rate Loans.</w:t>
            </w:r>
          </w:p>
        </w:tc>
        <w:tc>
          <w:tcPr>
            <w:tcW w:w="14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3.05</w:t>
            </w:r>
          </w:p>
        </w:tc>
        <w:tc>
          <w:tcPr>
            <w:tcW w:w="7280" w:type="dxa"/>
            <w:vAlign w:val="bottom"/>
          </w:tcPr>
          <w:p>
            <w:pPr>
              <w:ind w:left="140"/>
              <w:spacing w:after="0"/>
              <w:rPr>
                <w:sz w:val="20"/>
                <w:szCs w:val="20"/>
                <w:color w:val="auto"/>
              </w:rPr>
            </w:pPr>
            <w:r>
              <w:rPr>
                <w:rFonts w:ascii="Arial" w:cs="Arial" w:eastAsia="Arial" w:hAnsi="Arial"/>
                <w:sz w:val="20"/>
                <w:szCs w:val="20"/>
                <w:color w:val="auto"/>
              </w:rPr>
              <w:t>Compensation for Losses.</w:t>
            </w:r>
          </w:p>
        </w:tc>
        <w:tc>
          <w:tcPr>
            <w:tcW w:w="14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3.06</w:t>
            </w:r>
          </w:p>
        </w:tc>
        <w:tc>
          <w:tcPr>
            <w:tcW w:w="7280" w:type="dxa"/>
            <w:vAlign w:val="bottom"/>
          </w:tcPr>
          <w:p>
            <w:pPr>
              <w:ind w:left="140"/>
              <w:spacing w:after="0"/>
              <w:rPr>
                <w:sz w:val="20"/>
                <w:szCs w:val="20"/>
                <w:color w:val="auto"/>
              </w:rPr>
            </w:pPr>
            <w:r>
              <w:rPr>
                <w:rFonts w:ascii="Arial" w:cs="Arial" w:eastAsia="Arial" w:hAnsi="Arial"/>
                <w:sz w:val="20"/>
                <w:szCs w:val="20"/>
                <w:color w:val="auto"/>
              </w:rPr>
              <w:t>Mitigation Obligations; Replacement of Lenders.</w:t>
            </w:r>
          </w:p>
        </w:tc>
        <w:tc>
          <w:tcPr>
            <w:tcW w:w="14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3.07</w:t>
            </w:r>
          </w:p>
        </w:tc>
        <w:tc>
          <w:tcPr>
            <w:tcW w:w="7280" w:type="dxa"/>
            <w:vAlign w:val="bottom"/>
          </w:tcPr>
          <w:p>
            <w:pPr>
              <w:ind w:left="140"/>
              <w:spacing w:after="0"/>
              <w:rPr>
                <w:sz w:val="20"/>
                <w:szCs w:val="20"/>
                <w:color w:val="auto"/>
              </w:rPr>
            </w:pPr>
            <w:r>
              <w:rPr>
                <w:rFonts w:ascii="Arial" w:cs="Arial" w:eastAsia="Arial" w:hAnsi="Arial"/>
                <w:sz w:val="20"/>
                <w:szCs w:val="20"/>
                <w:color w:val="auto"/>
              </w:rPr>
              <w:t>Survival.</w:t>
            </w:r>
          </w:p>
        </w:tc>
        <w:tc>
          <w:tcPr>
            <w:tcW w:w="14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440" w:type="dxa"/>
            <w:vAlign w:val="bottom"/>
            <w:gridSpan w:val="2"/>
          </w:tcPr>
          <w:p>
            <w:pPr>
              <w:spacing w:after="0"/>
              <w:rPr>
                <w:sz w:val="20"/>
                <w:szCs w:val="20"/>
                <w:color w:val="auto"/>
              </w:rPr>
            </w:pPr>
            <w:r>
              <w:rPr>
                <w:rFonts w:ascii="Arial" w:cs="Arial" w:eastAsia="Arial" w:hAnsi="Arial"/>
                <w:sz w:val="20"/>
                <w:szCs w:val="20"/>
                <w:color w:val="auto"/>
              </w:rPr>
              <w:t>ARTICLE IV CONDITIONS PRECEDENT TO CREDIT EXTENSIONS</w:t>
            </w:r>
          </w:p>
        </w:tc>
        <w:tc>
          <w:tcPr>
            <w:tcW w:w="14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4.01</w:t>
            </w:r>
          </w:p>
        </w:tc>
        <w:tc>
          <w:tcPr>
            <w:tcW w:w="7280" w:type="dxa"/>
            <w:vAlign w:val="bottom"/>
          </w:tcPr>
          <w:p>
            <w:pPr>
              <w:ind w:left="140"/>
              <w:spacing w:after="0"/>
              <w:rPr>
                <w:sz w:val="20"/>
                <w:szCs w:val="20"/>
                <w:color w:val="auto"/>
              </w:rPr>
            </w:pPr>
            <w:r>
              <w:rPr>
                <w:rFonts w:ascii="Arial" w:cs="Arial" w:eastAsia="Arial" w:hAnsi="Arial"/>
                <w:sz w:val="20"/>
                <w:szCs w:val="20"/>
                <w:color w:val="auto"/>
              </w:rPr>
              <w:t>Conditions of Initial Credit Extension.</w:t>
            </w:r>
          </w:p>
        </w:tc>
        <w:tc>
          <w:tcPr>
            <w:tcW w:w="14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4.02</w:t>
            </w:r>
          </w:p>
        </w:tc>
        <w:tc>
          <w:tcPr>
            <w:tcW w:w="7280" w:type="dxa"/>
            <w:vAlign w:val="bottom"/>
          </w:tcPr>
          <w:p>
            <w:pPr>
              <w:ind w:left="140"/>
              <w:spacing w:after="0"/>
              <w:rPr>
                <w:sz w:val="20"/>
                <w:szCs w:val="20"/>
                <w:color w:val="auto"/>
              </w:rPr>
            </w:pPr>
            <w:r>
              <w:rPr>
                <w:rFonts w:ascii="Arial" w:cs="Arial" w:eastAsia="Arial" w:hAnsi="Arial"/>
                <w:sz w:val="20"/>
                <w:szCs w:val="20"/>
                <w:color w:val="auto"/>
              </w:rPr>
              <w:t>Conditions to all Credit Extensions After the Closing Date.</w:t>
            </w:r>
          </w:p>
        </w:tc>
        <w:tc>
          <w:tcPr>
            <w:tcW w:w="14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30"/>
        </w:trPr>
        <w:tc>
          <w:tcPr>
            <w:tcW w:w="8440" w:type="dxa"/>
            <w:vAlign w:val="bottom"/>
            <w:gridSpan w:val="2"/>
          </w:tcPr>
          <w:p>
            <w:pPr>
              <w:spacing w:after="0"/>
              <w:rPr>
                <w:sz w:val="20"/>
                <w:szCs w:val="20"/>
                <w:color w:val="auto"/>
              </w:rPr>
            </w:pPr>
            <w:r>
              <w:rPr>
                <w:rFonts w:ascii="Arial" w:cs="Arial" w:eastAsia="Arial" w:hAnsi="Arial"/>
                <w:sz w:val="20"/>
                <w:szCs w:val="20"/>
                <w:color w:val="auto"/>
              </w:rPr>
              <w:t>ARTICLE V REPRESENTATIONS AND WARRANTIES</w:t>
            </w:r>
          </w:p>
        </w:tc>
        <w:tc>
          <w:tcPr>
            <w:tcW w:w="14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5.01</w:t>
            </w:r>
          </w:p>
        </w:tc>
        <w:tc>
          <w:tcPr>
            <w:tcW w:w="7280" w:type="dxa"/>
            <w:vAlign w:val="bottom"/>
          </w:tcPr>
          <w:p>
            <w:pPr>
              <w:ind w:left="140"/>
              <w:spacing w:after="0"/>
              <w:rPr>
                <w:sz w:val="20"/>
                <w:szCs w:val="20"/>
                <w:color w:val="auto"/>
              </w:rPr>
            </w:pPr>
            <w:r>
              <w:rPr>
                <w:rFonts w:ascii="Arial" w:cs="Arial" w:eastAsia="Arial" w:hAnsi="Arial"/>
                <w:sz w:val="20"/>
                <w:szCs w:val="20"/>
                <w:color w:val="auto"/>
              </w:rPr>
              <w:t>Existence, Qualification and Power.</w:t>
            </w:r>
          </w:p>
        </w:tc>
        <w:tc>
          <w:tcPr>
            <w:tcW w:w="14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5.02</w:t>
            </w:r>
          </w:p>
        </w:tc>
        <w:tc>
          <w:tcPr>
            <w:tcW w:w="7280" w:type="dxa"/>
            <w:vAlign w:val="bottom"/>
          </w:tcPr>
          <w:p>
            <w:pPr>
              <w:ind w:left="140"/>
              <w:spacing w:after="0"/>
              <w:rPr>
                <w:sz w:val="20"/>
                <w:szCs w:val="20"/>
                <w:color w:val="auto"/>
              </w:rPr>
            </w:pPr>
            <w:r>
              <w:rPr>
                <w:rFonts w:ascii="Arial" w:cs="Arial" w:eastAsia="Arial" w:hAnsi="Arial"/>
                <w:sz w:val="20"/>
                <w:szCs w:val="20"/>
                <w:color w:val="auto"/>
              </w:rPr>
              <w:t>Authorization; No Contravention.</w:t>
            </w:r>
          </w:p>
        </w:tc>
        <w:tc>
          <w:tcPr>
            <w:tcW w:w="14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5.03</w:t>
            </w:r>
          </w:p>
        </w:tc>
        <w:tc>
          <w:tcPr>
            <w:tcW w:w="7280" w:type="dxa"/>
            <w:vAlign w:val="bottom"/>
          </w:tcPr>
          <w:p>
            <w:pPr>
              <w:ind w:left="140"/>
              <w:spacing w:after="0"/>
              <w:rPr>
                <w:sz w:val="20"/>
                <w:szCs w:val="20"/>
                <w:color w:val="auto"/>
              </w:rPr>
            </w:pPr>
            <w:r>
              <w:rPr>
                <w:rFonts w:ascii="Arial" w:cs="Arial" w:eastAsia="Arial" w:hAnsi="Arial"/>
                <w:sz w:val="20"/>
                <w:szCs w:val="20"/>
                <w:color w:val="auto"/>
              </w:rPr>
              <w:t>Governmental Authorization; Other Consents.</w:t>
            </w:r>
          </w:p>
        </w:tc>
        <w:tc>
          <w:tcPr>
            <w:tcW w:w="14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5.04</w:t>
            </w:r>
          </w:p>
        </w:tc>
        <w:tc>
          <w:tcPr>
            <w:tcW w:w="7280" w:type="dxa"/>
            <w:vAlign w:val="bottom"/>
          </w:tcPr>
          <w:p>
            <w:pPr>
              <w:ind w:left="140"/>
              <w:spacing w:after="0"/>
              <w:rPr>
                <w:sz w:val="20"/>
                <w:szCs w:val="20"/>
                <w:color w:val="auto"/>
              </w:rPr>
            </w:pPr>
            <w:r>
              <w:rPr>
                <w:rFonts w:ascii="Arial" w:cs="Arial" w:eastAsia="Arial" w:hAnsi="Arial"/>
                <w:sz w:val="20"/>
                <w:szCs w:val="20"/>
                <w:color w:val="auto"/>
              </w:rPr>
              <w:t>Binding Effect.</w:t>
            </w:r>
          </w:p>
        </w:tc>
        <w:tc>
          <w:tcPr>
            <w:tcW w:w="14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5.05</w:t>
            </w:r>
          </w:p>
        </w:tc>
        <w:tc>
          <w:tcPr>
            <w:tcW w:w="7280" w:type="dxa"/>
            <w:vAlign w:val="bottom"/>
          </w:tcPr>
          <w:p>
            <w:pPr>
              <w:ind w:left="140"/>
              <w:spacing w:after="0"/>
              <w:rPr>
                <w:sz w:val="20"/>
                <w:szCs w:val="20"/>
                <w:color w:val="auto"/>
              </w:rPr>
            </w:pPr>
            <w:r>
              <w:rPr>
                <w:rFonts w:ascii="Arial" w:cs="Arial" w:eastAsia="Arial" w:hAnsi="Arial"/>
                <w:sz w:val="20"/>
                <w:szCs w:val="20"/>
                <w:color w:val="auto"/>
              </w:rPr>
              <w:t>Financial Statements; No Material Adverse Effect.</w:t>
            </w:r>
          </w:p>
        </w:tc>
        <w:tc>
          <w:tcPr>
            <w:tcW w:w="14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5.06</w:t>
            </w:r>
          </w:p>
        </w:tc>
        <w:tc>
          <w:tcPr>
            <w:tcW w:w="7280" w:type="dxa"/>
            <w:vAlign w:val="bottom"/>
          </w:tcPr>
          <w:p>
            <w:pPr>
              <w:ind w:left="140"/>
              <w:spacing w:after="0"/>
              <w:rPr>
                <w:sz w:val="20"/>
                <w:szCs w:val="20"/>
                <w:color w:val="auto"/>
              </w:rPr>
            </w:pPr>
            <w:r>
              <w:rPr>
                <w:rFonts w:ascii="Arial" w:cs="Arial" w:eastAsia="Arial" w:hAnsi="Arial"/>
                <w:sz w:val="20"/>
                <w:szCs w:val="20"/>
                <w:color w:val="auto"/>
              </w:rPr>
              <w:t>Litigation.</w:t>
            </w:r>
          </w:p>
        </w:tc>
        <w:tc>
          <w:tcPr>
            <w:tcW w:w="14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5.07</w:t>
            </w:r>
          </w:p>
        </w:tc>
        <w:tc>
          <w:tcPr>
            <w:tcW w:w="7280" w:type="dxa"/>
            <w:vAlign w:val="bottom"/>
          </w:tcPr>
          <w:p>
            <w:pPr>
              <w:ind w:left="140"/>
              <w:spacing w:after="0"/>
              <w:rPr>
                <w:sz w:val="20"/>
                <w:szCs w:val="20"/>
                <w:color w:val="auto"/>
              </w:rPr>
            </w:pPr>
            <w:r>
              <w:rPr>
                <w:rFonts w:ascii="Arial" w:cs="Arial" w:eastAsia="Arial" w:hAnsi="Arial"/>
                <w:sz w:val="20"/>
                <w:szCs w:val="20"/>
                <w:color w:val="auto"/>
              </w:rPr>
              <w:t>No Default.</w:t>
            </w:r>
          </w:p>
        </w:tc>
        <w:tc>
          <w:tcPr>
            <w:tcW w:w="14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5.08</w:t>
            </w:r>
          </w:p>
        </w:tc>
        <w:tc>
          <w:tcPr>
            <w:tcW w:w="7280" w:type="dxa"/>
            <w:vAlign w:val="bottom"/>
          </w:tcPr>
          <w:p>
            <w:pPr>
              <w:ind w:left="140"/>
              <w:spacing w:after="0"/>
              <w:rPr>
                <w:sz w:val="20"/>
                <w:szCs w:val="20"/>
                <w:color w:val="auto"/>
              </w:rPr>
            </w:pPr>
            <w:r>
              <w:rPr>
                <w:rFonts w:ascii="Arial" w:cs="Arial" w:eastAsia="Arial" w:hAnsi="Arial"/>
                <w:sz w:val="20"/>
                <w:szCs w:val="20"/>
                <w:color w:val="auto"/>
              </w:rPr>
              <w:t>Ownership of Property.</w:t>
            </w:r>
          </w:p>
        </w:tc>
        <w:tc>
          <w:tcPr>
            <w:tcW w:w="14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5.09</w:t>
            </w:r>
          </w:p>
        </w:tc>
        <w:tc>
          <w:tcPr>
            <w:tcW w:w="7280" w:type="dxa"/>
            <w:vAlign w:val="bottom"/>
          </w:tcPr>
          <w:p>
            <w:pPr>
              <w:ind w:left="140"/>
              <w:spacing w:after="0"/>
              <w:rPr>
                <w:sz w:val="20"/>
                <w:szCs w:val="20"/>
                <w:color w:val="auto"/>
              </w:rPr>
            </w:pPr>
            <w:r>
              <w:rPr>
                <w:rFonts w:ascii="Arial" w:cs="Arial" w:eastAsia="Arial" w:hAnsi="Arial"/>
                <w:sz w:val="20"/>
                <w:szCs w:val="20"/>
                <w:color w:val="auto"/>
              </w:rPr>
              <w:t>Environmental Compliance.</w:t>
            </w:r>
          </w:p>
        </w:tc>
        <w:tc>
          <w:tcPr>
            <w:tcW w:w="1480" w:type="dxa"/>
            <w:vAlign w:val="bottom"/>
          </w:tcPr>
          <w:p>
            <w:pPr>
              <w:jc w:val="right"/>
              <w:spacing w:after="0"/>
              <w:rPr>
                <w:sz w:val="20"/>
                <w:szCs w:val="20"/>
                <w:color w:val="auto"/>
              </w:rPr>
            </w:pPr>
            <w:r>
              <w:rPr>
                <w:rFonts w:ascii="Arial" w:cs="Arial" w:eastAsia="Arial" w:hAnsi="Arial"/>
                <w:sz w:val="20"/>
                <w:szCs w:val="20"/>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5.10</w:t>
            </w:r>
          </w:p>
        </w:tc>
        <w:tc>
          <w:tcPr>
            <w:tcW w:w="7800" w:type="dxa"/>
            <w:vAlign w:val="bottom"/>
          </w:tcPr>
          <w:p>
            <w:pPr>
              <w:ind w:left="140"/>
              <w:spacing w:after="0"/>
              <w:rPr>
                <w:sz w:val="20"/>
                <w:szCs w:val="20"/>
                <w:color w:val="auto"/>
              </w:rPr>
            </w:pPr>
            <w:r>
              <w:rPr>
                <w:rFonts w:ascii="Arial" w:cs="Arial" w:eastAsia="Arial" w:hAnsi="Arial"/>
                <w:sz w:val="20"/>
                <w:szCs w:val="20"/>
                <w:color w:val="auto"/>
              </w:rPr>
              <w:t>Insurance.</w:t>
            </w:r>
          </w:p>
        </w:tc>
        <w:tc>
          <w:tcPr>
            <w:tcW w:w="96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5.11</w:t>
            </w:r>
          </w:p>
        </w:tc>
        <w:tc>
          <w:tcPr>
            <w:tcW w:w="7800" w:type="dxa"/>
            <w:vAlign w:val="bottom"/>
          </w:tcPr>
          <w:p>
            <w:pPr>
              <w:ind w:left="140"/>
              <w:spacing w:after="0"/>
              <w:rPr>
                <w:sz w:val="20"/>
                <w:szCs w:val="20"/>
                <w:color w:val="auto"/>
              </w:rPr>
            </w:pPr>
            <w:r>
              <w:rPr>
                <w:rFonts w:ascii="Arial" w:cs="Arial" w:eastAsia="Arial" w:hAnsi="Arial"/>
                <w:sz w:val="20"/>
                <w:szCs w:val="20"/>
                <w:color w:val="auto"/>
              </w:rPr>
              <w:t>Taxes.</w:t>
            </w:r>
          </w:p>
        </w:tc>
        <w:tc>
          <w:tcPr>
            <w:tcW w:w="96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5.12</w:t>
            </w:r>
          </w:p>
        </w:tc>
        <w:tc>
          <w:tcPr>
            <w:tcW w:w="7800" w:type="dxa"/>
            <w:vAlign w:val="bottom"/>
          </w:tcPr>
          <w:p>
            <w:pPr>
              <w:ind w:left="140"/>
              <w:spacing w:after="0"/>
              <w:rPr>
                <w:sz w:val="20"/>
                <w:szCs w:val="20"/>
                <w:color w:val="auto"/>
              </w:rPr>
            </w:pPr>
            <w:r>
              <w:rPr>
                <w:rFonts w:ascii="Arial" w:cs="Arial" w:eastAsia="Arial" w:hAnsi="Arial"/>
                <w:sz w:val="20"/>
                <w:szCs w:val="20"/>
                <w:color w:val="auto"/>
              </w:rPr>
              <w:t>ERISA Compliance.</w:t>
            </w:r>
          </w:p>
        </w:tc>
        <w:tc>
          <w:tcPr>
            <w:tcW w:w="96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5.13</w:t>
            </w:r>
          </w:p>
        </w:tc>
        <w:tc>
          <w:tcPr>
            <w:tcW w:w="7800" w:type="dxa"/>
            <w:vAlign w:val="bottom"/>
          </w:tcPr>
          <w:p>
            <w:pPr>
              <w:ind w:left="140"/>
              <w:spacing w:after="0"/>
              <w:rPr>
                <w:sz w:val="20"/>
                <w:szCs w:val="20"/>
                <w:color w:val="auto"/>
              </w:rPr>
            </w:pPr>
            <w:r>
              <w:rPr>
                <w:rFonts w:ascii="Arial" w:cs="Arial" w:eastAsia="Arial" w:hAnsi="Arial"/>
                <w:sz w:val="20"/>
                <w:szCs w:val="20"/>
                <w:color w:val="auto"/>
              </w:rPr>
              <w:t>Margin Regulations; Investment Company Act.</w:t>
            </w:r>
          </w:p>
        </w:tc>
        <w:tc>
          <w:tcPr>
            <w:tcW w:w="9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5.14</w:t>
            </w:r>
          </w:p>
        </w:tc>
        <w:tc>
          <w:tcPr>
            <w:tcW w:w="7800" w:type="dxa"/>
            <w:vAlign w:val="bottom"/>
          </w:tcPr>
          <w:p>
            <w:pPr>
              <w:ind w:left="140"/>
              <w:spacing w:after="0"/>
              <w:rPr>
                <w:sz w:val="20"/>
                <w:szCs w:val="20"/>
                <w:color w:val="auto"/>
              </w:rPr>
            </w:pPr>
            <w:r>
              <w:rPr>
                <w:rFonts w:ascii="Arial" w:cs="Arial" w:eastAsia="Arial" w:hAnsi="Arial"/>
                <w:sz w:val="20"/>
                <w:szCs w:val="20"/>
                <w:color w:val="auto"/>
              </w:rPr>
              <w:t>Disclosure.</w:t>
            </w:r>
          </w:p>
        </w:tc>
        <w:tc>
          <w:tcPr>
            <w:tcW w:w="9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5.15</w:t>
            </w:r>
          </w:p>
        </w:tc>
        <w:tc>
          <w:tcPr>
            <w:tcW w:w="7800" w:type="dxa"/>
            <w:vAlign w:val="bottom"/>
          </w:tcPr>
          <w:p>
            <w:pPr>
              <w:ind w:left="140"/>
              <w:spacing w:after="0"/>
              <w:rPr>
                <w:sz w:val="20"/>
                <w:szCs w:val="20"/>
                <w:color w:val="auto"/>
              </w:rPr>
            </w:pPr>
            <w:r>
              <w:rPr>
                <w:rFonts w:ascii="Arial" w:cs="Arial" w:eastAsia="Arial" w:hAnsi="Arial"/>
                <w:sz w:val="20"/>
                <w:szCs w:val="20"/>
                <w:color w:val="auto"/>
              </w:rPr>
              <w:t>Compliance with Laws.</w:t>
            </w:r>
          </w:p>
        </w:tc>
        <w:tc>
          <w:tcPr>
            <w:tcW w:w="9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5.16</w:t>
            </w:r>
          </w:p>
        </w:tc>
        <w:tc>
          <w:tcPr>
            <w:tcW w:w="7800" w:type="dxa"/>
            <w:vAlign w:val="bottom"/>
          </w:tcPr>
          <w:p>
            <w:pPr>
              <w:ind w:left="140"/>
              <w:spacing w:after="0"/>
              <w:rPr>
                <w:sz w:val="20"/>
                <w:szCs w:val="20"/>
                <w:color w:val="auto"/>
              </w:rPr>
            </w:pPr>
            <w:r>
              <w:rPr>
                <w:rFonts w:ascii="Arial" w:cs="Arial" w:eastAsia="Arial" w:hAnsi="Arial"/>
                <w:sz w:val="20"/>
                <w:szCs w:val="20"/>
                <w:color w:val="auto"/>
              </w:rPr>
              <w:t>Solvency.</w:t>
            </w:r>
          </w:p>
        </w:tc>
        <w:tc>
          <w:tcPr>
            <w:tcW w:w="9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5.17</w:t>
            </w:r>
          </w:p>
        </w:tc>
        <w:tc>
          <w:tcPr>
            <w:tcW w:w="7800" w:type="dxa"/>
            <w:vAlign w:val="bottom"/>
          </w:tcPr>
          <w:p>
            <w:pPr>
              <w:ind w:left="140"/>
              <w:spacing w:after="0"/>
              <w:rPr>
                <w:sz w:val="20"/>
                <w:szCs w:val="20"/>
                <w:color w:val="auto"/>
              </w:rPr>
            </w:pPr>
            <w:r>
              <w:rPr>
                <w:rFonts w:ascii="Arial" w:cs="Arial" w:eastAsia="Arial" w:hAnsi="Arial"/>
                <w:sz w:val="20"/>
                <w:szCs w:val="20"/>
                <w:color w:val="auto"/>
              </w:rPr>
              <w:t>Sanctions Concerns and Anti-Corruption Laws.</w:t>
            </w:r>
          </w:p>
        </w:tc>
        <w:tc>
          <w:tcPr>
            <w:tcW w:w="96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5.18</w:t>
            </w:r>
          </w:p>
        </w:tc>
        <w:tc>
          <w:tcPr>
            <w:tcW w:w="7800" w:type="dxa"/>
            <w:vAlign w:val="bottom"/>
          </w:tcPr>
          <w:p>
            <w:pPr>
              <w:ind w:left="140"/>
              <w:spacing w:after="0"/>
              <w:rPr>
                <w:sz w:val="20"/>
                <w:szCs w:val="20"/>
                <w:color w:val="auto"/>
              </w:rPr>
            </w:pPr>
            <w:r>
              <w:rPr>
                <w:rFonts w:ascii="Arial" w:cs="Arial" w:eastAsia="Arial" w:hAnsi="Arial"/>
                <w:sz w:val="20"/>
                <w:szCs w:val="20"/>
                <w:color w:val="auto"/>
              </w:rPr>
              <w:t>Subsidiaries; Equity Interests; Loan Parties.</w:t>
            </w:r>
          </w:p>
        </w:tc>
        <w:tc>
          <w:tcPr>
            <w:tcW w:w="96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5.19</w:t>
            </w:r>
          </w:p>
        </w:tc>
        <w:tc>
          <w:tcPr>
            <w:tcW w:w="7800" w:type="dxa"/>
            <w:vAlign w:val="bottom"/>
          </w:tcPr>
          <w:p>
            <w:pPr>
              <w:ind w:left="140"/>
              <w:spacing w:after="0"/>
              <w:rPr>
                <w:sz w:val="20"/>
                <w:szCs w:val="20"/>
                <w:color w:val="auto"/>
              </w:rPr>
            </w:pPr>
            <w:r>
              <w:rPr>
                <w:rFonts w:ascii="Arial" w:cs="Arial" w:eastAsia="Arial" w:hAnsi="Arial"/>
                <w:sz w:val="20"/>
                <w:szCs w:val="20"/>
                <w:color w:val="auto"/>
              </w:rPr>
              <w:t>Collateral Representations.</w:t>
            </w:r>
          </w:p>
        </w:tc>
        <w:tc>
          <w:tcPr>
            <w:tcW w:w="96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5.20</w:t>
            </w:r>
          </w:p>
        </w:tc>
        <w:tc>
          <w:tcPr>
            <w:tcW w:w="7800" w:type="dxa"/>
            <w:vAlign w:val="bottom"/>
          </w:tcPr>
          <w:p>
            <w:pPr>
              <w:ind w:left="140"/>
              <w:spacing w:after="0"/>
              <w:rPr>
                <w:sz w:val="20"/>
                <w:szCs w:val="20"/>
                <w:color w:val="auto"/>
              </w:rPr>
            </w:pPr>
            <w:r>
              <w:rPr>
                <w:rFonts w:ascii="Arial" w:cs="Arial" w:eastAsia="Arial" w:hAnsi="Arial"/>
                <w:sz w:val="20"/>
                <w:szCs w:val="20"/>
                <w:color w:val="auto"/>
              </w:rPr>
              <w:t>Affected Financial Institutions.</w:t>
            </w:r>
          </w:p>
        </w:tc>
        <w:tc>
          <w:tcPr>
            <w:tcW w:w="96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5.21</w:t>
            </w:r>
          </w:p>
        </w:tc>
        <w:tc>
          <w:tcPr>
            <w:tcW w:w="7800" w:type="dxa"/>
            <w:vAlign w:val="bottom"/>
          </w:tcPr>
          <w:p>
            <w:pPr>
              <w:ind w:left="140"/>
              <w:spacing w:after="0"/>
              <w:rPr>
                <w:sz w:val="20"/>
                <w:szCs w:val="20"/>
                <w:color w:val="auto"/>
              </w:rPr>
            </w:pPr>
            <w:r>
              <w:rPr>
                <w:rFonts w:ascii="Arial" w:cs="Arial" w:eastAsia="Arial" w:hAnsi="Arial"/>
                <w:sz w:val="20"/>
                <w:szCs w:val="20"/>
                <w:color w:val="auto"/>
              </w:rPr>
              <w:t>Covered Entities.</w:t>
            </w:r>
          </w:p>
        </w:tc>
        <w:tc>
          <w:tcPr>
            <w:tcW w:w="96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30"/>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 AFFIRMATIVE COVENANTS</w:t>
            </w:r>
          </w:p>
        </w:tc>
        <w:tc>
          <w:tcPr>
            <w:tcW w:w="96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6.01</w:t>
            </w:r>
          </w:p>
        </w:tc>
        <w:tc>
          <w:tcPr>
            <w:tcW w:w="7800" w:type="dxa"/>
            <w:vAlign w:val="bottom"/>
          </w:tcPr>
          <w:p>
            <w:pPr>
              <w:ind w:left="140"/>
              <w:spacing w:after="0"/>
              <w:rPr>
                <w:sz w:val="20"/>
                <w:szCs w:val="20"/>
                <w:color w:val="auto"/>
              </w:rPr>
            </w:pPr>
            <w:r>
              <w:rPr>
                <w:rFonts w:ascii="Arial" w:cs="Arial" w:eastAsia="Arial" w:hAnsi="Arial"/>
                <w:sz w:val="20"/>
                <w:szCs w:val="20"/>
                <w:color w:val="auto"/>
              </w:rPr>
              <w:t>Financial Statements.</w:t>
            </w:r>
          </w:p>
        </w:tc>
        <w:tc>
          <w:tcPr>
            <w:tcW w:w="96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6.02</w:t>
            </w:r>
          </w:p>
        </w:tc>
        <w:tc>
          <w:tcPr>
            <w:tcW w:w="7800" w:type="dxa"/>
            <w:vAlign w:val="bottom"/>
          </w:tcPr>
          <w:p>
            <w:pPr>
              <w:ind w:left="140"/>
              <w:spacing w:after="0"/>
              <w:rPr>
                <w:sz w:val="20"/>
                <w:szCs w:val="20"/>
                <w:color w:val="auto"/>
              </w:rPr>
            </w:pPr>
            <w:r>
              <w:rPr>
                <w:rFonts w:ascii="Arial" w:cs="Arial" w:eastAsia="Arial" w:hAnsi="Arial"/>
                <w:sz w:val="20"/>
                <w:szCs w:val="20"/>
                <w:color w:val="auto"/>
              </w:rPr>
              <w:t>Certificates; Other Information.</w:t>
            </w:r>
          </w:p>
        </w:tc>
        <w:tc>
          <w:tcPr>
            <w:tcW w:w="96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6.03</w:t>
            </w:r>
          </w:p>
        </w:tc>
        <w:tc>
          <w:tcPr>
            <w:tcW w:w="7800" w:type="dxa"/>
            <w:vAlign w:val="bottom"/>
          </w:tcPr>
          <w:p>
            <w:pPr>
              <w:ind w:left="140"/>
              <w:spacing w:after="0"/>
              <w:rPr>
                <w:sz w:val="20"/>
                <w:szCs w:val="20"/>
                <w:color w:val="auto"/>
              </w:rPr>
            </w:pPr>
            <w:r>
              <w:rPr>
                <w:rFonts w:ascii="Arial" w:cs="Arial" w:eastAsia="Arial" w:hAnsi="Arial"/>
                <w:sz w:val="20"/>
                <w:szCs w:val="20"/>
                <w:color w:val="auto"/>
              </w:rPr>
              <w:t>Notices.</w:t>
            </w:r>
          </w:p>
        </w:tc>
        <w:tc>
          <w:tcPr>
            <w:tcW w:w="9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6.04</w:t>
            </w:r>
          </w:p>
        </w:tc>
        <w:tc>
          <w:tcPr>
            <w:tcW w:w="7800" w:type="dxa"/>
            <w:vAlign w:val="bottom"/>
          </w:tcPr>
          <w:p>
            <w:pPr>
              <w:ind w:left="140"/>
              <w:spacing w:after="0"/>
              <w:rPr>
                <w:sz w:val="20"/>
                <w:szCs w:val="20"/>
                <w:color w:val="auto"/>
              </w:rPr>
            </w:pPr>
            <w:r>
              <w:rPr>
                <w:rFonts w:ascii="Arial" w:cs="Arial" w:eastAsia="Arial" w:hAnsi="Arial"/>
                <w:sz w:val="20"/>
                <w:szCs w:val="20"/>
                <w:color w:val="auto"/>
              </w:rPr>
              <w:t>Payment of Obligations.</w:t>
            </w:r>
          </w:p>
        </w:tc>
        <w:tc>
          <w:tcPr>
            <w:tcW w:w="9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6.05</w:t>
            </w:r>
          </w:p>
        </w:tc>
        <w:tc>
          <w:tcPr>
            <w:tcW w:w="7800" w:type="dxa"/>
            <w:vAlign w:val="bottom"/>
          </w:tcPr>
          <w:p>
            <w:pPr>
              <w:ind w:left="140"/>
              <w:spacing w:after="0"/>
              <w:rPr>
                <w:sz w:val="20"/>
                <w:szCs w:val="20"/>
                <w:color w:val="auto"/>
              </w:rPr>
            </w:pPr>
            <w:r>
              <w:rPr>
                <w:rFonts w:ascii="Arial" w:cs="Arial" w:eastAsia="Arial" w:hAnsi="Arial"/>
                <w:sz w:val="20"/>
                <w:szCs w:val="20"/>
                <w:color w:val="auto"/>
              </w:rPr>
              <w:t>Preservation of Existence, Etc.</w:t>
            </w:r>
          </w:p>
        </w:tc>
        <w:tc>
          <w:tcPr>
            <w:tcW w:w="96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6.06</w:t>
            </w:r>
          </w:p>
        </w:tc>
        <w:tc>
          <w:tcPr>
            <w:tcW w:w="7800" w:type="dxa"/>
            <w:vAlign w:val="bottom"/>
          </w:tcPr>
          <w:p>
            <w:pPr>
              <w:ind w:left="140"/>
              <w:spacing w:after="0"/>
              <w:rPr>
                <w:sz w:val="20"/>
                <w:szCs w:val="20"/>
                <w:color w:val="auto"/>
              </w:rPr>
            </w:pPr>
            <w:r>
              <w:rPr>
                <w:rFonts w:ascii="Arial" w:cs="Arial" w:eastAsia="Arial" w:hAnsi="Arial"/>
                <w:sz w:val="20"/>
                <w:szCs w:val="20"/>
                <w:color w:val="auto"/>
              </w:rPr>
              <w:t>Maintenance of Properties.</w:t>
            </w:r>
          </w:p>
        </w:tc>
        <w:tc>
          <w:tcPr>
            <w:tcW w:w="9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6.07</w:t>
            </w:r>
          </w:p>
        </w:tc>
        <w:tc>
          <w:tcPr>
            <w:tcW w:w="7800" w:type="dxa"/>
            <w:vAlign w:val="bottom"/>
          </w:tcPr>
          <w:p>
            <w:pPr>
              <w:ind w:left="140"/>
              <w:spacing w:after="0"/>
              <w:rPr>
                <w:sz w:val="20"/>
                <w:szCs w:val="20"/>
                <w:color w:val="auto"/>
              </w:rPr>
            </w:pPr>
            <w:r>
              <w:rPr>
                <w:rFonts w:ascii="Arial" w:cs="Arial" w:eastAsia="Arial" w:hAnsi="Arial"/>
                <w:sz w:val="20"/>
                <w:szCs w:val="20"/>
                <w:color w:val="auto"/>
              </w:rPr>
              <w:t>Maintenance of Insurance.</w:t>
            </w:r>
          </w:p>
        </w:tc>
        <w:tc>
          <w:tcPr>
            <w:tcW w:w="9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6.08</w:t>
            </w:r>
          </w:p>
        </w:tc>
        <w:tc>
          <w:tcPr>
            <w:tcW w:w="7800" w:type="dxa"/>
            <w:vAlign w:val="bottom"/>
          </w:tcPr>
          <w:p>
            <w:pPr>
              <w:ind w:left="140"/>
              <w:spacing w:after="0"/>
              <w:rPr>
                <w:sz w:val="20"/>
                <w:szCs w:val="20"/>
                <w:color w:val="auto"/>
              </w:rPr>
            </w:pPr>
            <w:r>
              <w:rPr>
                <w:rFonts w:ascii="Arial" w:cs="Arial" w:eastAsia="Arial" w:hAnsi="Arial"/>
                <w:sz w:val="20"/>
                <w:szCs w:val="20"/>
                <w:color w:val="auto"/>
              </w:rPr>
              <w:t>Compliance with Laws.</w:t>
            </w:r>
          </w:p>
        </w:tc>
        <w:tc>
          <w:tcPr>
            <w:tcW w:w="9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6.09</w:t>
            </w:r>
          </w:p>
        </w:tc>
        <w:tc>
          <w:tcPr>
            <w:tcW w:w="7800" w:type="dxa"/>
            <w:vAlign w:val="bottom"/>
          </w:tcPr>
          <w:p>
            <w:pPr>
              <w:ind w:left="140"/>
              <w:spacing w:after="0"/>
              <w:rPr>
                <w:sz w:val="20"/>
                <w:szCs w:val="20"/>
                <w:color w:val="auto"/>
              </w:rPr>
            </w:pPr>
            <w:r>
              <w:rPr>
                <w:rFonts w:ascii="Arial" w:cs="Arial" w:eastAsia="Arial" w:hAnsi="Arial"/>
                <w:sz w:val="20"/>
                <w:szCs w:val="20"/>
                <w:color w:val="auto"/>
              </w:rPr>
              <w:t>Books and Records.</w:t>
            </w:r>
          </w:p>
        </w:tc>
        <w:tc>
          <w:tcPr>
            <w:tcW w:w="9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6.10</w:t>
            </w:r>
          </w:p>
        </w:tc>
        <w:tc>
          <w:tcPr>
            <w:tcW w:w="7800" w:type="dxa"/>
            <w:vAlign w:val="bottom"/>
          </w:tcPr>
          <w:p>
            <w:pPr>
              <w:ind w:left="140"/>
              <w:spacing w:after="0"/>
              <w:rPr>
                <w:sz w:val="20"/>
                <w:szCs w:val="20"/>
                <w:color w:val="auto"/>
              </w:rPr>
            </w:pPr>
            <w:r>
              <w:rPr>
                <w:rFonts w:ascii="Arial" w:cs="Arial" w:eastAsia="Arial" w:hAnsi="Arial"/>
                <w:sz w:val="20"/>
                <w:szCs w:val="20"/>
                <w:color w:val="auto"/>
              </w:rPr>
              <w:t>Inspection Rights.</w:t>
            </w:r>
          </w:p>
        </w:tc>
        <w:tc>
          <w:tcPr>
            <w:tcW w:w="96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6.11</w:t>
            </w:r>
          </w:p>
        </w:tc>
        <w:tc>
          <w:tcPr>
            <w:tcW w:w="7800" w:type="dxa"/>
            <w:vAlign w:val="bottom"/>
          </w:tcPr>
          <w:p>
            <w:pPr>
              <w:ind w:left="140"/>
              <w:spacing w:after="0"/>
              <w:rPr>
                <w:sz w:val="20"/>
                <w:szCs w:val="20"/>
                <w:color w:val="auto"/>
              </w:rPr>
            </w:pPr>
            <w:r>
              <w:rPr>
                <w:rFonts w:ascii="Arial" w:cs="Arial" w:eastAsia="Arial" w:hAnsi="Arial"/>
                <w:sz w:val="20"/>
                <w:szCs w:val="20"/>
                <w:color w:val="auto"/>
              </w:rPr>
              <w:t>Use of Proceeds.</w:t>
            </w:r>
          </w:p>
        </w:tc>
        <w:tc>
          <w:tcPr>
            <w:tcW w:w="96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6.12</w:t>
            </w:r>
          </w:p>
        </w:tc>
        <w:tc>
          <w:tcPr>
            <w:tcW w:w="7800" w:type="dxa"/>
            <w:vAlign w:val="bottom"/>
          </w:tcPr>
          <w:p>
            <w:pPr>
              <w:ind w:left="140"/>
              <w:spacing w:after="0"/>
              <w:rPr>
                <w:sz w:val="20"/>
                <w:szCs w:val="20"/>
                <w:color w:val="auto"/>
              </w:rPr>
            </w:pPr>
            <w:r>
              <w:rPr>
                <w:rFonts w:ascii="Arial" w:cs="Arial" w:eastAsia="Arial" w:hAnsi="Arial"/>
                <w:sz w:val="20"/>
                <w:szCs w:val="20"/>
                <w:color w:val="auto"/>
              </w:rPr>
              <w:t>Covenant to Guarantee Obligations.</w:t>
            </w:r>
          </w:p>
        </w:tc>
        <w:tc>
          <w:tcPr>
            <w:tcW w:w="96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6.13</w:t>
            </w:r>
          </w:p>
        </w:tc>
        <w:tc>
          <w:tcPr>
            <w:tcW w:w="7800" w:type="dxa"/>
            <w:vAlign w:val="bottom"/>
          </w:tcPr>
          <w:p>
            <w:pPr>
              <w:ind w:left="140"/>
              <w:spacing w:after="0"/>
              <w:rPr>
                <w:sz w:val="20"/>
                <w:szCs w:val="20"/>
                <w:color w:val="auto"/>
              </w:rPr>
            </w:pPr>
            <w:r>
              <w:rPr>
                <w:rFonts w:ascii="Arial" w:cs="Arial" w:eastAsia="Arial" w:hAnsi="Arial"/>
                <w:sz w:val="20"/>
                <w:szCs w:val="20"/>
                <w:color w:val="auto"/>
              </w:rPr>
              <w:t>Covenant to Give Security.</w:t>
            </w:r>
          </w:p>
        </w:tc>
        <w:tc>
          <w:tcPr>
            <w:tcW w:w="96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6.14</w:t>
            </w:r>
          </w:p>
        </w:tc>
        <w:tc>
          <w:tcPr>
            <w:tcW w:w="7800" w:type="dxa"/>
            <w:vAlign w:val="bottom"/>
          </w:tcPr>
          <w:p>
            <w:pPr>
              <w:ind w:left="140"/>
              <w:spacing w:after="0"/>
              <w:rPr>
                <w:sz w:val="20"/>
                <w:szCs w:val="20"/>
                <w:color w:val="auto"/>
              </w:rPr>
            </w:pPr>
            <w:r>
              <w:rPr>
                <w:rFonts w:ascii="Arial" w:cs="Arial" w:eastAsia="Arial" w:hAnsi="Arial"/>
                <w:sz w:val="20"/>
                <w:szCs w:val="20"/>
                <w:color w:val="auto"/>
              </w:rPr>
              <w:t>Further Assurances.</w:t>
            </w: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6.15</w:t>
            </w:r>
          </w:p>
        </w:tc>
        <w:tc>
          <w:tcPr>
            <w:tcW w:w="7800" w:type="dxa"/>
            <w:vAlign w:val="bottom"/>
          </w:tcPr>
          <w:p>
            <w:pPr>
              <w:ind w:left="140"/>
              <w:spacing w:after="0"/>
              <w:rPr>
                <w:sz w:val="20"/>
                <w:szCs w:val="20"/>
                <w:color w:val="auto"/>
              </w:rPr>
            </w:pPr>
            <w:r>
              <w:rPr>
                <w:rFonts w:ascii="Arial" w:cs="Arial" w:eastAsia="Arial" w:hAnsi="Arial"/>
                <w:sz w:val="20"/>
                <w:szCs w:val="20"/>
                <w:color w:val="auto"/>
              </w:rPr>
              <w:t>Anti-Corruption Laws; Sanctions.</w:t>
            </w: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30"/>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VII NEGATIVE COVENANTS</w:t>
            </w: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7.01</w:t>
            </w:r>
          </w:p>
        </w:tc>
        <w:tc>
          <w:tcPr>
            <w:tcW w:w="7800" w:type="dxa"/>
            <w:vAlign w:val="bottom"/>
          </w:tcPr>
          <w:p>
            <w:pPr>
              <w:ind w:left="140"/>
              <w:spacing w:after="0"/>
              <w:rPr>
                <w:sz w:val="20"/>
                <w:szCs w:val="20"/>
                <w:color w:val="auto"/>
              </w:rPr>
            </w:pPr>
            <w:r>
              <w:rPr>
                <w:rFonts w:ascii="Arial" w:cs="Arial" w:eastAsia="Arial" w:hAnsi="Arial"/>
                <w:sz w:val="20"/>
                <w:szCs w:val="20"/>
                <w:color w:val="auto"/>
              </w:rPr>
              <w:t>Liens.</w:t>
            </w: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7.02</w:t>
            </w:r>
          </w:p>
        </w:tc>
        <w:tc>
          <w:tcPr>
            <w:tcW w:w="7800" w:type="dxa"/>
            <w:vAlign w:val="bottom"/>
          </w:tcPr>
          <w:p>
            <w:pPr>
              <w:ind w:left="140"/>
              <w:spacing w:after="0"/>
              <w:rPr>
                <w:sz w:val="20"/>
                <w:szCs w:val="20"/>
                <w:color w:val="auto"/>
              </w:rPr>
            </w:pPr>
            <w:r>
              <w:rPr>
                <w:rFonts w:ascii="Arial" w:cs="Arial" w:eastAsia="Arial" w:hAnsi="Arial"/>
                <w:sz w:val="20"/>
                <w:szCs w:val="20"/>
                <w:color w:val="auto"/>
              </w:rPr>
              <w:t>Indebtedness.</w:t>
            </w:r>
          </w:p>
        </w:tc>
        <w:tc>
          <w:tcPr>
            <w:tcW w:w="96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7.03</w:t>
            </w:r>
          </w:p>
        </w:tc>
        <w:tc>
          <w:tcPr>
            <w:tcW w:w="7800" w:type="dxa"/>
            <w:vAlign w:val="bottom"/>
          </w:tcPr>
          <w:p>
            <w:pPr>
              <w:ind w:left="140"/>
              <w:spacing w:after="0"/>
              <w:rPr>
                <w:sz w:val="20"/>
                <w:szCs w:val="20"/>
                <w:color w:val="auto"/>
              </w:rPr>
            </w:pPr>
            <w:r>
              <w:rPr>
                <w:rFonts w:ascii="Arial" w:cs="Arial" w:eastAsia="Arial" w:hAnsi="Arial"/>
                <w:sz w:val="20"/>
                <w:szCs w:val="20"/>
                <w:color w:val="auto"/>
              </w:rPr>
              <w:t>Investments.</w:t>
            </w:r>
          </w:p>
        </w:tc>
        <w:tc>
          <w:tcPr>
            <w:tcW w:w="9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7.04</w:t>
            </w:r>
          </w:p>
        </w:tc>
        <w:tc>
          <w:tcPr>
            <w:tcW w:w="7800" w:type="dxa"/>
            <w:vAlign w:val="bottom"/>
          </w:tcPr>
          <w:p>
            <w:pPr>
              <w:ind w:left="140"/>
              <w:spacing w:after="0"/>
              <w:rPr>
                <w:sz w:val="20"/>
                <w:szCs w:val="20"/>
                <w:color w:val="auto"/>
              </w:rPr>
            </w:pPr>
            <w:r>
              <w:rPr>
                <w:rFonts w:ascii="Arial" w:cs="Arial" w:eastAsia="Arial" w:hAnsi="Arial"/>
                <w:sz w:val="20"/>
                <w:szCs w:val="20"/>
                <w:color w:val="auto"/>
              </w:rPr>
              <w:t>Fundamental Changes.</w:t>
            </w:r>
          </w:p>
        </w:tc>
        <w:tc>
          <w:tcPr>
            <w:tcW w:w="9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7.05</w:t>
            </w:r>
          </w:p>
        </w:tc>
        <w:tc>
          <w:tcPr>
            <w:tcW w:w="7800" w:type="dxa"/>
            <w:vAlign w:val="bottom"/>
          </w:tcPr>
          <w:p>
            <w:pPr>
              <w:ind w:left="140"/>
              <w:spacing w:after="0"/>
              <w:rPr>
                <w:sz w:val="20"/>
                <w:szCs w:val="20"/>
                <w:color w:val="auto"/>
              </w:rPr>
            </w:pPr>
            <w:r>
              <w:rPr>
                <w:rFonts w:ascii="Arial" w:cs="Arial" w:eastAsia="Arial" w:hAnsi="Arial"/>
                <w:sz w:val="20"/>
                <w:szCs w:val="20"/>
                <w:color w:val="auto"/>
              </w:rPr>
              <w:t>Dispositions.</w:t>
            </w:r>
          </w:p>
        </w:tc>
        <w:tc>
          <w:tcPr>
            <w:tcW w:w="9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7.06</w:t>
            </w:r>
          </w:p>
        </w:tc>
        <w:tc>
          <w:tcPr>
            <w:tcW w:w="7800" w:type="dxa"/>
            <w:vAlign w:val="bottom"/>
          </w:tcPr>
          <w:p>
            <w:pPr>
              <w:ind w:left="140"/>
              <w:spacing w:after="0"/>
              <w:rPr>
                <w:sz w:val="20"/>
                <w:szCs w:val="20"/>
                <w:color w:val="auto"/>
              </w:rPr>
            </w:pPr>
            <w:r>
              <w:rPr>
                <w:rFonts w:ascii="Arial" w:cs="Arial" w:eastAsia="Arial" w:hAnsi="Arial"/>
                <w:sz w:val="20"/>
                <w:szCs w:val="20"/>
                <w:color w:val="auto"/>
              </w:rPr>
              <w:t>Restricted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7.07</w:t>
            </w:r>
          </w:p>
        </w:tc>
        <w:tc>
          <w:tcPr>
            <w:tcW w:w="7800" w:type="dxa"/>
            <w:vAlign w:val="bottom"/>
          </w:tcPr>
          <w:p>
            <w:pPr>
              <w:ind w:left="140"/>
              <w:spacing w:after="0"/>
              <w:rPr>
                <w:sz w:val="20"/>
                <w:szCs w:val="20"/>
                <w:color w:val="auto"/>
              </w:rPr>
            </w:pPr>
            <w:r>
              <w:rPr>
                <w:rFonts w:ascii="Arial" w:cs="Arial" w:eastAsia="Arial" w:hAnsi="Arial"/>
                <w:sz w:val="20"/>
                <w:szCs w:val="20"/>
                <w:color w:val="auto"/>
              </w:rPr>
              <w:t>Change in Nature of Business.</w:t>
            </w:r>
          </w:p>
        </w:tc>
        <w:tc>
          <w:tcPr>
            <w:tcW w:w="9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7.08</w:t>
            </w:r>
          </w:p>
        </w:tc>
        <w:tc>
          <w:tcPr>
            <w:tcW w:w="7800" w:type="dxa"/>
            <w:vAlign w:val="bottom"/>
          </w:tcPr>
          <w:p>
            <w:pPr>
              <w:ind w:left="140"/>
              <w:spacing w:after="0"/>
              <w:rPr>
                <w:sz w:val="20"/>
                <w:szCs w:val="20"/>
                <w:color w:val="auto"/>
              </w:rPr>
            </w:pPr>
            <w:r>
              <w:rPr>
                <w:rFonts w:ascii="Arial" w:cs="Arial" w:eastAsia="Arial" w:hAnsi="Arial"/>
                <w:sz w:val="20"/>
                <w:szCs w:val="20"/>
                <w:color w:val="auto"/>
              </w:rPr>
              <w:t>Transactions with Affiliates.</w:t>
            </w:r>
          </w:p>
        </w:tc>
        <w:tc>
          <w:tcPr>
            <w:tcW w:w="9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7.09</w:t>
            </w:r>
          </w:p>
        </w:tc>
        <w:tc>
          <w:tcPr>
            <w:tcW w:w="7800" w:type="dxa"/>
            <w:vAlign w:val="bottom"/>
          </w:tcPr>
          <w:p>
            <w:pPr>
              <w:ind w:left="140"/>
              <w:spacing w:after="0"/>
              <w:rPr>
                <w:sz w:val="20"/>
                <w:szCs w:val="20"/>
                <w:color w:val="auto"/>
              </w:rPr>
            </w:pPr>
            <w:r>
              <w:rPr>
                <w:rFonts w:ascii="Arial" w:cs="Arial" w:eastAsia="Arial" w:hAnsi="Arial"/>
                <w:sz w:val="20"/>
                <w:szCs w:val="20"/>
                <w:color w:val="auto"/>
              </w:rPr>
              <w:t>Burdensome Agreements.</w:t>
            </w:r>
          </w:p>
        </w:tc>
        <w:tc>
          <w:tcPr>
            <w:tcW w:w="9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7.10</w:t>
            </w:r>
          </w:p>
        </w:tc>
        <w:tc>
          <w:tcPr>
            <w:tcW w:w="7800" w:type="dxa"/>
            <w:vAlign w:val="bottom"/>
          </w:tcPr>
          <w:p>
            <w:pPr>
              <w:ind w:left="140"/>
              <w:spacing w:after="0"/>
              <w:rPr>
                <w:sz w:val="20"/>
                <w:szCs w:val="20"/>
                <w:color w:val="auto"/>
              </w:rPr>
            </w:pPr>
            <w:r>
              <w:rPr>
                <w:rFonts w:ascii="Arial" w:cs="Arial" w:eastAsia="Arial" w:hAnsi="Arial"/>
                <w:sz w:val="20"/>
                <w:szCs w:val="20"/>
                <w:color w:val="auto"/>
              </w:rPr>
              <w:t>Use of Proceeds.</w:t>
            </w:r>
          </w:p>
        </w:tc>
        <w:tc>
          <w:tcPr>
            <w:tcW w:w="9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7.11</w:t>
            </w:r>
          </w:p>
        </w:tc>
        <w:tc>
          <w:tcPr>
            <w:tcW w:w="7800" w:type="dxa"/>
            <w:vAlign w:val="bottom"/>
          </w:tcPr>
          <w:p>
            <w:pPr>
              <w:ind w:left="140"/>
              <w:spacing w:after="0"/>
              <w:rPr>
                <w:sz w:val="20"/>
                <w:szCs w:val="20"/>
                <w:color w:val="auto"/>
              </w:rPr>
            </w:pPr>
            <w:r>
              <w:rPr>
                <w:rFonts w:ascii="Arial" w:cs="Arial" w:eastAsia="Arial" w:hAnsi="Arial"/>
                <w:sz w:val="20"/>
                <w:szCs w:val="20"/>
                <w:color w:val="auto"/>
              </w:rPr>
              <w:t>Financial Covenants.</w:t>
            </w:r>
          </w:p>
        </w:tc>
        <w:tc>
          <w:tcPr>
            <w:tcW w:w="9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7.12</w:t>
            </w:r>
          </w:p>
        </w:tc>
        <w:tc>
          <w:tcPr>
            <w:tcW w:w="7800" w:type="dxa"/>
            <w:vAlign w:val="bottom"/>
          </w:tcPr>
          <w:p>
            <w:pPr>
              <w:ind w:left="140"/>
              <w:spacing w:after="0"/>
              <w:rPr>
                <w:sz w:val="20"/>
                <w:szCs w:val="20"/>
                <w:color w:val="auto"/>
              </w:rPr>
            </w:pPr>
            <w:r>
              <w:rPr>
                <w:rFonts w:ascii="Arial" w:cs="Arial" w:eastAsia="Arial" w:hAnsi="Arial"/>
                <w:sz w:val="20"/>
                <w:szCs w:val="20"/>
                <w:color w:val="auto"/>
                <w:w w:val="97"/>
              </w:rPr>
              <w:t>Amendments of Organization Documents; Changes in Fiscal Year, Legal Name, State of</w:t>
            </w:r>
          </w:p>
        </w:tc>
        <w:tc>
          <w:tcPr>
            <w:tcW w:w="9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30"/>
        </w:trPr>
        <w:tc>
          <w:tcPr>
            <w:tcW w:w="116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Arial" w:cs="Arial" w:eastAsia="Arial" w:hAnsi="Arial"/>
                <w:sz w:val="20"/>
                <w:szCs w:val="20"/>
                <w:color w:val="auto"/>
              </w:rPr>
              <w:t>Organization, or Form of Entity; Accounting Changes.</w:t>
            </w:r>
          </w:p>
        </w:tc>
        <w:tc>
          <w:tcPr>
            <w:tcW w:w="960" w:type="dxa"/>
            <w:vAlign w:val="bottom"/>
          </w:tcPr>
          <w:p>
            <w:pPr>
              <w:spacing w:after="0"/>
              <w:rPr>
                <w:sz w:val="19"/>
                <w:szCs w:val="19"/>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7.13</w:t>
            </w:r>
          </w:p>
        </w:tc>
        <w:tc>
          <w:tcPr>
            <w:tcW w:w="7800" w:type="dxa"/>
            <w:vAlign w:val="bottom"/>
          </w:tcPr>
          <w:p>
            <w:pPr>
              <w:ind w:left="140"/>
              <w:spacing w:after="0"/>
              <w:rPr>
                <w:sz w:val="20"/>
                <w:szCs w:val="20"/>
                <w:color w:val="auto"/>
              </w:rPr>
            </w:pPr>
            <w:r>
              <w:rPr>
                <w:rFonts w:ascii="Arial" w:cs="Arial" w:eastAsia="Arial" w:hAnsi="Arial"/>
                <w:sz w:val="20"/>
                <w:szCs w:val="20"/>
                <w:color w:val="auto"/>
              </w:rPr>
              <w:t>Sale and Leaseback Transactions.</w:t>
            </w:r>
          </w:p>
        </w:tc>
        <w:tc>
          <w:tcPr>
            <w:tcW w:w="9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7.14</w:t>
            </w:r>
          </w:p>
        </w:tc>
        <w:tc>
          <w:tcPr>
            <w:tcW w:w="7800" w:type="dxa"/>
            <w:vAlign w:val="bottom"/>
          </w:tcPr>
          <w:p>
            <w:pPr>
              <w:ind w:left="140"/>
              <w:spacing w:after="0"/>
              <w:rPr>
                <w:sz w:val="20"/>
                <w:szCs w:val="20"/>
                <w:color w:val="auto"/>
              </w:rPr>
            </w:pPr>
            <w:r>
              <w:rPr>
                <w:rFonts w:ascii="Arial" w:cs="Arial" w:eastAsia="Arial" w:hAnsi="Arial"/>
                <w:sz w:val="20"/>
                <w:szCs w:val="20"/>
                <w:color w:val="auto"/>
              </w:rPr>
              <w:t>Junior Debt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7.15</w:t>
            </w:r>
          </w:p>
        </w:tc>
        <w:tc>
          <w:tcPr>
            <w:tcW w:w="7800" w:type="dxa"/>
            <w:vAlign w:val="bottom"/>
          </w:tcPr>
          <w:p>
            <w:pPr>
              <w:ind w:left="140"/>
              <w:spacing w:after="0"/>
              <w:rPr>
                <w:sz w:val="20"/>
                <w:szCs w:val="20"/>
                <w:color w:val="auto"/>
              </w:rPr>
            </w:pPr>
            <w:r>
              <w:rPr>
                <w:rFonts w:ascii="Arial" w:cs="Arial" w:eastAsia="Arial" w:hAnsi="Arial"/>
                <w:sz w:val="20"/>
                <w:szCs w:val="20"/>
                <w:color w:val="auto"/>
              </w:rPr>
              <w:t>Amendment, Etc. of Junior Debt.</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7.16</w:t>
            </w:r>
          </w:p>
        </w:tc>
        <w:tc>
          <w:tcPr>
            <w:tcW w:w="7800" w:type="dxa"/>
            <w:vAlign w:val="bottom"/>
          </w:tcPr>
          <w:p>
            <w:pPr>
              <w:ind w:left="140"/>
              <w:spacing w:after="0"/>
              <w:rPr>
                <w:sz w:val="20"/>
                <w:szCs w:val="20"/>
                <w:color w:val="auto"/>
              </w:rPr>
            </w:pPr>
            <w:r>
              <w:rPr>
                <w:rFonts w:ascii="Arial" w:cs="Arial" w:eastAsia="Arial" w:hAnsi="Arial"/>
                <w:sz w:val="20"/>
                <w:szCs w:val="20"/>
                <w:color w:val="auto"/>
              </w:rPr>
              <w:t>Sanctions.</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7.17</w:t>
            </w:r>
          </w:p>
        </w:tc>
        <w:tc>
          <w:tcPr>
            <w:tcW w:w="7800" w:type="dxa"/>
            <w:vAlign w:val="bottom"/>
          </w:tcPr>
          <w:p>
            <w:pPr>
              <w:ind w:left="140"/>
              <w:spacing w:after="0"/>
              <w:rPr>
                <w:sz w:val="20"/>
                <w:szCs w:val="20"/>
                <w:color w:val="auto"/>
              </w:rPr>
            </w:pPr>
            <w:r>
              <w:rPr>
                <w:rFonts w:ascii="Arial" w:cs="Arial" w:eastAsia="Arial" w:hAnsi="Arial"/>
                <w:sz w:val="20"/>
                <w:szCs w:val="20"/>
                <w:color w:val="auto"/>
              </w:rPr>
              <w:t>Anti-Corruption Laws.</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29"/>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VIII EVENTS OF DEFAULT AND REMEDIES</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8.01</w:t>
            </w:r>
          </w:p>
        </w:tc>
        <w:tc>
          <w:tcPr>
            <w:tcW w:w="7800" w:type="dxa"/>
            <w:vAlign w:val="bottom"/>
          </w:tcPr>
          <w:p>
            <w:pPr>
              <w:ind w:left="140"/>
              <w:spacing w:after="0"/>
              <w:rPr>
                <w:sz w:val="20"/>
                <w:szCs w:val="20"/>
                <w:color w:val="auto"/>
              </w:rPr>
            </w:pPr>
            <w:r>
              <w:rPr>
                <w:rFonts w:ascii="Arial" w:cs="Arial" w:eastAsia="Arial" w:hAnsi="Arial"/>
                <w:sz w:val="20"/>
                <w:szCs w:val="20"/>
                <w:color w:val="auto"/>
              </w:rPr>
              <w:t>Events of Default.</w:t>
            </w:r>
          </w:p>
        </w:tc>
        <w:tc>
          <w:tcPr>
            <w:tcW w:w="960" w:type="dxa"/>
            <w:vAlign w:val="bottom"/>
          </w:tcPr>
          <w:p>
            <w:pPr>
              <w:jc w:val="right"/>
              <w:spacing w:after="0"/>
              <w:rPr>
                <w:sz w:val="20"/>
                <w:szCs w:val="20"/>
                <w:color w:val="auto"/>
              </w:rPr>
            </w:pPr>
            <w:r>
              <w:rPr>
                <w:rFonts w:ascii="Arial" w:cs="Arial" w:eastAsia="Arial" w:hAnsi="Arial"/>
                <w:sz w:val="20"/>
                <w:szCs w:val="20"/>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5" w:right="9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8.02</w:t>
            </w:r>
          </w:p>
        </w:tc>
        <w:tc>
          <w:tcPr>
            <w:tcW w:w="7360" w:type="dxa"/>
            <w:vAlign w:val="bottom"/>
          </w:tcPr>
          <w:p>
            <w:pPr>
              <w:ind w:left="160"/>
              <w:spacing w:after="0"/>
              <w:rPr>
                <w:sz w:val="20"/>
                <w:szCs w:val="20"/>
                <w:color w:val="auto"/>
              </w:rPr>
            </w:pPr>
            <w:r>
              <w:rPr>
                <w:rFonts w:ascii="Arial" w:cs="Arial" w:eastAsia="Arial" w:hAnsi="Arial"/>
                <w:sz w:val="20"/>
                <w:szCs w:val="20"/>
                <w:color w:val="auto"/>
              </w:rPr>
              <w:t>Remedies upon Event of Default.</w:t>
            </w:r>
          </w:p>
        </w:tc>
        <w:tc>
          <w:tcPr>
            <w:tcW w:w="142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8.03</w:t>
            </w:r>
          </w:p>
        </w:tc>
        <w:tc>
          <w:tcPr>
            <w:tcW w:w="7360" w:type="dxa"/>
            <w:vAlign w:val="bottom"/>
          </w:tcPr>
          <w:p>
            <w:pPr>
              <w:ind w:left="160"/>
              <w:spacing w:after="0"/>
              <w:rPr>
                <w:sz w:val="20"/>
                <w:szCs w:val="20"/>
                <w:color w:val="auto"/>
              </w:rPr>
            </w:pPr>
            <w:r>
              <w:rPr>
                <w:rFonts w:ascii="Arial" w:cs="Arial" w:eastAsia="Arial" w:hAnsi="Arial"/>
                <w:sz w:val="20"/>
                <w:szCs w:val="20"/>
                <w:color w:val="auto"/>
              </w:rPr>
              <w:t>Application of Funds.</w:t>
            </w:r>
          </w:p>
        </w:tc>
        <w:tc>
          <w:tcPr>
            <w:tcW w:w="142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29"/>
        </w:trPr>
        <w:tc>
          <w:tcPr>
            <w:tcW w:w="1140" w:type="dxa"/>
            <w:vAlign w:val="bottom"/>
          </w:tcPr>
          <w:p>
            <w:pPr>
              <w:spacing w:after="0"/>
              <w:rPr>
                <w:sz w:val="20"/>
                <w:szCs w:val="20"/>
                <w:color w:val="auto"/>
              </w:rPr>
            </w:pPr>
            <w:r>
              <w:rPr>
                <w:rFonts w:ascii="Arial" w:cs="Arial" w:eastAsia="Arial" w:hAnsi="Arial"/>
                <w:sz w:val="20"/>
                <w:szCs w:val="20"/>
                <w:color w:val="auto"/>
              </w:rPr>
              <w:t>ARTICLE IX</w:t>
            </w:r>
          </w:p>
        </w:tc>
        <w:tc>
          <w:tcPr>
            <w:tcW w:w="7360" w:type="dxa"/>
            <w:vAlign w:val="bottom"/>
          </w:tcPr>
          <w:p>
            <w:pPr>
              <w:ind w:left="40"/>
              <w:spacing w:after="0"/>
              <w:rPr>
                <w:sz w:val="20"/>
                <w:szCs w:val="20"/>
                <w:color w:val="auto"/>
              </w:rPr>
            </w:pPr>
            <w:r>
              <w:rPr>
                <w:rFonts w:ascii="Arial" w:cs="Arial" w:eastAsia="Arial" w:hAnsi="Arial"/>
                <w:sz w:val="20"/>
                <w:szCs w:val="20"/>
                <w:color w:val="auto"/>
              </w:rPr>
              <w:t>ADMINISTRATIVE AGENT</w:t>
            </w:r>
          </w:p>
        </w:tc>
        <w:tc>
          <w:tcPr>
            <w:tcW w:w="142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9.01</w:t>
            </w:r>
          </w:p>
        </w:tc>
        <w:tc>
          <w:tcPr>
            <w:tcW w:w="7360" w:type="dxa"/>
            <w:vAlign w:val="bottom"/>
          </w:tcPr>
          <w:p>
            <w:pPr>
              <w:ind w:left="160"/>
              <w:spacing w:after="0"/>
              <w:rPr>
                <w:sz w:val="20"/>
                <w:szCs w:val="20"/>
                <w:color w:val="auto"/>
              </w:rPr>
            </w:pPr>
            <w:r>
              <w:rPr>
                <w:rFonts w:ascii="Arial" w:cs="Arial" w:eastAsia="Arial" w:hAnsi="Arial"/>
                <w:sz w:val="20"/>
                <w:szCs w:val="20"/>
                <w:color w:val="auto"/>
              </w:rPr>
              <w:t>Appointment and Authority.</w:t>
            </w:r>
          </w:p>
        </w:tc>
        <w:tc>
          <w:tcPr>
            <w:tcW w:w="142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9.02</w:t>
            </w:r>
          </w:p>
        </w:tc>
        <w:tc>
          <w:tcPr>
            <w:tcW w:w="7360" w:type="dxa"/>
            <w:vAlign w:val="bottom"/>
          </w:tcPr>
          <w:p>
            <w:pPr>
              <w:ind w:left="160"/>
              <w:spacing w:after="0"/>
              <w:rPr>
                <w:sz w:val="20"/>
                <w:szCs w:val="20"/>
                <w:color w:val="auto"/>
              </w:rPr>
            </w:pPr>
            <w:r>
              <w:rPr>
                <w:rFonts w:ascii="Arial" w:cs="Arial" w:eastAsia="Arial" w:hAnsi="Arial"/>
                <w:sz w:val="20"/>
                <w:szCs w:val="20"/>
                <w:color w:val="auto"/>
              </w:rPr>
              <w:t>Rights as a Lender.</w:t>
            </w:r>
          </w:p>
        </w:tc>
        <w:tc>
          <w:tcPr>
            <w:tcW w:w="14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9.03</w:t>
            </w:r>
          </w:p>
        </w:tc>
        <w:tc>
          <w:tcPr>
            <w:tcW w:w="7360" w:type="dxa"/>
            <w:vAlign w:val="bottom"/>
          </w:tcPr>
          <w:p>
            <w:pPr>
              <w:ind w:left="160"/>
              <w:spacing w:after="0"/>
              <w:rPr>
                <w:sz w:val="20"/>
                <w:szCs w:val="20"/>
                <w:color w:val="auto"/>
              </w:rPr>
            </w:pPr>
            <w:r>
              <w:rPr>
                <w:rFonts w:ascii="Arial" w:cs="Arial" w:eastAsia="Arial" w:hAnsi="Arial"/>
                <w:sz w:val="20"/>
                <w:szCs w:val="20"/>
                <w:color w:val="auto"/>
              </w:rPr>
              <w:t>Exculpatory Provisions.</w:t>
            </w:r>
          </w:p>
        </w:tc>
        <w:tc>
          <w:tcPr>
            <w:tcW w:w="14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9.04</w:t>
            </w:r>
          </w:p>
        </w:tc>
        <w:tc>
          <w:tcPr>
            <w:tcW w:w="7360" w:type="dxa"/>
            <w:vAlign w:val="bottom"/>
          </w:tcPr>
          <w:p>
            <w:pPr>
              <w:ind w:left="160"/>
              <w:spacing w:after="0"/>
              <w:rPr>
                <w:sz w:val="20"/>
                <w:szCs w:val="20"/>
                <w:color w:val="auto"/>
              </w:rPr>
            </w:pPr>
            <w:r>
              <w:rPr>
                <w:rFonts w:ascii="Arial" w:cs="Arial" w:eastAsia="Arial" w:hAnsi="Arial"/>
                <w:sz w:val="20"/>
                <w:szCs w:val="20"/>
                <w:color w:val="auto"/>
              </w:rPr>
              <w:t>Reliance by Administrative Agent.</w:t>
            </w:r>
          </w:p>
        </w:tc>
        <w:tc>
          <w:tcPr>
            <w:tcW w:w="14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9.05</w:t>
            </w:r>
          </w:p>
        </w:tc>
        <w:tc>
          <w:tcPr>
            <w:tcW w:w="7360" w:type="dxa"/>
            <w:vAlign w:val="bottom"/>
          </w:tcPr>
          <w:p>
            <w:pPr>
              <w:ind w:left="160"/>
              <w:spacing w:after="0"/>
              <w:rPr>
                <w:sz w:val="20"/>
                <w:szCs w:val="20"/>
                <w:color w:val="auto"/>
              </w:rPr>
            </w:pPr>
            <w:r>
              <w:rPr>
                <w:rFonts w:ascii="Arial" w:cs="Arial" w:eastAsia="Arial" w:hAnsi="Arial"/>
                <w:sz w:val="20"/>
                <w:szCs w:val="20"/>
                <w:color w:val="auto"/>
              </w:rPr>
              <w:t>Delegation of Duties.</w:t>
            </w:r>
          </w:p>
        </w:tc>
        <w:tc>
          <w:tcPr>
            <w:tcW w:w="14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9.06</w:t>
            </w:r>
          </w:p>
        </w:tc>
        <w:tc>
          <w:tcPr>
            <w:tcW w:w="7360" w:type="dxa"/>
            <w:vAlign w:val="bottom"/>
          </w:tcPr>
          <w:p>
            <w:pPr>
              <w:ind w:left="160"/>
              <w:spacing w:after="0"/>
              <w:rPr>
                <w:sz w:val="20"/>
                <w:szCs w:val="20"/>
                <w:color w:val="auto"/>
              </w:rPr>
            </w:pPr>
            <w:r>
              <w:rPr>
                <w:rFonts w:ascii="Arial" w:cs="Arial" w:eastAsia="Arial" w:hAnsi="Arial"/>
                <w:sz w:val="20"/>
                <w:szCs w:val="20"/>
                <w:color w:val="auto"/>
              </w:rPr>
              <w:t>Resignation of Administrative Agent.</w:t>
            </w:r>
          </w:p>
        </w:tc>
        <w:tc>
          <w:tcPr>
            <w:tcW w:w="14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9.07</w:t>
            </w:r>
          </w:p>
        </w:tc>
        <w:tc>
          <w:tcPr>
            <w:tcW w:w="7360" w:type="dxa"/>
            <w:vAlign w:val="bottom"/>
          </w:tcPr>
          <w:p>
            <w:pPr>
              <w:ind w:left="160"/>
              <w:spacing w:after="0"/>
              <w:rPr>
                <w:sz w:val="20"/>
                <w:szCs w:val="20"/>
                <w:color w:val="auto"/>
              </w:rPr>
            </w:pPr>
            <w:r>
              <w:rPr>
                <w:rFonts w:ascii="Arial" w:cs="Arial" w:eastAsia="Arial" w:hAnsi="Arial"/>
                <w:sz w:val="20"/>
                <w:szCs w:val="20"/>
                <w:color w:val="auto"/>
              </w:rPr>
              <w:t>Non-Reliance on Administrative Agent, Arrangers and Other Lenders.</w:t>
            </w:r>
          </w:p>
        </w:tc>
        <w:tc>
          <w:tcPr>
            <w:tcW w:w="142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9.08</w:t>
            </w:r>
          </w:p>
        </w:tc>
        <w:tc>
          <w:tcPr>
            <w:tcW w:w="7360" w:type="dxa"/>
            <w:vAlign w:val="bottom"/>
          </w:tcPr>
          <w:p>
            <w:pPr>
              <w:ind w:left="160"/>
              <w:spacing w:after="0"/>
              <w:rPr>
                <w:sz w:val="20"/>
                <w:szCs w:val="20"/>
                <w:color w:val="auto"/>
              </w:rPr>
            </w:pPr>
            <w:r>
              <w:rPr>
                <w:rFonts w:ascii="Arial" w:cs="Arial" w:eastAsia="Arial" w:hAnsi="Arial"/>
                <w:sz w:val="20"/>
                <w:szCs w:val="20"/>
                <w:color w:val="auto"/>
              </w:rPr>
              <w:t>No Other Duties, Etc.</w:t>
            </w:r>
          </w:p>
        </w:tc>
        <w:tc>
          <w:tcPr>
            <w:tcW w:w="14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9.09</w:t>
            </w:r>
          </w:p>
        </w:tc>
        <w:tc>
          <w:tcPr>
            <w:tcW w:w="7360" w:type="dxa"/>
            <w:vAlign w:val="bottom"/>
          </w:tcPr>
          <w:p>
            <w:pPr>
              <w:ind w:left="160"/>
              <w:spacing w:after="0"/>
              <w:rPr>
                <w:sz w:val="20"/>
                <w:szCs w:val="20"/>
                <w:color w:val="auto"/>
              </w:rPr>
            </w:pPr>
            <w:r>
              <w:rPr>
                <w:rFonts w:ascii="Arial" w:cs="Arial" w:eastAsia="Arial" w:hAnsi="Arial"/>
                <w:sz w:val="20"/>
                <w:szCs w:val="20"/>
                <w:color w:val="auto"/>
              </w:rPr>
              <w:t>Administrative Agent May File Proofs of Claim; Credit Bidding.</w:t>
            </w:r>
          </w:p>
        </w:tc>
        <w:tc>
          <w:tcPr>
            <w:tcW w:w="14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9.10</w:t>
            </w:r>
          </w:p>
        </w:tc>
        <w:tc>
          <w:tcPr>
            <w:tcW w:w="7360" w:type="dxa"/>
            <w:vAlign w:val="bottom"/>
          </w:tcPr>
          <w:p>
            <w:pPr>
              <w:ind w:left="160"/>
              <w:spacing w:after="0"/>
              <w:rPr>
                <w:sz w:val="20"/>
                <w:szCs w:val="20"/>
                <w:color w:val="auto"/>
              </w:rPr>
            </w:pPr>
            <w:r>
              <w:rPr>
                <w:rFonts w:ascii="Arial" w:cs="Arial" w:eastAsia="Arial" w:hAnsi="Arial"/>
                <w:sz w:val="20"/>
                <w:szCs w:val="20"/>
                <w:color w:val="auto"/>
              </w:rPr>
              <w:t>Collateral and Guaranty Matters.</w:t>
            </w:r>
          </w:p>
        </w:tc>
        <w:tc>
          <w:tcPr>
            <w:tcW w:w="14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rPr>
              <w:t>9.11</w:t>
            </w:r>
          </w:p>
        </w:tc>
        <w:tc>
          <w:tcPr>
            <w:tcW w:w="7360" w:type="dxa"/>
            <w:vAlign w:val="bottom"/>
          </w:tcPr>
          <w:p>
            <w:pPr>
              <w:ind w:left="160"/>
              <w:spacing w:after="0"/>
              <w:rPr>
                <w:sz w:val="20"/>
                <w:szCs w:val="20"/>
                <w:color w:val="auto"/>
              </w:rPr>
            </w:pPr>
            <w:r>
              <w:rPr>
                <w:rFonts w:ascii="Arial" w:cs="Arial" w:eastAsia="Arial" w:hAnsi="Arial"/>
                <w:sz w:val="20"/>
                <w:szCs w:val="20"/>
                <w:color w:val="auto"/>
              </w:rPr>
              <w:t>Secured Cash Management Agreements and Secured Hedge Agreements.</w:t>
            </w:r>
          </w:p>
        </w:tc>
        <w:tc>
          <w:tcPr>
            <w:tcW w:w="14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9.12</w:t>
            </w:r>
          </w:p>
        </w:tc>
        <w:tc>
          <w:tcPr>
            <w:tcW w:w="7360" w:type="dxa"/>
            <w:vAlign w:val="bottom"/>
          </w:tcPr>
          <w:p>
            <w:pPr>
              <w:ind w:left="160"/>
              <w:spacing w:after="0"/>
              <w:rPr>
                <w:sz w:val="20"/>
                <w:szCs w:val="20"/>
                <w:color w:val="auto"/>
              </w:rPr>
            </w:pPr>
            <w:r>
              <w:rPr>
                <w:rFonts w:ascii="Arial" w:cs="Arial" w:eastAsia="Arial" w:hAnsi="Arial"/>
                <w:sz w:val="20"/>
                <w:szCs w:val="20"/>
                <w:color w:val="auto"/>
              </w:rPr>
              <w:t>Certain ERISA Matters.</w:t>
            </w:r>
          </w:p>
        </w:tc>
        <w:tc>
          <w:tcPr>
            <w:tcW w:w="14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29"/>
        </w:trPr>
        <w:tc>
          <w:tcPr>
            <w:tcW w:w="8500" w:type="dxa"/>
            <w:vAlign w:val="bottom"/>
            <w:gridSpan w:val="2"/>
          </w:tcPr>
          <w:p>
            <w:pPr>
              <w:spacing w:after="0"/>
              <w:rPr>
                <w:sz w:val="20"/>
                <w:szCs w:val="20"/>
                <w:color w:val="auto"/>
              </w:rPr>
            </w:pPr>
            <w:r>
              <w:rPr>
                <w:rFonts w:ascii="Arial" w:cs="Arial" w:eastAsia="Arial" w:hAnsi="Arial"/>
                <w:sz w:val="20"/>
                <w:szCs w:val="20"/>
                <w:color w:val="auto"/>
              </w:rPr>
              <w:t>ARTICLE X CONTINUING GUARANTY</w:t>
            </w:r>
          </w:p>
        </w:tc>
        <w:tc>
          <w:tcPr>
            <w:tcW w:w="14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10.01</w:t>
            </w:r>
          </w:p>
        </w:tc>
        <w:tc>
          <w:tcPr>
            <w:tcW w:w="7360" w:type="dxa"/>
            <w:vAlign w:val="bottom"/>
          </w:tcPr>
          <w:p>
            <w:pPr>
              <w:ind w:left="160"/>
              <w:spacing w:after="0"/>
              <w:rPr>
                <w:sz w:val="20"/>
                <w:szCs w:val="20"/>
                <w:color w:val="auto"/>
              </w:rPr>
            </w:pPr>
            <w:r>
              <w:rPr>
                <w:rFonts w:ascii="Arial" w:cs="Arial" w:eastAsia="Arial" w:hAnsi="Arial"/>
                <w:sz w:val="20"/>
                <w:szCs w:val="20"/>
                <w:color w:val="auto"/>
              </w:rPr>
              <w:t>Guaranty.</w:t>
            </w:r>
          </w:p>
        </w:tc>
        <w:tc>
          <w:tcPr>
            <w:tcW w:w="14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10.02</w:t>
            </w:r>
          </w:p>
        </w:tc>
        <w:tc>
          <w:tcPr>
            <w:tcW w:w="7360" w:type="dxa"/>
            <w:vAlign w:val="bottom"/>
          </w:tcPr>
          <w:p>
            <w:pPr>
              <w:ind w:left="160"/>
              <w:spacing w:after="0"/>
              <w:rPr>
                <w:sz w:val="20"/>
                <w:szCs w:val="20"/>
                <w:color w:val="auto"/>
              </w:rPr>
            </w:pPr>
            <w:r>
              <w:rPr>
                <w:rFonts w:ascii="Arial" w:cs="Arial" w:eastAsia="Arial" w:hAnsi="Arial"/>
                <w:sz w:val="20"/>
                <w:szCs w:val="20"/>
                <w:color w:val="auto"/>
              </w:rPr>
              <w:t>Rights of Lenders.</w:t>
            </w:r>
          </w:p>
        </w:tc>
        <w:tc>
          <w:tcPr>
            <w:tcW w:w="14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10.03</w:t>
            </w:r>
          </w:p>
        </w:tc>
        <w:tc>
          <w:tcPr>
            <w:tcW w:w="7360" w:type="dxa"/>
            <w:vAlign w:val="bottom"/>
          </w:tcPr>
          <w:p>
            <w:pPr>
              <w:ind w:left="160"/>
              <w:spacing w:after="0"/>
              <w:rPr>
                <w:sz w:val="20"/>
                <w:szCs w:val="20"/>
                <w:color w:val="auto"/>
              </w:rPr>
            </w:pPr>
            <w:r>
              <w:rPr>
                <w:rFonts w:ascii="Arial" w:cs="Arial" w:eastAsia="Arial" w:hAnsi="Arial"/>
                <w:sz w:val="20"/>
                <w:szCs w:val="20"/>
                <w:color w:val="auto"/>
              </w:rPr>
              <w:t>Certain Waivers.</w:t>
            </w:r>
          </w:p>
        </w:tc>
        <w:tc>
          <w:tcPr>
            <w:tcW w:w="14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10.04</w:t>
            </w:r>
          </w:p>
        </w:tc>
        <w:tc>
          <w:tcPr>
            <w:tcW w:w="7360" w:type="dxa"/>
            <w:vAlign w:val="bottom"/>
          </w:tcPr>
          <w:p>
            <w:pPr>
              <w:ind w:left="160"/>
              <w:spacing w:after="0"/>
              <w:rPr>
                <w:sz w:val="20"/>
                <w:szCs w:val="20"/>
                <w:color w:val="auto"/>
              </w:rPr>
            </w:pPr>
            <w:r>
              <w:rPr>
                <w:rFonts w:ascii="Arial" w:cs="Arial" w:eastAsia="Arial" w:hAnsi="Arial"/>
                <w:sz w:val="20"/>
                <w:szCs w:val="20"/>
                <w:color w:val="auto"/>
              </w:rPr>
              <w:t>Obligations Independent.</w:t>
            </w:r>
          </w:p>
        </w:tc>
        <w:tc>
          <w:tcPr>
            <w:tcW w:w="14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10.05</w:t>
            </w:r>
          </w:p>
        </w:tc>
        <w:tc>
          <w:tcPr>
            <w:tcW w:w="7360" w:type="dxa"/>
            <w:vAlign w:val="bottom"/>
          </w:tcPr>
          <w:p>
            <w:pPr>
              <w:ind w:left="160"/>
              <w:spacing w:after="0"/>
              <w:rPr>
                <w:sz w:val="20"/>
                <w:szCs w:val="20"/>
                <w:color w:val="auto"/>
              </w:rPr>
            </w:pPr>
            <w:r>
              <w:rPr>
                <w:rFonts w:ascii="Arial" w:cs="Arial" w:eastAsia="Arial" w:hAnsi="Arial"/>
                <w:sz w:val="20"/>
                <w:szCs w:val="20"/>
                <w:color w:val="auto"/>
              </w:rPr>
              <w:t>Subrogation.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10.06</w:t>
            </w:r>
          </w:p>
        </w:tc>
        <w:tc>
          <w:tcPr>
            <w:tcW w:w="7360" w:type="dxa"/>
            <w:vAlign w:val="bottom"/>
          </w:tcPr>
          <w:p>
            <w:pPr>
              <w:ind w:left="160"/>
              <w:spacing w:after="0"/>
              <w:rPr>
                <w:sz w:val="20"/>
                <w:szCs w:val="20"/>
                <w:color w:val="auto"/>
              </w:rPr>
            </w:pPr>
            <w:r>
              <w:rPr>
                <w:rFonts w:ascii="Arial" w:cs="Arial" w:eastAsia="Arial" w:hAnsi="Arial"/>
                <w:sz w:val="20"/>
                <w:szCs w:val="20"/>
                <w:color w:val="auto"/>
              </w:rPr>
              <w:t>Termination; Reinstatement.</w:t>
            </w:r>
          </w:p>
        </w:tc>
        <w:tc>
          <w:tcPr>
            <w:tcW w:w="14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10.07</w:t>
            </w:r>
          </w:p>
        </w:tc>
        <w:tc>
          <w:tcPr>
            <w:tcW w:w="7360" w:type="dxa"/>
            <w:vAlign w:val="bottom"/>
          </w:tcPr>
          <w:p>
            <w:pPr>
              <w:ind w:left="160"/>
              <w:spacing w:after="0"/>
              <w:rPr>
                <w:sz w:val="20"/>
                <w:szCs w:val="20"/>
                <w:color w:val="auto"/>
              </w:rPr>
            </w:pPr>
            <w:r>
              <w:rPr>
                <w:rFonts w:ascii="Arial" w:cs="Arial" w:eastAsia="Arial" w:hAnsi="Arial"/>
                <w:sz w:val="20"/>
                <w:szCs w:val="20"/>
                <w:color w:val="auto"/>
              </w:rPr>
              <w:t>Stay of Acceleration.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10.08</w:t>
            </w:r>
          </w:p>
        </w:tc>
        <w:tc>
          <w:tcPr>
            <w:tcW w:w="7360" w:type="dxa"/>
            <w:vAlign w:val="bottom"/>
          </w:tcPr>
          <w:p>
            <w:pPr>
              <w:ind w:left="160"/>
              <w:spacing w:after="0"/>
              <w:rPr>
                <w:sz w:val="20"/>
                <w:szCs w:val="20"/>
                <w:color w:val="auto"/>
              </w:rPr>
            </w:pPr>
            <w:r>
              <w:rPr>
                <w:rFonts w:ascii="Arial" w:cs="Arial" w:eastAsia="Arial" w:hAnsi="Arial"/>
                <w:sz w:val="20"/>
                <w:szCs w:val="20"/>
                <w:color w:val="auto"/>
              </w:rPr>
              <w:t>Condition of Borrower.</w:t>
            </w:r>
          </w:p>
        </w:tc>
        <w:tc>
          <w:tcPr>
            <w:tcW w:w="14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10.09</w:t>
            </w:r>
          </w:p>
        </w:tc>
        <w:tc>
          <w:tcPr>
            <w:tcW w:w="7360" w:type="dxa"/>
            <w:vAlign w:val="bottom"/>
          </w:tcPr>
          <w:p>
            <w:pPr>
              <w:ind w:left="160"/>
              <w:spacing w:after="0"/>
              <w:rPr>
                <w:sz w:val="20"/>
                <w:szCs w:val="20"/>
                <w:color w:val="auto"/>
              </w:rPr>
            </w:pPr>
            <w:r>
              <w:rPr>
                <w:rFonts w:ascii="Arial" w:cs="Arial" w:eastAsia="Arial" w:hAnsi="Arial"/>
                <w:sz w:val="20"/>
                <w:szCs w:val="20"/>
                <w:color w:val="auto"/>
              </w:rPr>
              <w:t>Appointment of Borrower.</w:t>
            </w:r>
          </w:p>
        </w:tc>
        <w:tc>
          <w:tcPr>
            <w:tcW w:w="14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10.10</w:t>
            </w:r>
          </w:p>
        </w:tc>
        <w:tc>
          <w:tcPr>
            <w:tcW w:w="7360" w:type="dxa"/>
            <w:vAlign w:val="bottom"/>
          </w:tcPr>
          <w:p>
            <w:pPr>
              <w:ind w:left="160"/>
              <w:spacing w:after="0"/>
              <w:rPr>
                <w:sz w:val="20"/>
                <w:szCs w:val="20"/>
                <w:color w:val="auto"/>
              </w:rPr>
            </w:pPr>
            <w:r>
              <w:rPr>
                <w:rFonts w:ascii="Arial" w:cs="Arial" w:eastAsia="Arial" w:hAnsi="Arial"/>
                <w:sz w:val="20"/>
                <w:szCs w:val="20"/>
                <w:color w:val="auto"/>
              </w:rPr>
              <w:t>Right of Contribution.</w:t>
            </w:r>
          </w:p>
        </w:tc>
        <w:tc>
          <w:tcPr>
            <w:tcW w:w="14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10.11</w:t>
            </w:r>
          </w:p>
        </w:tc>
        <w:tc>
          <w:tcPr>
            <w:tcW w:w="7360" w:type="dxa"/>
            <w:vAlign w:val="bottom"/>
          </w:tcPr>
          <w:p>
            <w:pPr>
              <w:ind w:left="160"/>
              <w:spacing w:after="0"/>
              <w:rPr>
                <w:sz w:val="20"/>
                <w:szCs w:val="20"/>
                <w:color w:val="auto"/>
              </w:rPr>
            </w:pPr>
            <w:r>
              <w:rPr>
                <w:rFonts w:ascii="Arial" w:cs="Arial" w:eastAsia="Arial" w:hAnsi="Arial"/>
                <w:sz w:val="20"/>
                <w:szCs w:val="20"/>
                <w:color w:val="auto"/>
              </w:rPr>
              <w:t>Keepwell.</w:t>
            </w:r>
          </w:p>
        </w:tc>
        <w:tc>
          <w:tcPr>
            <w:tcW w:w="14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ARTICLE XI</w:t>
            </w:r>
          </w:p>
        </w:tc>
        <w:tc>
          <w:tcPr>
            <w:tcW w:w="7360" w:type="dxa"/>
            <w:vAlign w:val="bottom"/>
          </w:tcPr>
          <w:p>
            <w:pPr>
              <w:ind w:left="40"/>
              <w:spacing w:after="0"/>
              <w:rPr>
                <w:sz w:val="20"/>
                <w:szCs w:val="20"/>
                <w:color w:val="auto"/>
              </w:rPr>
            </w:pPr>
            <w:r>
              <w:rPr>
                <w:rFonts w:ascii="Arial" w:cs="Arial" w:eastAsia="Arial" w:hAnsi="Arial"/>
                <w:sz w:val="20"/>
                <w:szCs w:val="20"/>
                <w:color w:val="auto"/>
              </w:rPr>
              <w:t>MISCELLANEOUS</w:t>
            </w:r>
          </w:p>
        </w:tc>
        <w:tc>
          <w:tcPr>
            <w:tcW w:w="14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11.01</w:t>
            </w:r>
          </w:p>
        </w:tc>
        <w:tc>
          <w:tcPr>
            <w:tcW w:w="7360" w:type="dxa"/>
            <w:vAlign w:val="bottom"/>
          </w:tcPr>
          <w:p>
            <w:pPr>
              <w:ind w:left="160"/>
              <w:spacing w:after="0"/>
              <w:rPr>
                <w:sz w:val="20"/>
                <w:szCs w:val="20"/>
                <w:color w:val="auto"/>
              </w:rPr>
            </w:pPr>
            <w:r>
              <w:rPr>
                <w:rFonts w:ascii="Arial" w:cs="Arial" w:eastAsia="Arial" w:hAnsi="Arial"/>
                <w:sz w:val="20"/>
                <w:szCs w:val="20"/>
                <w:color w:val="auto"/>
              </w:rPr>
              <w:t>Amendments, Etc.</w:t>
            </w:r>
          </w:p>
        </w:tc>
        <w:tc>
          <w:tcPr>
            <w:tcW w:w="14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11.02</w:t>
            </w:r>
          </w:p>
        </w:tc>
        <w:tc>
          <w:tcPr>
            <w:tcW w:w="7360" w:type="dxa"/>
            <w:vAlign w:val="bottom"/>
          </w:tcPr>
          <w:p>
            <w:pPr>
              <w:ind w:left="160"/>
              <w:spacing w:after="0"/>
              <w:rPr>
                <w:sz w:val="20"/>
                <w:szCs w:val="20"/>
                <w:color w:val="auto"/>
              </w:rPr>
            </w:pPr>
            <w:r>
              <w:rPr>
                <w:rFonts w:ascii="Arial" w:cs="Arial" w:eastAsia="Arial" w:hAnsi="Arial"/>
                <w:sz w:val="20"/>
                <w:szCs w:val="20"/>
                <w:color w:val="auto"/>
              </w:rPr>
              <w:t>Notices; Effectiveness; Electronic Communications.</w:t>
            </w:r>
          </w:p>
        </w:tc>
        <w:tc>
          <w:tcPr>
            <w:tcW w:w="14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11.03</w:t>
            </w:r>
          </w:p>
        </w:tc>
        <w:tc>
          <w:tcPr>
            <w:tcW w:w="7360" w:type="dxa"/>
            <w:vAlign w:val="bottom"/>
          </w:tcPr>
          <w:p>
            <w:pPr>
              <w:ind w:left="160"/>
              <w:spacing w:after="0"/>
              <w:rPr>
                <w:sz w:val="20"/>
                <w:szCs w:val="20"/>
                <w:color w:val="auto"/>
              </w:rPr>
            </w:pPr>
            <w:r>
              <w:rPr>
                <w:rFonts w:ascii="Arial" w:cs="Arial" w:eastAsia="Arial" w:hAnsi="Arial"/>
                <w:sz w:val="20"/>
                <w:szCs w:val="20"/>
                <w:color w:val="auto"/>
              </w:rPr>
              <w:t>No Waiver; Cumulative Remedies; Enforcement.</w:t>
            </w:r>
          </w:p>
        </w:tc>
        <w:tc>
          <w:tcPr>
            <w:tcW w:w="14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11.04</w:t>
            </w:r>
          </w:p>
        </w:tc>
        <w:tc>
          <w:tcPr>
            <w:tcW w:w="7360" w:type="dxa"/>
            <w:vAlign w:val="bottom"/>
          </w:tcPr>
          <w:p>
            <w:pPr>
              <w:ind w:left="160"/>
              <w:spacing w:after="0"/>
              <w:rPr>
                <w:sz w:val="20"/>
                <w:szCs w:val="20"/>
                <w:color w:val="auto"/>
              </w:rPr>
            </w:pPr>
            <w:r>
              <w:rPr>
                <w:rFonts w:ascii="Arial" w:cs="Arial" w:eastAsia="Arial" w:hAnsi="Arial"/>
                <w:sz w:val="20"/>
                <w:szCs w:val="20"/>
                <w:color w:val="auto"/>
              </w:rPr>
              <w:t>Expenses; Indemnity; Damage Waiver.</w:t>
            </w:r>
          </w:p>
        </w:tc>
        <w:tc>
          <w:tcPr>
            <w:tcW w:w="14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11.05</w:t>
            </w:r>
          </w:p>
        </w:tc>
        <w:tc>
          <w:tcPr>
            <w:tcW w:w="7360" w:type="dxa"/>
            <w:vAlign w:val="bottom"/>
          </w:tcPr>
          <w:p>
            <w:pPr>
              <w:ind w:left="160"/>
              <w:spacing w:after="0"/>
              <w:rPr>
                <w:sz w:val="20"/>
                <w:szCs w:val="20"/>
                <w:color w:val="auto"/>
              </w:rPr>
            </w:pPr>
            <w:r>
              <w:rPr>
                <w:rFonts w:ascii="Arial" w:cs="Arial" w:eastAsia="Arial" w:hAnsi="Arial"/>
                <w:sz w:val="20"/>
                <w:szCs w:val="20"/>
                <w:color w:val="auto"/>
              </w:rPr>
              <w:t>Payments Set Aside.</w:t>
            </w:r>
          </w:p>
        </w:tc>
        <w:tc>
          <w:tcPr>
            <w:tcW w:w="14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11.06</w:t>
            </w:r>
          </w:p>
        </w:tc>
        <w:tc>
          <w:tcPr>
            <w:tcW w:w="7360" w:type="dxa"/>
            <w:vAlign w:val="bottom"/>
          </w:tcPr>
          <w:p>
            <w:pPr>
              <w:ind w:left="160"/>
              <w:spacing w:after="0"/>
              <w:rPr>
                <w:sz w:val="20"/>
                <w:szCs w:val="20"/>
                <w:color w:val="auto"/>
              </w:rPr>
            </w:pPr>
            <w:r>
              <w:rPr>
                <w:rFonts w:ascii="Arial" w:cs="Arial" w:eastAsia="Arial" w:hAnsi="Arial"/>
                <w:sz w:val="20"/>
                <w:szCs w:val="20"/>
                <w:color w:val="auto"/>
              </w:rPr>
              <w:t>Successors and Assigns.</w:t>
            </w:r>
          </w:p>
        </w:tc>
        <w:tc>
          <w:tcPr>
            <w:tcW w:w="1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11.07</w:t>
            </w:r>
          </w:p>
        </w:tc>
        <w:tc>
          <w:tcPr>
            <w:tcW w:w="7360" w:type="dxa"/>
            <w:vAlign w:val="bottom"/>
          </w:tcPr>
          <w:p>
            <w:pPr>
              <w:ind w:left="160"/>
              <w:spacing w:after="0"/>
              <w:rPr>
                <w:sz w:val="20"/>
                <w:szCs w:val="20"/>
                <w:color w:val="auto"/>
              </w:rPr>
            </w:pPr>
            <w:r>
              <w:rPr>
                <w:rFonts w:ascii="Arial" w:cs="Arial" w:eastAsia="Arial" w:hAnsi="Arial"/>
                <w:sz w:val="20"/>
                <w:szCs w:val="20"/>
                <w:color w:val="auto"/>
              </w:rPr>
              <w:t>Treatment of Certain Information; Confidentiality.</w:t>
            </w:r>
          </w:p>
        </w:tc>
        <w:tc>
          <w:tcPr>
            <w:tcW w:w="142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11.08</w:t>
            </w:r>
          </w:p>
        </w:tc>
        <w:tc>
          <w:tcPr>
            <w:tcW w:w="7360" w:type="dxa"/>
            <w:vAlign w:val="bottom"/>
          </w:tcPr>
          <w:p>
            <w:pPr>
              <w:ind w:left="160"/>
              <w:spacing w:after="0"/>
              <w:rPr>
                <w:sz w:val="20"/>
                <w:szCs w:val="20"/>
                <w:color w:val="auto"/>
              </w:rPr>
            </w:pPr>
            <w:r>
              <w:rPr>
                <w:rFonts w:ascii="Arial" w:cs="Arial" w:eastAsia="Arial" w:hAnsi="Arial"/>
                <w:sz w:val="20"/>
                <w:szCs w:val="20"/>
                <w:color w:val="auto"/>
              </w:rPr>
              <w:t>Right of Setoff.</w:t>
            </w:r>
          </w:p>
        </w:tc>
        <w:tc>
          <w:tcPr>
            <w:tcW w:w="14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11.09</w:t>
            </w:r>
          </w:p>
        </w:tc>
        <w:tc>
          <w:tcPr>
            <w:tcW w:w="7360" w:type="dxa"/>
            <w:vAlign w:val="bottom"/>
          </w:tcPr>
          <w:p>
            <w:pPr>
              <w:ind w:left="160"/>
              <w:spacing w:after="0"/>
              <w:rPr>
                <w:sz w:val="20"/>
                <w:szCs w:val="20"/>
                <w:color w:val="auto"/>
              </w:rPr>
            </w:pPr>
            <w:r>
              <w:rPr>
                <w:rFonts w:ascii="Arial" w:cs="Arial" w:eastAsia="Arial" w:hAnsi="Arial"/>
                <w:sz w:val="20"/>
                <w:szCs w:val="20"/>
                <w:color w:val="auto"/>
              </w:rPr>
              <w:t>Interest Rate Limitation.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11.10</w:t>
            </w:r>
          </w:p>
        </w:tc>
        <w:tc>
          <w:tcPr>
            <w:tcW w:w="7360" w:type="dxa"/>
            <w:vAlign w:val="bottom"/>
          </w:tcPr>
          <w:p>
            <w:pPr>
              <w:ind w:left="160"/>
              <w:spacing w:after="0"/>
              <w:rPr>
                <w:sz w:val="20"/>
                <w:szCs w:val="20"/>
                <w:color w:val="auto"/>
              </w:rPr>
            </w:pPr>
            <w:r>
              <w:rPr>
                <w:rFonts w:ascii="Arial" w:cs="Arial" w:eastAsia="Arial" w:hAnsi="Arial"/>
                <w:sz w:val="20"/>
                <w:szCs w:val="20"/>
                <w:color w:val="auto"/>
              </w:rPr>
              <w:t>Counterparts; Integration; Effectiveness.</w:t>
            </w:r>
          </w:p>
        </w:tc>
        <w:tc>
          <w:tcPr>
            <w:tcW w:w="14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11.11</w:t>
            </w:r>
          </w:p>
        </w:tc>
        <w:tc>
          <w:tcPr>
            <w:tcW w:w="7360" w:type="dxa"/>
            <w:vAlign w:val="bottom"/>
          </w:tcPr>
          <w:p>
            <w:pPr>
              <w:ind w:left="160"/>
              <w:spacing w:after="0"/>
              <w:rPr>
                <w:sz w:val="20"/>
                <w:szCs w:val="20"/>
                <w:color w:val="auto"/>
              </w:rPr>
            </w:pPr>
            <w:r>
              <w:rPr>
                <w:rFonts w:ascii="Arial" w:cs="Arial" w:eastAsia="Arial" w:hAnsi="Arial"/>
                <w:sz w:val="20"/>
                <w:szCs w:val="20"/>
                <w:color w:val="auto"/>
              </w:rPr>
              <w:t>Survival of Representations and Warranties.</w:t>
            </w:r>
          </w:p>
        </w:tc>
        <w:tc>
          <w:tcPr>
            <w:tcW w:w="142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11.12</w:t>
            </w:r>
          </w:p>
        </w:tc>
        <w:tc>
          <w:tcPr>
            <w:tcW w:w="736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142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11.13</w:t>
            </w:r>
          </w:p>
        </w:tc>
        <w:tc>
          <w:tcPr>
            <w:tcW w:w="7360" w:type="dxa"/>
            <w:vAlign w:val="bottom"/>
          </w:tcPr>
          <w:p>
            <w:pPr>
              <w:ind w:left="160"/>
              <w:spacing w:after="0"/>
              <w:rPr>
                <w:sz w:val="20"/>
                <w:szCs w:val="20"/>
                <w:color w:val="auto"/>
              </w:rPr>
            </w:pPr>
            <w:r>
              <w:rPr>
                <w:rFonts w:ascii="Arial" w:cs="Arial" w:eastAsia="Arial" w:hAnsi="Arial"/>
                <w:sz w:val="20"/>
                <w:szCs w:val="20"/>
                <w:color w:val="auto"/>
              </w:rPr>
              <w:t>Replacement of Lenders.</w:t>
            </w:r>
          </w:p>
        </w:tc>
        <w:tc>
          <w:tcPr>
            <w:tcW w:w="142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11.14</w:t>
            </w:r>
          </w:p>
        </w:tc>
        <w:tc>
          <w:tcPr>
            <w:tcW w:w="7360" w:type="dxa"/>
            <w:vAlign w:val="bottom"/>
          </w:tcPr>
          <w:p>
            <w:pPr>
              <w:ind w:left="160"/>
              <w:spacing w:after="0"/>
              <w:rPr>
                <w:sz w:val="20"/>
                <w:szCs w:val="20"/>
                <w:color w:val="auto"/>
              </w:rPr>
            </w:pPr>
            <w:r>
              <w:rPr>
                <w:rFonts w:ascii="Arial" w:cs="Arial" w:eastAsia="Arial" w:hAnsi="Arial"/>
                <w:sz w:val="20"/>
                <w:szCs w:val="20"/>
                <w:color w:val="auto"/>
              </w:rPr>
              <w:t>Governing Law; Jurisdiction; Etc.</w:t>
            </w:r>
          </w:p>
        </w:tc>
        <w:tc>
          <w:tcPr>
            <w:tcW w:w="142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11.15</w:t>
            </w:r>
          </w:p>
        </w:tc>
        <w:tc>
          <w:tcPr>
            <w:tcW w:w="7360" w:type="dxa"/>
            <w:vAlign w:val="bottom"/>
          </w:tcPr>
          <w:p>
            <w:pPr>
              <w:ind w:left="160"/>
              <w:spacing w:after="0"/>
              <w:rPr>
                <w:sz w:val="20"/>
                <w:szCs w:val="20"/>
                <w:color w:val="auto"/>
              </w:rPr>
            </w:pPr>
            <w:r>
              <w:rPr>
                <w:rFonts w:ascii="Arial" w:cs="Arial" w:eastAsia="Arial" w:hAnsi="Arial"/>
                <w:sz w:val="20"/>
                <w:szCs w:val="20"/>
                <w:color w:val="auto"/>
              </w:rPr>
              <w:t>Waiver of Jury Trial.</w:t>
            </w:r>
          </w:p>
        </w:tc>
        <w:tc>
          <w:tcPr>
            <w:tcW w:w="142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11.16</w:t>
            </w:r>
          </w:p>
        </w:tc>
        <w:tc>
          <w:tcPr>
            <w:tcW w:w="7360" w:type="dxa"/>
            <w:vAlign w:val="bottom"/>
          </w:tcPr>
          <w:p>
            <w:pPr>
              <w:ind w:left="160"/>
              <w:spacing w:after="0"/>
              <w:rPr>
                <w:sz w:val="20"/>
                <w:szCs w:val="20"/>
                <w:color w:val="auto"/>
              </w:rPr>
            </w:pPr>
            <w:r>
              <w:rPr>
                <w:rFonts w:ascii="Arial" w:cs="Arial" w:eastAsia="Arial" w:hAnsi="Arial"/>
                <w:sz w:val="20"/>
                <w:szCs w:val="20"/>
                <w:color w:val="auto"/>
              </w:rPr>
              <w:t>Subordination.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11.17</w:t>
            </w:r>
          </w:p>
        </w:tc>
        <w:tc>
          <w:tcPr>
            <w:tcW w:w="7360" w:type="dxa"/>
            <w:vAlign w:val="bottom"/>
          </w:tcPr>
          <w:p>
            <w:pPr>
              <w:ind w:left="160"/>
              <w:spacing w:after="0"/>
              <w:rPr>
                <w:sz w:val="20"/>
                <w:szCs w:val="20"/>
                <w:color w:val="auto"/>
              </w:rPr>
            </w:pPr>
            <w:r>
              <w:rPr>
                <w:rFonts w:ascii="Arial" w:cs="Arial" w:eastAsia="Arial" w:hAnsi="Arial"/>
                <w:sz w:val="20"/>
                <w:szCs w:val="20"/>
                <w:color w:val="auto"/>
              </w:rPr>
              <w:t>No Advisory or Fiduciary Responsibility.</w:t>
            </w:r>
          </w:p>
        </w:tc>
        <w:tc>
          <w:tcPr>
            <w:tcW w:w="142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11.18</w:t>
            </w:r>
          </w:p>
        </w:tc>
        <w:tc>
          <w:tcPr>
            <w:tcW w:w="7360" w:type="dxa"/>
            <w:vAlign w:val="bottom"/>
          </w:tcPr>
          <w:p>
            <w:pPr>
              <w:ind w:left="160"/>
              <w:spacing w:after="0"/>
              <w:rPr>
                <w:sz w:val="20"/>
                <w:szCs w:val="20"/>
                <w:color w:val="auto"/>
              </w:rPr>
            </w:pPr>
            <w:r>
              <w:rPr>
                <w:rFonts w:ascii="Arial" w:cs="Arial" w:eastAsia="Arial" w:hAnsi="Arial"/>
                <w:sz w:val="20"/>
                <w:szCs w:val="20"/>
                <w:color w:val="auto"/>
              </w:rPr>
              <w:t>Electronic Execution.</w:t>
            </w:r>
          </w:p>
        </w:tc>
        <w:tc>
          <w:tcPr>
            <w:tcW w:w="142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11.19</w:t>
            </w:r>
          </w:p>
        </w:tc>
        <w:tc>
          <w:tcPr>
            <w:tcW w:w="7360" w:type="dxa"/>
            <w:vAlign w:val="bottom"/>
          </w:tcPr>
          <w:p>
            <w:pPr>
              <w:ind w:left="160"/>
              <w:spacing w:after="0"/>
              <w:rPr>
                <w:sz w:val="20"/>
                <w:szCs w:val="20"/>
                <w:color w:val="auto"/>
              </w:rPr>
            </w:pPr>
            <w:r>
              <w:rPr>
                <w:rFonts w:ascii="Arial" w:cs="Arial" w:eastAsia="Arial" w:hAnsi="Arial"/>
                <w:sz w:val="20"/>
                <w:szCs w:val="20"/>
                <w:color w:val="auto"/>
              </w:rPr>
              <w:t>USA PATRIOT Act Notice.</w:t>
            </w:r>
          </w:p>
        </w:tc>
        <w:tc>
          <w:tcPr>
            <w:tcW w:w="142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229"/>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11.20</w:t>
            </w:r>
          </w:p>
        </w:tc>
        <w:tc>
          <w:tcPr>
            <w:tcW w:w="7360" w:type="dxa"/>
            <w:vAlign w:val="bottom"/>
          </w:tcPr>
          <w:p>
            <w:pPr>
              <w:ind w:left="16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42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11.21</w:t>
            </w:r>
          </w:p>
        </w:tc>
        <w:tc>
          <w:tcPr>
            <w:tcW w:w="7360" w:type="dxa"/>
            <w:vAlign w:val="bottom"/>
          </w:tcPr>
          <w:p>
            <w:pPr>
              <w:ind w:left="160"/>
              <w:spacing w:after="0"/>
              <w:rPr>
                <w:sz w:val="20"/>
                <w:szCs w:val="20"/>
                <w:color w:val="auto"/>
              </w:rPr>
            </w:pPr>
            <w:r>
              <w:rPr>
                <w:rFonts w:ascii="Arial" w:cs="Arial" w:eastAsia="Arial" w:hAnsi="Arial"/>
                <w:sz w:val="20"/>
                <w:szCs w:val="20"/>
                <w:color w:val="auto"/>
              </w:rPr>
              <w:t>Acknowledgement Regarding Any Supported QFCs.</w:t>
            </w:r>
          </w:p>
        </w:tc>
        <w:tc>
          <w:tcPr>
            <w:tcW w:w="142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w w:val="91"/>
              </w:rPr>
              <w:t>11.22</w:t>
            </w:r>
          </w:p>
        </w:tc>
        <w:tc>
          <w:tcPr>
            <w:tcW w:w="7360" w:type="dxa"/>
            <w:vAlign w:val="bottom"/>
          </w:tcPr>
          <w:p>
            <w:pPr>
              <w:ind w:left="160"/>
              <w:spacing w:after="0"/>
              <w:rPr>
                <w:sz w:val="20"/>
                <w:szCs w:val="20"/>
                <w:color w:val="auto"/>
              </w:rPr>
            </w:pPr>
            <w:r>
              <w:rPr>
                <w:rFonts w:ascii="Arial" w:cs="Arial" w:eastAsia="Arial" w:hAnsi="Arial"/>
                <w:sz w:val="20"/>
                <w:szCs w:val="20"/>
                <w:color w:val="auto"/>
              </w:rPr>
              <w:t>ENTIRE AGREEMENT.</w:t>
            </w:r>
          </w:p>
        </w:tc>
        <w:tc>
          <w:tcPr>
            <w:tcW w:w="1420" w:type="dxa"/>
            <w:vAlign w:val="bottom"/>
          </w:tcPr>
          <w:p>
            <w:pPr>
              <w:jc w:val="right"/>
              <w:spacing w:after="0"/>
              <w:rPr>
                <w:sz w:val="20"/>
                <w:szCs w:val="20"/>
                <w:color w:val="auto"/>
              </w:rPr>
            </w:pPr>
            <w:r>
              <w:rPr>
                <w:rFonts w:ascii="Arial" w:cs="Arial" w:eastAsia="Arial" w:hAnsi="Arial"/>
                <w:sz w:val="20"/>
                <w:szCs w:val="20"/>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19" w:right="99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SCHEDULES*</w:t>
      </w:r>
    </w:p>
    <w:p>
      <w:pPr>
        <w:sectPr>
          <w:pgSz w:w="11900" w:h="16838" w:orient="portrait"/>
          <w:cols w:equalWidth="0" w:num="1">
            <w:col w:w="9920"/>
          </w:cols>
          <w:pgMar w:left="980" w:top="906" w:right="999" w:bottom="1440" w:gutter="0" w:footer="0" w:header="0"/>
        </w:sect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Schedule 1.01(a) Schedule 1.01(b) Schedule 1.01(c) Schedule 5.18(a) Schedule 5.18(b) Schedule 5.19(b) Schedule 5.19(c) Schedule 5.19(d) Schedule 7.01 Schedule 7.02 Schedule 7.03</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Agent’s Office; Certain Addresses for Notices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Applicable Percentages; L/C Commitments; Swingline Commitment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Existing Letters of Credit</w:t>
      </w:r>
    </w:p>
    <w:p>
      <w:pPr>
        <w:spacing w:after="0"/>
        <w:rPr>
          <w:sz w:val="20"/>
          <w:szCs w:val="20"/>
          <w:color w:val="auto"/>
        </w:rPr>
      </w:pPr>
      <w:r>
        <w:rPr>
          <w:rFonts w:ascii="Arial" w:cs="Arial" w:eastAsia="Arial" w:hAnsi="Arial"/>
          <w:sz w:val="20"/>
          <w:szCs w:val="20"/>
          <w:color w:val="auto"/>
        </w:rPr>
        <w:t>Subsidiaries, Joint Ventures, Partnerships and Other Equity Investments</w:t>
      </w:r>
    </w:p>
    <w:p>
      <w:pPr>
        <w:spacing w:after="0"/>
        <w:rPr>
          <w:sz w:val="20"/>
          <w:szCs w:val="20"/>
          <w:color w:val="auto"/>
        </w:rPr>
      </w:pPr>
      <w:r>
        <w:rPr>
          <w:rFonts w:ascii="Arial" w:cs="Arial" w:eastAsia="Arial" w:hAnsi="Arial"/>
          <w:sz w:val="20"/>
          <w:szCs w:val="20"/>
          <w:color w:val="auto"/>
        </w:rPr>
        <w:t>Loan Parties</w:t>
      </w:r>
    </w:p>
    <w:p>
      <w:pPr>
        <w:spacing w:after="0"/>
        <w:rPr>
          <w:sz w:val="20"/>
          <w:szCs w:val="20"/>
          <w:color w:val="auto"/>
        </w:rPr>
      </w:pPr>
      <w:r>
        <w:rPr>
          <w:rFonts w:ascii="Arial" w:cs="Arial" w:eastAsia="Arial" w:hAnsi="Arial"/>
          <w:sz w:val="20"/>
          <w:szCs w:val="20"/>
          <w:color w:val="auto"/>
        </w:rPr>
        <w:t>Intellectual Property</w:t>
      </w:r>
    </w:p>
    <w:p>
      <w:pPr>
        <w:spacing w:after="0"/>
        <w:rPr>
          <w:sz w:val="20"/>
          <w:szCs w:val="20"/>
          <w:color w:val="auto"/>
        </w:rPr>
      </w:pPr>
      <w:r>
        <w:rPr>
          <w:rFonts w:ascii="Arial" w:cs="Arial" w:eastAsia="Arial" w:hAnsi="Arial"/>
          <w:sz w:val="20"/>
          <w:szCs w:val="20"/>
          <w:color w:val="auto"/>
        </w:rPr>
        <w:t>Deposit Accounts and Securities Accounts</w:t>
      </w:r>
    </w:p>
    <w:p>
      <w:pPr>
        <w:spacing w:after="0"/>
        <w:rPr>
          <w:sz w:val="20"/>
          <w:szCs w:val="20"/>
          <w:color w:val="auto"/>
        </w:rPr>
      </w:pPr>
      <w:r>
        <w:rPr>
          <w:rFonts w:ascii="Arial" w:cs="Arial" w:eastAsia="Arial" w:hAnsi="Arial"/>
          <w:sz w:val="20"/>
          <w:szCs w:val="20"/>
          <w:color w:val="auto"/>
        </w:rPr>
        <w:t>Real Properties</w:t>
      </w:r>
    </w:p>
    <w:p>
      <w:pPr>
        <w:spacing w:after="0"/>
        <w:rPr>
          <w:sz w:val="20"/>
          <w:szCs w:val="20"/>
          <w:color w:val="auto"/>
        </w:rPr>
      </w:pPr>
      <w:r>
        <w:rPr>
          <w:rFonts w:ascii="Arial" w:cs="Arial" w:eastAsia="Arial" w:hAnsi="Arial"/>
          <w:sz w:val="20"/>
          <w:szCs w:val="20"/>
          <w:color w:val="auto"/>
        </w:rPr>
        <w:t>Existing Liens</w:t>
      </w:r>
    </w:p>
    <w:p>
      <w:pPr>
        <w:spacing w:after="0"/>
        <w:rPr>
          <w:sz w:val="20"/>
          <w:szCs w:val="20"/>
          <w:color w:val="auto"/>
        </w:rPr>
      </w:pPr>
      <w:r>
        <w:rPr>
          <w:rFonts w:ascii="Arial" w:cs="Arial" w:eastAsia="Arial" w:hAnsi="Arial"/>
          <w:sz w:val="20"/>
          <w:szCs w:val="20"/>
          <w:color w:val="auto"/>
        </w:rPr>
        <w:t>Existing Indebtedness</w:t>
      </w:r>
    </w:p>
    <w:p>
      <w:pPr>
        <w:spacing w:after="0"/>
        <w:rPr>
          <w:sz w:val="20"/>
          <w:szCs w:val="20"/>
          <w:color w:val="auto"/>
        </w:rPr>
      </w:pPr>
      <w:r>
        <w:rPr>
          <w:rFonts w:ascii="Arial" w:cs="Arial" w:eastAsia="Arial" w:hAnsi="Arial"/>
          <w:sz w:val="20"/>
          <w:szCs w:val="20"/>
          <w:color w:val="auto"/>
        </w:rPr>
        <w:t>Existing Investments</w:t>
      </w:r>
    </w:p>
    <w:p>
      <w:pPr>
        <w:spacing w:after="0" w:line="198" w:lineRule="exact"/>
        <w:rPr>
          <w:sz w:val="20"/>
          <w:szCs w:val="20"/>
          <w:color w:val="auto"/>
        </w:rPr>
      </w:pPr>
    </w:p>
    <w:p>
      <w:pPr>
        <w:sectPr>
          <w:pgSz w:w="11900" w:h="16838" w:orient="portrait"/>
          <w:cols w:equalWidth="0" w:num="2">
            <w:col w:w="1360" w:space="540"/>
            <w:col w:w="8020"/>
          </w:cols>
          <w:pgMar w:left="980" w:top="906" w:right="999" w:bottom="1440" w:gutter="0" w:footer="0" w:header="0"/>
          <w:type w:val="continuous"/>
        </w:sectPr>
      </w:pPr>
    </w:p>
    <w:p>
      <w:pPr>
        <w:ind w:right="160"/>
        <w:spacing w:after="0" w:line="266" w:lineRule="auto"/>
        <w:rPr>
          <w:sz w:val="20"/>
          <w:szCs w:val="20"/>
          <w:color w:val="auto"/>
        </w:rPr>
      </w:pPr>
      <w:r>
        <w:rPr>
          <w:rFonts w:ascii="Arial" w:cs="Arial" w:eastAsia="Arial" w:hAnsi="Arial"/>
          <w:sz w:val="18"/>
          <w:szCs w:val="18"/>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00" w:type="dxa"/>
            <w:vAlign w:val="bottom"/>
          </w:tcPr>
          <w:p>
            <w:pPr>
              <w:spacing w:after="0"/>
              <w:rPr>
                <w:sz w:val="20"/>
                <w:szCs w:val="20"/>
                <w:color w:val="auto"/>
              </w:rPr>
            </w:pPr>
            <w:r>
              <w:rPr>
                <w:rFonts w:ascii="Arial" w:cs="Arial" w:eastAsia="Arial" w:hAnsi="Arial"/>
                <w:sz w:val="20"/>
                <w:szCs w:val="20"/>
                <w:color w:val="auto"/>
              </w:rPr>
              <w:t>EXHIBITS</w:t>
            </w:r>
          </w:p>
        </w:tc>
        <w:tc>
          <w:tcPr>
            <w:tcW w:w="8520" w:type="dxa"/>
            <w:vAlign w:val="bottom"/>
          </w:tcPr>
          <w:p>
            <w:pPr>
              <w:spacing w:after="0"/>
              <w:rPr>
                <w:sz w:val="21"/>
                <w:szCs w:val="21"/>
                <w:color w:val="auto"/>
              </w:rPr>
            </w:pPr>
          </w:p>
        </w:tc>
      </w:tr>
      <w:tr>
        <w:trPr>
          <w:trHeight w:val="425"/>
        </w:trPr>
        <w:tc>
          <w:tcPr>
            <w:tcW w:w="1400" w:type="dxa"/>
            <w:vAlign w:val="bottom"/>
          </w:tcPr>
          <w:p>
            <w:pPr>
              <w:spacing w:after="0"/>
              <w:rPr>
                <w:sz w:val="20"/>
                <w:szCs w:val="20"/>
                <w:color w:val="auto"/>
              </w:rPr>
            </w:pPr>
            <w:r>
              <w:rPr>
                <w:rFonts w:ascii="Arial" w:cs="Arial" w:eastAsia="Arial" w:hAnsi="Arial"/>
                <w:sz w:val="20"/>
                <w:szCs w:val="20"/>
                <w:color w:val="auto"/>
              </w:rPr>
              <w:t>Exhibit A</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Assignment and Assumption</w:t>
            </w:r>
          </w:p>
        </w:tc>
      </w:t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Exhibit B</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Compliance Certificate</w:t>
            </w:r>
          </w:p>
        </w:tc>
      </w:tr>
      <w:tr>
        <w:trPr>
          <w:trHeight w:val="229"/>
        </w:trPr>
        <w:tc>
          <w:tcPr>
            <w:tcW w:w="1400" w:type="dxa"/>
            <w:vAlign w:val="bottom"/>
          </w:tcPr>
          <w:p>
            <w:pPr>
              <w:spacing w:after="0"/>
              <w:rPr>
                <w:sz w:val="20"/>
                <w:szCs w:val="20"/>
                <w:color w:val="auto"/>
              </w:rPr>
            </w:pPr>
            <w:r>
              <w:rPr>
                <w:rFonts w:ascii="Arial" w:cs="Arial" w:eastAsia="Arial" w:hAnsi="Arial"/>
                <w:sz w:val="20"/>
                <w:szCs w:val="20"/>
                <w:color w:val="auto"/>
              </w:rPr>
              <w:t>Exhibit C</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Joinder Agreement</w:t>
            </w:r>
          </w:p>
        </w:tc>
      </w:t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Exhibit D</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Loan Notice</w:t>
            </w:r>
          </w:p>
        </w:tc>
      </w:tr>
      <w:tr>
        <w:trPr>
          <w:trHeight w:val="229"/>
        </w:trPr>
        <w:tc>
          <w:tcPr>
            <w:tcW w:w="1400" w:type="dxa"/>
            <w:vAlign w:val="bottom"/>
          </w:tcPr>
          <w:p>
            <w:pPr>
              <w:spacing w:after="0"/>
              <w:rPr>
                <w:sz w:val="20"/>
                <w:szCs w:val="20"/>
                <w:color w:val="auto"/>
              </w:rPr>
            </w:pPr>
            <w:r>
              <w:rPr>
                <w:rFonts w:ascii="Arial" w:cs="Arial" w:eastAsia="Arial" w:hAnsi="Arial"/>
                <w:sz w:val="20"/>
                <w:szCs w:val="20"/>
                <w:color w:val="auto"/>
              </w:rPr>
              <w:t>Exhibit E</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Notice of Loan Prepayment</w:t>
            </w:r>
          </w:p>
        </w:tc>
      </w:t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Exhibit F</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Secured Party Designation Notice</w:t>
            </w:r>
          </w:p>
        </w:tc>
      </w:tr>
      <w:tr>
        <w:trPr>
          <w:trHeight w:val="229"/>
        </w:trPr>
        <w:tc>
          <w:tcPr>
            <w:tcW w:w="1400" w:type="dxa"/>
            <w:vAlign w:val="bottom"/>
          </w:tcPr>
          <w:p>
            <w:pPr>
              <w:spacing w:after="0"/>
              <w:rPr>
                <w:sz w:val="20"/>
                <w:szCs w:val="20"/>
                <w:color w:val="auto"/>
              </w:rPr>
            </w:pPr>
            <w:r>
              <w:rPr>
                <w:rFonts w:ascii="Arial" w:cs="Arial" w:eastAsia="Arial" w:hAnsi="Arial"/>
                <w:sz w:val="20"/>
                <w:szCs w:val="20"/>
                <w:color w:val="auto"/>
              </w:rPr>
              <w:t>Exhibit G</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Solvency Certificate</w:t>
            </w:r>
          </w:p>
        </w:tc>
      </w:t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Exhibit H</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Swingline Loan Notice</w:t>
            </w:r>
          </w:p>
        </w:tc>
      </w:t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Exhibit I</w:t>
            </w:r>
          </w:p>
        </w:tc>
        <w:tc>
          <w:tcPr>
            <w:tcW w:w="8520" w:type="dxa"/>
            <w:vAlign w:val="bottom"/>
          </w:tcPr>
          <w:p>
            <w:pPr>
              <w:ind w:left="500"/>
              <w:spacing w:after="0"/>
              <w:rPr>
                <w:sz w:val="20"/>
                <w:szCs w:val="20"/>
                <w:color w:val="auto"/>
              </w:rPr>
            </w:pPr>
            <w:r>
              <w:rPr>
                <w:rFonts w:ascii="Arial" w:cs="Arial" w:eastAsia="Arial" w:hAnsi="Arial"/>
                <w:sz w:val="20"/>
                <w:szCs w:val="20"/>
                <w:color w:val="auto"/>
              </w:rPr>
              <w:t>Form of Note</w:t>
            </w:r>
          </w:p>
        </w:tc>
      </w:tr>
      <w:tr>
        <w:trPr>
          <w:trHeight w:val="250"/>
        </w:trPr>
        <w:tc>
          <w:tcPr>
            <w:tcW w:w="1400" w:type="dxa"/>
            <w:vAlign w:val="bottom"/>
          </w:tcPr>
          <w:p>
            <w:pPr>
              <w:spacing w:after="0"/>
              <w:rPr>
                <w:sz w:val="20"/>
                <w:szCs w:val="20"/>
                <w:color w:val="auto"/>
              </w:rPr>
            </w:pPr>
            <w:r>
              <w:rPr>
                <w:rFonts w:ascii="Arial" w:cs="Arial" w:eastAsia="Arial" w:hAnsi="Arial"/>
                <w:sz w:val="20"/>
                <w:szCs w:val="20"/>
                <w:color w:val="auto"/>
              </w:rPr>
              <w:t>Exhibit J</w:t>
            </w:r>
          </w:p>
        </w:tc>
        <w:tc>
          <w:tcPr>
            <w:tcW w:w="8520" w:type="dxa"/>
            <w:vAlign w:val="bottom"/>
          </w:tcPr>
          <w:p>
            <w:pPr>
              <w:ind w:left="500"/>
              <w:spacing w:after="0"/>
              <w:rPr>
                <w:sz w:val="20"/>
                <w:szCs w:val="20"/>
                <w:color w:val="auto"/>
              </w:rPr>
            </w:pPr>
            <w:r>
              <w:rPr>
                <w:rFonts w:ascii="Arial" w:cs="Arial" w:eastAsia="Arial" w:hAnsi="Arial"/>
                <w:sz w:val="20"/>
                <w:szCs w:val="20"/>
                <w:color w:val="auto"/>
              </w:rPr>
              <w:t>Forms of U.S. Tax Compliance Certificates</w:t>
            </w:r>
          </w:p>
        </w:tc>
      </w:tr>
      <w:tr>
        <w:trPr>
          <w:trHeight w:val="891"/>
        </w:trPr>
        <w:tc>
          <w:tcPr>
            <w:tcW w:w="1400" w:type="dxa"/>
            <w:vAlign w:val="bottom"/>
          </w:tcPr>
          <w:p>
            <w:pPr>
              <w:spacing w:after="0"/>
              <w:rPr>
                <w:sz w:val="24"/>
                <w:szCs w:val="24"/>
                <w:color w:val="auto"/>
              </w:rPr>
            </w:pPr>
          </w:p>
        </w:tc>
        <w:tc>
          <w:tcPr>
            <w:tcW w:w="8520" w:type="dxa"/>
            <w:vAlign w:val="bottom"/>
          </w:tcPr>
          <w:p>
            <w:pPr>
              <w:ind w:left="3480"/>
              <w:spacing w:after="0"/>
              <w:rPr>
                <w:sz w:val="20"/>
                <w:szCs w:val="20"/>
                <w:color w:val="auto"/>
              </w:rPr>
            </w:pPr>
            <w:r>
              <w:rPr>
                <w:rFonts w:ascii="Arial" w:cs="Arial" w:eastAsia="Arial" w:hAnsi="Arial"/>
                <w:sz w:val="20"/>
                <w:szCs w:val="20"/>
                <w:color w:val="auto"/>
              </w:rPr>
              <w:t>iv</w:t>
            </w:r>
          </w:p>
        </w:tc>
      </w:tr>
      <w:tr>
        <w:trPr>
          <w:trHeight w:val="557"/>
        </w:trPr>
        <w:tc>
          <w:tcPr>
            <w:tcW w:w="14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6" w:right="999" w:bottom="1440" w:gutter="0" w:footer="0" w:header="0"/>
          <w:type w:val="continuous"/>
        </w:sectPr>
      </w:pPr>
    </w:p>
    <w:bookmarkStart w:id="199" w:name="page200"/>
    <w:bookmarkEnd w:id="199"/>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CREDIT AGREEMENT is entered into as of February 19, 2021,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the Lenders party hereto, BANK OF AMERICA, N.A., as the Administrative Agent, the Swingline Lender, and an L/C Issuer, and the other L/C Issuers party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WHEREAS, the Borrower entered into that certain Stock Purchase Agreement, dated as of January 11, 2021 (together with all schedules, exhibits and annexes thereto, the “Closing Date Acquisition Agreement”), by and among the Borrower, Arcturus UAV, Inc., a California corporation (the “</w:t>
      </w:r>
      <w:r>
        <w:rPr>
          <w:rFonts w:ascii="Arial" w:cs="Arial" w:eastAsia="Arial" w:hAnsi="Arial"/>
          <w:sz w:val="19"/>
          <w:szCs w:val="19"/>
          <w:u w:val="single" w:color="auto"/>
          <w:color w:val="auto"/>
        </w:rPr>
        <w:t>Closing Date Acquisition Target</w:t>
      </w:r>
      <w:r>
        <w:rPr>
          <w:rFonts w:ascii="Arial" w:cs="Arial" w:eastAsia="Arial" w:hAnsi="Arial"/>
          <w:sz w:val="19"/>
          <w:szCs w:val="19"/>
          <w:color w:val="auto"/>
        </w:rPr>
        <w:t>”), the Persons identified therein as “Sellers”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and D’Milo Hallerberg, solely in his capacity as the representative of the Sellers, pursuant to which the Borrower will acquire one hundred percent (100%) of the outstanding Equity Interests of the Closing Date Acquisition Target (the “</w:t>
      </w:r>
      <w:r>
        <w:rPr>
          <w:rFonts w:ascii="Arial" w:cs="Arial" w:eastAsia="Arial" w:hAnsi="Arial"/>
          <w:sz w:val="19"/>
          <w:szCs w:val="19"/>
          <w:u w:val="single" w:color="auto"/>
          <w:color w:val="auto"/>
        </w:rPr>
        <w:t>Closing Date Acquisition</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Date Acquisition and the other transactions contemplated hereby, the Loan Parties have requested that the Lenders, the Swingline Lender, and the L/C Issuers make loans and other financial accommodations to the Borrower and its Subsidiaries as set forth herein;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Lenders, the Swingline Lender and the L/C Issuers have agreed to make such loans and other financial accommodations to the Borrower and its Subsidiaries, on the terms and subject to the conditions set forth herein.</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Consideration</w:t>
      </w:r>
      <w:r>
        <w:rPr>
          <w:rFonts w:ascii="Arial" w:cs="Arial" w:eastAsia="Arial" w:hAnsi="Arial"/>
          <w:sz w:val="20"/>
          <w:szCs w:val="20"/>
          <w:color w:val="auto"/>
        </w:rPr>
        <w:t>” means the purchase consideration for any Permitted Acquisition and all other payments by any Loan Party or any Subsidiary in exchange for, or as part of, or in connection with, any Permitted 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0" w:name="page201"/>
    <w:bookmarkEnd w:id="200"/>
    <w:p>
      <w:pPr>
        <w:jc w:val="both"/>
        <w:spacing w:after="0" w:line="259" w:lineRule="auto"/>
        <w:rPr>
          <w:sz w:val="20"/>
          <w:szCs w:val="20"/>
          <w:color w:val="auto"/>
        </w:rPr>
      </w:pPr>
      <w:r>
        <w:rPr>
          <w:rFonts w:ascii="Arial" w:cs="Arial" w:eastAsia="Arial" w:hAnsi="Arial"/>
          <w:sz w:val="19"/>
          <w:szCs w:val="19"/>
          <w:color w:val="auto"/>
        </w:rPr>
        <w:t>contingency, including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For purposes of determining the aggregate consideration paid for any Permitted Acquisition, the amount of any Earn Out Obligations shall be deemed to be the maximum amount of the earn-out payments in respect thereof as specified in the documents relating to such Permitted Acquisition.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Secured Obligations</w:t>
      </w:r>
      <w:r>
        <w:rPr>
          <w:rFonts w:ascii="Arial" w:cs="Arial" w:eastAsia="Arial" w:hAnsi="Arial"/>
          <w:sz w:val="18"/>
          <w:szCs w:val="18"/>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Additional Secured Obligations of a Guarantor shall exclude any Excluded Swap Obligations with respect to such Guarantor.</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(or any of its designated branch offices or affiliates),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address and, as appropriate, account as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or such other address or account as the Administrative Agent may from time to time notify the Borrower and the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approved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 in respect of the Term A Facility, with respect to any Term A Lender at any time, the percentage (carried out to the ninth decimal place) of the Term A Facility represented by (i) on or prior to the funding of the Term A Loans on the Closing Date, such Term A Lender’s Term A Commitment at such time, and (ii) thereafter, the outstanding principal amount of such Term A Lender’s Term A Loan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and (c) in respect of an Incremental Term Facility, with respect to any Incremental Term Lender under such Incremental Term Facility at any time, the percentage (carried out to the ninth decimal place) of such Incremental Term Facility represented by (i) on or prior to the funding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1" w:name="page202"/>
    <w:bookmarkEnd w:id="201"/>
    <w:p>
      <w:pPr>
        <w:jc w:val="both"/>
        <w:spacing w:after="0" w:line="255" w:lineRule="auto"/>
        <w:rPr>
          <w:sz w:val="20"/>
          <w:szCs w:val="20"/>
          <w:color w:val="auto"/>
        </w:rPr>
      </w:pPr>
      <w:r>
        <w:rPr>
          <w:rFonts w:ascii="Arial" w:cs="Arial" w:eastAsia="Arial" w:hAnsi="Arial"/>
          <w:sz w:val="19"/>
          <w:szCs w:val="19"/>
          <w:color w:val="auto"/>
        </w:rPr>
        <w:t xml:space="preserve">Incremental Term Loans under such Incremental Term Facility, such Incremental Term Lender’s Incremental Term Commitment with respect to such Incremental Term Facility at such time, and (ii) thereafter, the outstanding principal amount of such Incremental Term Lender’s Incremental Term Loan advanced in connection with such Incremental Term Facility at such time. If the Revolving Commitments of all of the Revolving Lenders to make Revolving Loans and the obligation of the L/C Issuers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 in the Assignment and Assumption pursuant to which such Lender becomes a party hereto, or in such other documentation pursuant to which such Lender becomes a party hereto, as applicable.</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(a) with respect to the Incremental Term Loans advanced in connection with any Incremental Term Facility, the percentage(s) per annum set forth in the Incremental Term Facility Agreement entered into in connection with such Incremental Term Facility, and (b) with respect to the Term A Loans, the Revolving Loans, the Swingline Loans, the Letter of Credit Fee and the Commitment Fee, the following percentages per annum, based upon the Consolidated Leverage Ratio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20" w:lineRule="exact"/>
        <w:rPr>
          <w:sz w:val="20"/>
          <w:szCs w:val="20"/>
          <w:color w:val="auto"/>
        </w:rPr>
      </w:pPr>
    </w:p>
    <w:tbl>
      <w:tblPr>
        <w:tblLayout w:type="fixed"/>
        <w:tblInd w:w="1010" w:type="dxa"/>
        <w:tblCellMar>
          <w:top w:w="0" w:type="dxa"/>
          <w:left w:w="0" w:type="dxa"/>
          <w:bottom w:w="0" w:type="dxa"/>
          <w:right w:w="0" w:type="dxa"/>
        </w:tblCellMar>
      </w:tblPr>
      <w:tr>
        <w:trPr>
          <w:trHeight w:val="240"/>
        </w:trPr>
        <w:tc>
          <w:tcPr>
            <w:tcW w:w="8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4"/>
              </w:rPr>
              <w:t>Pricing</w:t>
            </w:r>
          </w:p>
        </w:tc>
        <w:tc>
          <w:tcPr>
            <w:tcW w:w="320" w:type="dxa"/>
            <w:vAlign w:val="bottom"/>
            <w:tcBorders>
              <w:top w:val="single" w:sz="8" w:color="auto"/>
            </w:tcBorders>
            <w:shd w:val="clear" w:color="auto" w:fill="D9D9D9"/>
          </w:tcPr>
          <w:p>
            <w:pPr>
              <w:spacing w:after="0"/>
              <w:rPr>
                <w:sz w:val="20"/>
                <w:szCs w:val="20"/>
                <w:color w:val="auto"/>
              </w:rPr>
            </w:pPr>
          </w:p>
        </w:tc>
        <w:tc>
          <w:tcPr>
            <w:tcW w:w="1660" w:type="dxa"/>
            <w:vAlign w:val="bottom"/>
            <w:tcBorders>
              <w:top w:val="single" w:sz="8" w:color="auto"/>
              <w:right w:val="single" w:sz="8" w:color="auto"/>
            </w:tcBorders>
            <w:gridSpan w:val="4"/>
            <w:shd w:val="clear" w:color="auto" w:fill="D9D9D9"/>
          </w:tcPr>
          <w:p>
            <w:pPr>
              <w:jc w:val="center"/>
              <w:ind w:right="380"/>
              <w:spacing w:after="0"/>
              <w:rPr>
                <w:sz w:val="20"/>
                <w:szCs w:val="20"/>
                <w:color w:val="auto"/>
              </w:rPr>
            </w:pPr>
            <w:r>
              <w:rPr>
                <w:rFonts w:ascii="Arial" w:cs="Arial" w:eastAsia="Arial" w:hAnsi="Arial"/>
                <w:sz w:val="20"/>
                <w:szCs w:val="20"/>
                <w:color w:val="auto"/>
                <w:w w:val="89"/>
              </w:rPr>
              <w:t>Consolidated</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1"/>
              </w:rPr>
              <w:t>Commitment</w:t>
            </w:r>
          </w:p>
        </w:tc>
        <w:tc>
          <w:tcPr>
            <w:tcW w:w="12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5"/>
              </w:rPr>
              <w:t>Letter of</w:t>
            </w:r>
          </w:p>
        </w:tc>
        <w:tc>
          <w:tcPr>
            <w:tcW w:w="1340" w:type="dxa"/>
            <w:vAlign w:val="bottom"/>
            <w:tcBorders>
              <w:top w:val="single" w:sz="8" w:color="auto"/>
              <w:right w:val="single" w:sz="8" w:color="auto"/>
            </w:tcBorders>
            <w:shd w:val="clear" w:color="auto" w:fill="D9D9D9"/>
          </w:tcPr>
          <w:p>
            <w:pPr>
              <w:jc w:val="center"/>
              <w:ind w:right="1"/>
              <w:spacing w:after="0"/>
              <w:rPr>
                <w:sz w:val="20"/>
                <w:szCs w:val="20"/>
                <w:color w:val="auto"/>
              </w:rPr>
            </w:pPr>
            <w:r>
              <w:rPr>
                <w:rFonts w:ascii="Arial" w:cs="Arial" w:eastAsia="Arial" w:hAnsi="Arial"/>
                <w:sz w:val="20"/>
                <w:szCs w:val="20"/>
                <w:color w:val="auto"/>
                <w:w w:val="92"/>
              </w:rPr>
              <w:t>Eurodollar</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5"/>
              </w:rPr>
              <w:t>Base Rate</w:t>
            </w:r>
          </w:p>
        </w:tc>
        <w:tc>
          <w:tcPr>
            <w:tcW w:w="0" w:type="dxa"/>
            <w:vAlign w:val="bottom"/>
          </w:tcPr>
          <w:p>
            <w:pPr>
              <w:spacing w:after="0"/>
              <w:rPr>
                <w:sz w:val="1"/>
                <w:szCs w:val="1"/>
                <w:color w:val="auto"/>
              </w:rPr>
            </w:pPr>
          </w:p>
        </w:tc>
      </w:tr>
      <w:tr>
        <w:trPr>
          <w:trHeight w:val="250"/>
        </w:trPr>
        <w:tc>
          <w:tcPr>
            <w:tcW w:w="8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2"/>
              </w:rPr>
              <w:t>Tier</w:t>
            </w:r>
          </w:p>
        </w:tc>
        <w:tc>
          <w:tcPr>
            <w:tcW w:w="320" w:type="dxa"/>
            <w:vAlign w:val="bottom"/>
            <w:shd w:val="clear" w:color="auto" w:fill="D9D9D9"/>
          </w:tcPr>
          <w:p>
            <w:pPr>
              <w:spacing w:after="0"/>
              <w:rPr>
                <w:sz w:val="21"/>
                <w:szCs w:val="21"/>
                <w:color w:val="auto"/>
              </w:rPr>
            </w:pPr>
          </w:p>
        </w:tc>
        <w:tc>
          <w:tcPr>
            <w:tcW w:w="1660" w:type="dxa"/>
            <w:vAlign w:val="bottom"/>
            <w:tcBorders>
              <w:right w:val="single" w:sz="8" w:color="auto"/>
            </w:tcBorders>
            <w:gridSpan w:val="4"/>
            <w:shd w:val="clear" w:color="auto" w:fill="D9D9D9"/>
          </w:tcPr>
          <w:p>
            <w:pPr>
              <w:jc w:val="center"/>
              <w:ind w:right="340"/>
              <w:spacing w:after="0"/>
              <w:rPr>
                <w:sz w:val="20"/>
                <w:szCs w:val="20"/>
                <w:color w:val="auto"/>
              </w:rPr>
            </w:pPr>
            <w:r>
              <w:rPr>
                <w:rFonts w:ascii="Arial" w:cs="Arial" w:eastAsia="Arial" w:hAnsi="Arial"/>
                <w:sz w:val="20"/>
                <w:szCs w:val="20"/>
                <w:color w:val="auto"/>
                <w:w w:val="88"/>
              </w:rPr>
              <w:t>Leverage Ratio</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1"/>
              </w:rPr>
              <w:t>Fee</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7"/>
              </w:rPr>
              <w:t>Credit Fee</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7"/>
              </w:rPr>
              <w:t>Rate Loans</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Loans</w:t>
            </w:r>
          </w:p>
        </w:tc>
        <w:tc>
          <w:tcPr>
            <w:tcW w:w="0" w:type="dxa"/>
            <w:vAlign w:val="bottom"/>
          </w:tcPr>
          <w:p>
            <w:pPr>
              <w:spacing w:after="0"/>
              <w:rPr>
                <w:sz w:val="1"/>
                <w:szCs w:val="1"/>
                <w:color w:val="auto"/>
              </w:rPr>
            </w:pPr>
          </w:p>
        </w:tc>
      </w:tr>
      <w:tr>
        <w:trPr>
          <w:trHeight w:val="63"/>
        </w:trPr>
        <w:tc>
          <w:tcPr>
            <w:tcW w:w="82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100" w:type="dxa"/>
            <w:vAlign w:val="bottom"/>
            <w:tcBorders>
              <w:bottom w:val="single" w:sz="8" w:color="auto"/>
            </w:tcBorders>
            <w:shd w:val="clear" w:color="auto" w:fill="D9D9D9"/>
          </w:tcPr>
          <w:p>
            <w:pPr>
              <w:spacing w:after="0"/>
              <w:rPr>
                <w:sz w:val="5"/>
                <w:szCs w:val="5"/>
                <w:color w:val="auto"/>
              </w:rPr>
            </w:pPr>
          </w:p>
        </w:tc>
        <w:tc>
          <w:tcPr>
            <w:tcW w:w="1400" w:type="dxa"/>
            <w:vAlign w:val="bottom"/>
            <w:tcBorders>
              <w:bottom w:val="single" w:sz="8" w:color="auto"/>
              <w:right w:val="single" w:sz="8" w:color="auto"/>
            </w:tcBorders>
            <w:shd w:val="clear" w:color="auto" w:fill="D9D9D9"/>
          </w:tcPr>
          <w:p>
            <w:pPr>
              <w:spacing w:after="0"/>
              <w:rPr>
                <w:sz w:val="5"/>
                <w:szCs w:val="5"/>
                <w:color w:val="auto"/>
              </w:rPr>
            </w:pPr>
          </w:p>
        </w:tc>
        <w:tc>
          <w:tcPr>
            <w:tcW w:w="1460" w:type="dxa"/>
            <w:vAlign w:val="bottom"/>
            <w:tcBorders>
              <w:bottom w:val="single" w:sz="8" w:color="auto"/>
              <w:right w:val="single" w:sz="8" w:color="auto"/>
            </w:tcBorders>
            <w:shd w:val="clear" w:color="auto" w:fill="D9D9D9"/>
          </w:tcPr>
          <w:p>
            <w:pPr>
              <w:spacing w:after="0"/>
              <w:rPr>
                <w:sz w:val="5"/>
                <w:szCs w:val="5"/>
                <w:color w:val="auto"/>
              </w:rPr>
            </w:pPr>
          </w:p>
        </w:tc>
        <w:tc>
          <w:tcPr>
            <w:tcW w:w="1200" w:type="dxa"/>
            <w:vAlign w:val="bottom"/>
            <w:tcBorders>
              <w:bottom w:val="single" w:sz="8" w:color="auto"/>
              <w:right w:val="single" w:sz="8" w:color="auto"/>
            </w:tcBorders>
            <w:shd w:val="clear" w:color="auto" w:fill="D9D9D9"/>
          </w:tcPr>
          <w:p>
            <w:pPr>
              <w:spacing w:after="0"/>
              <w:rPr>
                <w:sz w:val="5"/>
                <w:szCs w:val="5"/>
                <w:color w:val="auto"/>
              </w:rPr>
            </w:pPr>
          </w:p>
        </w:tc>
        <w:tc>
          <w:tcPr>
            <w:tcW w:w="1340" w:type="dxa"/>
            <w:vAlign w:val="bottom"/>
            <w:tcBorders>
              <w:bottom w:val="single" w:sz="8" w:color="auto"/>
              <w:right w:val="single" w:sz="8" w:color="auto"/>
            </w:tcBorders>
            <w:shd w:val="clear" w:color="auto" w:fill="D9D9D9"/>
          </w:tcPr>
          <w:p>
            <w:pPr>
              <w:spacing w:after="0"/>
              <w:rPr>
                <w:sz w:val="5"/>
                <w:szCs w:val="5"/>
                <w:color w:val="auto"/>
              </w:rPr>
            </w:pPr>
          </w:p>
        </w:tc>
        <w:tc>
          <w:tcPr>
            <w:tcW w:w="112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right w:val="single" w:sz="8" w:color="auto"/>
            </w:tcBorders>
            <w:gridSpan w:val="2"/>
          </w:tcPr>
          <w:p>
            <w:pPr>
              <w:jc w:val="center"/>
              <w:ind w:right="500"/>
              <w:spacing w:after="0"/>
              <w:rPr>
                <w:sz w:val="20"/>
                <w:szCs w:val="20"/>
                <w:color w:val="auto"/>
              </w:rPr>
            </w:pPr>
            <w:r>
              <w:rPr>
                <w:rFonts w:ascii="Arial" w:cs="Arial" w:eastAsia="Arial" w:hAnsi="Arial"/>
                <w:sz w:val="20"/>
                <w:szCs w:val="20"/>
                <w:color w:val="auto"/>
                <w:w w:val="89"/>
              </w:rPr>
              <w:t>&gt; 2.50 to 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0.35%</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2.25%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2.25%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w:t>
            </w:r>
          </w:p>
        </w:tc>
        <w:tc>
          <w:tcPr>
            <w:tcW w:w="0" w:type="dxa"/>
            <w:vAlign w:val="bottom"/>
          </w:tcPr>
          <w:p>
            <w:pPr>
              <w:spacing w:after="0"/>
              <w:rPr>
                <w:sz w:val="1"/>
                <w:szCs w:val="1"/>
                <w:color w:val="auto"/>
              </w:rPr>
            </w:pPr>
          </w:p>
        </w:tc>
      </w:tr>
      <w:tr>
        <w:trPr>
          <w:trHeight w:val="189"/>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w:t>
            </w:r>
          </w:p>
        </w:tc>
        <w:tc>
          <w:tcPr>
            <w:tcW w:w="1980" w:type="dxa"/>
            <w:vAlign w:val="bottom"/>
            <w:tcBorders>
              <w:right w:val="single" w:sz="8" w:color="auto"/>
            </w:tcBorders>
            <w:gridSpan w:val="5"/>
          </w:tcPr>
          <w:p>
            <w:pPr>
              <w:jc w:val="center"/>
              <w:ind w:right="20"/>
              <w:spacing w:after="0" w:line="189" w:lineRule="exact"/>
              <w:rPr>
                <w:sz w:val="20"/>
                <w:szCs w:val="20"/>
                <w:color w:val="auto"/>
              </w:rPr>
            </w:pPr>
            <w:r>
              <w:rPr>
                <w:rFonts w:ascii="Arial" w:cs="Arial" w:eastAsia="Arial" w:hAnsi="Arial"/>
                <w:sz w:val="20"/>
                <w:szCs w:val="20"/>
                <w:color w:val="auto"/>
                <w:w w:val="90"/>
              </w:rPr>
              <w:t>&lt; 2.50 to 1.0 but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0.30%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2.00%</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1.00%</w:t>
            </w:r>
          </w:p>
        </w:tc>
        <w:tc>
          <w:tcPr>
            <w:tcW w:w="0" w:type="dxa"/>
            <w:vAlign w:val="bottom"/>
          </w:tcPr>
          <w:p>
            <w:pPr>
              <w:spacing w:after="0"/>
              <w:rPr>
                <w:sz w:val="1"/>
                <w:szCs w:val="1"/>
                <w:color w:val="auto"/>
              </w:rPr>
            </w:pPr>
          </w:p>
        </w:tc>
      </w:tr>
      <w:tr>
        <w:trPr>
          <w:trHeight w:val="146"/>
        </w:trPr>
        <w:tc>
          <w:tcPr>
            <w:tcW w:w="820" w:type="dxa"/>
            <w:vAlign w:val="bottom"/>
            <w:tcBorders>
              <w:left w:val="single" w:sz="8" w:color="auto"/>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20"/>
                <w:szCs w:val="20"/>
                <w:color w:val="auto"/>
                <w:w w:val="89"/>
              </w:rPr>
              <w:t>&gt; 1.75 to 1.0</w:t>
            </w:r>
          </w:p>
        </w:tc>
        <w:tc>
          <w:tcPr>
            <w:tcW w:w="146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III</w:t>
            </w:r>
          </w:p>
        </w:tc>
        <w:tc>
          <w:tcPr>
            <w:tcW w:w="1980" w:type="dxa"/>
            <w:vAlign w:val="bottom"/>
            <w:tcBorders>
              <w:right w:val="single" w:sz="8" w:color="auto"/>
            </w:tcBorders>
            <w:gridSpan w:val="5"/>
          </w:tcPr>
          <w:p>
            <w:pPr>
              <w:jc w:val="center"/>
              <w:ind w:right="20"/>
              <w:spacing w:after="0" w:line="183" w:lineRule="exact"/>
              <w:rPr>
                <w:sz w:val="20"/>
                <w:szCs w:val="20"/>
                <w:color w:val="auto"/>
              </w:rPr>
            </w:pPr>
            <w:r>
              <w:rPr>
                <w:rFonts w:ascii="Arial" w:cs="Arial" w:eastAsia="Arial" w:hAnsi="Arial"/>
                <w:sz w:val="20"/>
                <w:szCs w:val="20"/>
                <w:color w:val="auto"/>
                <w:w w:val="90"/>
              </w:rPr>
              <w:t>&lt; 1.75 to 1.0 but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0.75%</w:t>
            </w:r>
          </w:p>
        </w:tc>
        <w:tc>
          <w:tcPr>
            <w:tcW w:w="0" w:type="dxa"/>
            <w:vAlign w:val="bottom"/>
          </w:tcPr>
          <w:p>
            <w:pPr>
              <w:spacing w:after="0"/>
              <w:rPr>
                <w:sz w:val="1"/>
                <w:szCs w:val="1"/>
                <w:color w:val="auto"/>
              </w:rPr>
            </w:pPr>
          </w:p>
        </w:tc>
      </w:tr>
      <w:tr>
        <w:trPr>
          <w:trHeight w:val="146"/>
        </w:trPr>
        <w:tc>
          <w:tcPr>
            <w:tcW w:w="820" w:type="dxa"/>
            <w:vAlign w:val="bottom"/>
            <w:tcBorders>
              <w:left w:val="single" w:sz="8" w:color="auto"/>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20"/>
                <w:szCs w:val="20"/>
                <w:color w:val="auto"/>
                <w:w w:val="89"/>
              </w:rPr>
              <w:t>&gt; 1.00 to 1.0</w:t>
            </w:r>
          </w:p>
        </w:tc>
        <w:tc>
          <w:tcPr>
            <w:tcW w:w="146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rPr>
              <w:t>IV</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500"/>
              <w:spacing w:after="0" w:line="183" w:lineRule="exact"/>
              <w:rPr>
                <w:sz w:val="20"/>
                <w:szCs w:val="20"/>
                <w:color w:val="auto"/>
              </w:rPr>
            </w:pPr>
            <w:r>
              <w:rPr>
                <w:rFonts w:ascii="Arial" w:cs="Arial" w:eastAsia="Arial" w:hAnsi="Arial"/>
                <w:sz w:val="20"/>
                <w:szCs w:val="20"/>
                <w:color w:val="auto"/>
                <w:w w:val="89"/>
              </w:rPr>
              <w:t>&lt; 1.00 to 1.0</w:t>
            </w:r>
          </w:p>
        </w:tc>
        <w:tc>
          <w:tcPr>
            <w:tcW w:w="14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0.20%</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1.50%</w:t>
            </w:r>
          </w:p>
        </w:tc>
        <w:tc>
          <w:tcPr>
            <w:tcW w:w="13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1.50%</w:t>
            </w:r>
          </w:p>
        </w:tc>
        <w:tc>
          <w:tcPr>
            <w:tcW w:w="11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61"/>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 xml:space="preserve">Any increase or decrease in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resulting from a change in the Consolidated Leverage Ratio shall become effective as of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a Compliance Certificate is not delivered when due in accordance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 then, upon the request of the Required Lenders, Pricing Tier I shall apply as of the first (1</w:t>
      </w:r>
      <w:r>
        <w:rPr>
          <w:rFonts w:ascii="Arial" w:cs="Arial" w:eastAsia="Arial" w:hAnsi="Arial"/>
          <w:sz w:val="28"/>
          <w:szCs w:val="28"/>
          <w:color w:val="auto"/>
          <w:vertAlign w:val="superscript"/>
        </w:rPr>
        <w:t>st</w:t>
      </w:r>
      <w:r>
        <w:rPr>
          <w:rFonts w:ascii="Arial" w:cs="Arial" w:eastAsia="Arial" w:hAnsi="Arial"/>
          <w:sz w:val="19"/>
          <w:szCs w:val="19"/>
          <w:color w:val="auto"/>
        </w:rPr>
        <w:t>) Business Day after the date on which such Compliance Certificate was required to have been delivered and shall remain in effect until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on which such Compliance Certificate is delivered in accordance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whereupon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adjusted based upon the calculation of the Consolidated Leverage Ratio contained in such Compliance Certificate.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in effect from the Closing Date until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for the fiscal quarter ending July 31, 2021 shall be determined based upon Pricing Tier II. Notwithstanding anything to the contrary contained in this definition, the determination of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for any period shall be subject to the provisions of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Percentage</w:t>
      </w:r>
      <w:r>
        <w:rPr>
          <w:rFonts w:ascii="Arial" w:cs="Arial" w:eastAsia="Arial" w:hAnsi="Arial"/>
          <w:sz w:val="20"/>
          <w:szCs w:val="20"/>
          <w:color w:val="auto"/>
        </w:rPr>
        <w:t>” means, with respect to any Revolving Lender at any time, such Revolving Lender’s Applicable Percentage in respect of the Revolving Facility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2" w:name="page203"/>
    <w:bookmarkEnd w:id="202"/>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xml:space="preserve">” means, at any time, (a) with respect to any Facility, a Lender that has a Commitment with respect to such Facility or holds a Loan under such Facility at such time, (b) with respect to the Letter of Credit Sublimit, (i) each L/C Issuer, and (ii) if any Letters of Credit have been issued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each Revolving Lender, and (c) with respect to the Swingline Sublimit, (i) the Swingline Lender, and (ii) if any Swingline Loans are outstanding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 each Revolving Lender.</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each of (a) BofA Securities, (b) JPMorgan, and (c) U.S. Bank National Association, in each case in its capacities as a joint lead arranger and a joint bookrunner.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(including an electronic documentation form generated by use of an electronic platform) approved by the Administrative Agent.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Capitalized Lease of any Person, the capitalized amount thereof that would appear on a balance sheet of such Person prepared as of such date in accordance with GAAP, (b) in respect of any Synthetic Lease Obligation of any Person,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in respect of any Securitization Transaction, the amount of obligations outstanding under the legal documents entered into as part of such Securitization Transaction on such date that corresponds to the outstanding net investment (including loans) of, or cash purchase price paid by, the unaffiliated third party purchasers or financial institutions participating in such transaction and, as such, would be characterized as principal if such transaction were structured as a secured lending transaction rather than as a purchase (or, to the extent structured as a secured lending transaction, is principal),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of the Borrower ended April 30, 2020 and the related Consolidated statements of income, stockholders’ equity and cash flows for such fiscal year of the Borrower and its Subsidiaries, including the notes thereto.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Closing Date to the earliest of (a) the Revolving Facility Maturity Date, (b) the date of termination of the Revolving Facility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Revolving Commitment of each Revolving Lender to make Revolving Loans and of the obligation of the L/C Issuers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notwithstanding the foregoing, no Revolving Borrowing shall be made on the Closing Date.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xml:space="preserve">” means, as of any date of determination, an amount equal to the total of (a) the sum of, without duplication, (i) $30,000,000,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an amount, not less than zero in the aggregate, equal to fifty percent (50%) of the cumulative Consolidated Net Income for the period (taken as one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3" w:name="page204"/>
    <w:bookmarkEnd w:id="203"/>
    <w:p>
      <w:pPr>
        <w:jc w:val="both"/>
        <w:spacing w:after="0" w:line="254" w:lineRule="auto"/>
        <w:rPr>
          <w:sz w:val="20"/>
          <w:szCs w:val="20"/>
          <w:color w:val="auto"/>
        </w:rPr>
      </w:pPr>
      <w:r>
        <w:rPr>
          <w:rFonts w:ascii="Arial" w:cs="Arial" w:eastAsia="Arial" w:hAnsi="Arial"/>
          <w:sz w:val="19"/>
          <w:szCs w:val="19"/>
          <w:color w:val="auto"/>
        </w:rPr>
        <w:t xml:space="preserve">period) commencing from the first day of the first full fiscal quarter of the Borrower ending after the Closing Date to the end of the fiscal quarter of the Borrower most recently ended prior to such date of determination in respect of which a Compliance Certificate has been delivered as required hereunder,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one hundred percent (100%) of the net cash proceeds received by the Borrower prior to such date of determination from issuances after the Closing Date of Qualified Capital Stock of the Borrower (solely to the extent such net cash proceeds are Not Otherwise Applied),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the amount of any Investment made following the Closing Date in reliance on the Available Amount to the extent that such amount is returned in cash prior to such date of determination from the return of, or a return on, principal of such Investment (other than a sale to a Loan Party or a Subsidiary), or from a dividend or interest received with respect to such Investment,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the amount by which Indebtedness of the Borrower or any of its Subsidiaries is reduced on the Borrower’s Consolidated balance sheet prior to such date of determination upon the conversion or exchange of such Indebtedness for Qualified Capital Stock of the Borrower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cash or the fair market value of other property distributed by the Borrower or any Subsidiary upon such conversion or exchange, other than in connection with a restructuring),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the cumulative aggregate amount of all Investments made in reliance on the Available Amount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7.03(m)</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cumulative aggregate amount of all Junior Debt Payments made in reliance on the Available Amount pursuant to </w:t>
      </w:r>
      <w:r>
        <w:rPr>
          <w:rFonts w:ascii="Arial" w:cs="Arial" w:eastAsia="Arial" w:hAnsi="Arial"/>
          <w:sz w:val="19"/>
          <w:szCs w:val="19"/>
          <w:u w:val="single" w:color="auto"/>
          <w:color w:val="auto"/>
        </w:rPr>
        <w:t>Section 7.14(a)(iii)</w:t>
      </w:r>
      <w:r>
        <w:rPr>
          <w:rFonts w:ascii="Arial" w:cs="Arial" w:eastAsia="Arial" w:hAnsi="Arial"/>
          <w:sz w:val="19"/>
          <w:szCs w:val="19"/>
          <w:color w:val="auto"/>
        </w:rPr>
        <w: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of interest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 (b) the rate of interest in effect for such day as publicly announced from time to time by Bank of America as its “prime rate,” and (c)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Base Rate shall be less than one percent (1%), such rate shall be deemed one percent (1%)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then the Base Rate shall be the greater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Revolving Loan or a Term Loan that bears interest based on the Base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4" w:name="page205"/>
    <w:bookmarkEnd w:id="204"/>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Securities</w:t>
      </w:r>
      <w:r>
        <w:rPr>
          <w:rFonts w:ascii="Arial" w:cs="Arial" w:eastAsia="Arial" w:hAnsi="Arial"/>
          <w:sz w:val="20"/>
          <w:szCs w:val="20"/>
          <w:color w:val="auto"/>
        </w:rPr>
        <w:t>” means BofA Securities,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Borrowing, a Swingline Borrowing or a Term Borrowing, as the context may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w:t>
      </w:r>
      <w:r>
        <w:rPr>
          <w:rFonts w:ascii="Arial" w:cs="Arial" w:eastAsia="Arial" w:hAnsi="Arial"/>
          <w:sz w:val="20"/>
          <w:szCs w:val="20"/>
          <w:color w:val="auto"/>
        </w:rPr>
        <w:t>” means any lease that has been or is required to be, in accordance with GAAP, recorded, classified and accounted for as a capitalized lease or financing lease.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one or more of the L/C Issuers or the Swingline Lender (as applicable) or the Revolving Lenders, as collateral for L/C Obligations,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applicable L/C Issuer, and/or (c) if the Administrative Agent and the applicable L/C Issuer or the Swingline Lender shall agree, in their sole discretion, other credit support, in each case, in Dollars and pursuant to documentation in form and substance satisfactory to the Administrative Agent and the applicable L/C Issuer or the Swingline Lender (as applicable).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of the following types of Investments, to the extent owned by the Borrower or any of its Subsidiaries free and clear of all Liens (other than Permitted Liens): (a) readily marketable obligations issued or directly and fully guaranteed or insured by the United States or any agency or instrumentality thereof having maturities of not more than three hundred sixty days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full faith and credit of the United States is pledged in support thereof; (b) time deposits with, or insured certificates of deposit or bankers’ acceptances of, any commercial bank that (i)(A)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Arial" w:cs="Arial" w:eastAsia="Arial" w:hAnsi="Arial"/>
          <w:sz w:val="18"/>
          <w:szCs w:val="18"/>
          <w:u w:val="single" w:color="auto"/>
          <w:color w:val="auto"/>
        </w:rPr>
        <w:t>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5" w:name="page206"/>
    <w:bookmarkEnd w:id="205"/>
    <w:p>
      <w:pPr>
        <w:jc w:val="both"/>
        <w:ind w:firstLine="8"/>
        <w:spacing w:after="0" w:line="256" w:lineRule="auto"/>
        <w:tabs>
          <w:tab w:leader="none" w:pos="284" w:val="left"/>
        </w:tabs>
        <w:numPr>
          <w:ilvl w:val="0"/>
          <w:numId w:val="162"/>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definition, and (iii) has combined capital and surplus of at least $1,000,000,000, in each case with maturities of not more than one hundred eighty (180) days from the date of acquisition thereof; (c) 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 and (d) 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definition.</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xml:space="preserve">” means any Person, in its capacity as a party to a Cash Management Agreement, that (a) at the time it enters into a Cash Management Agreement with a Loan Party or a Subsidiary, is a Lender or an Affiliate of a Lender, or (b) at the time it (or its Affiliate) becomes a Lender, is a party to a Cash Management Agreement with a Loan Party or a Subsidiary (in each case, even if such Person ceases to be a Lender or such Person’s Affiliate ceased to be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of 1980.</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anything herein to the contrary, (i) the Dodd-Frank Wall Street Reform and Consumer Protection Act and all requests, rules, guidelines or directives thereunder or issued in connection therewith or in the implementation thereof, and</w:t>
      </w:r>
    </w:p>
    <w:p>
      <w:pPr>
        <w:spacing w:after="0" w:line="1" w:lineRule="exact"/>
        <w:rPr>
          <w:sz w:val="20"/>
          <w:szCs w:val="20"/>
          <w:color w:val="auto"/>
        </w:rPr>
      </w:pPr>
    </w:p>
    <w:p>
      <w:pPr>
        <w:jc w:val="both"/>
        <w:ind w:firstLine="8"/>
        <w:spacing w:after="0" w:line="241" w:lineRule="auto"/>
        <w:tabs>
          <w:tab w:leader="none" w:pos="30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6" w:name="page207"/>
    <w:bookmarkEnd w:id="206"/>
    <w:p>
      <w:pPr>
        <w:jc w:val="both"/>
        <w:ind w:left="660"/>
        <w:spacing w:after="0" w:line="276" w:lineRule="auto"/>
        <w:rPr>
          <w:sz w:val="20"/>
          <w:szCs w:val="20"/>
          <w:color w:val="auto"/>
        </w:rPr>
      </w:pPr>
      <w:r>
        <w:rPr>
          <w:rFonts w:ascii="Arial" w:cs="Arial" w:eastAsia="Arial" w:hAnsi="Arial"/>
          <w:sz w:val="18"/>
          <w:szCs w:val="18"/>
          <w:color w:val="auto"/>
        </w:rPr>
        <w:t>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thirty-five percent (35)% or more of the equity securities of the Borrower entitled to vote for members of the board of directors or other equivalent governing body of the Borrower on a fully-diluted basis (and taking into account all such securities that such “person” or “group” has the right to acquire pursuant to any option right); or</w:t>
      </w:r>
    </w:p>
    <w:p>
      <w:pPr>
        <w:spacing w:after="0" w:line="165" w:lineRule="exact"/>
        <w:rPr>
          <w:sz w:val="20"/>
          <w:szCs w:val="20"/>
          <w:color w:val="auto"/>
        </w:rPr>
      </w:pPr>
    </w:p>
    <w:p>
      <w:pPr>
        <w:jc w:val="both"/>
        <w:ind w:left="660" w:firstLine="644"/>
        <w:spacing w:after="0" w:line="242" w:lineRule="auto"/>
        <w:tabs>
          <w:tab w:leader="none" w:pos="195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during any period of twelve (12) consecutive months, a majority of the members of the board of directors or other equivalent governing body of the Borrower cease to be composed of individuals (i) who were members of that board or other equivalent governing body on the first day of such period, (ii) whose election or nomination to that board or other equivalent governing body was nominated, appointed or approved by individuals referred to in </w:t>
      </w:r>
      <w:r>
        <w:rPr>
          <w:rFonts w:ascii="Arial" w:cs="Arial" w:eastAsia="Arial" w:hAnsi="Arial"/>
          <w:sz w:val="20"/>
          <w:szCs w:val="20"/>
          <w:u w:val="single" w:color="auto"/>
          <w:color w:val="auto"/>
        </w:rPr>
        <w:t>clause (b)(i)</w:t>
      </w:r>
      <w:r>
        <w:rPr>
          <w:rFonts w:ascii="Arial" w:cs="Arial" w:eastAsia="Arial" w:hAnsi="Arial"/>
          <w:sz w:val="20"/>
          <w:szCs w:val="20"/>
          <w:color w:val="auto"/>
        </w:rPr>
        <w:t xml:space="preserve"> above constituting at the time of such election or nomination at least a majority of that board or other equivalent governing body, or (iii) whose election or nomination to that board or other equivalent governing body was nominated, appointed or approved by individuals referred to in </w:t>
      </w:r>
      <w:r>
        <w:rPr>
          <w:rFonts w:ascii="Arial" w:cs="Arial" w:eastAsia="Arial" w:hAnsi="Arial"/>
          <w:sz w:val="20"/>
          <w:szCs w:val="20"/>
          <w:u w:val="single" w:color="auto"/>
          <w:color w:val="auto"/>
        </w:rPr>
        <w:t>clauses (b)(i)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above constituting at the time of such election or nomination at least a majority of that board or other equivalent governing body.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February 19,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Agreement</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Costs</w:t>
      </w:r>
      <w:r>
        <w:rPr>
          <w:rFonts w:ascii="Arial" w:cs="Arial" w:eastAsia="Arial" w:hAnsi="Arial"/>
          <w:sz w:val="20"/>
          <w:szCs w:val="20"/>
          <w:color w:val="auto"/>
        </w:rPr>
        <w:t>” has the meaning specified in the definition of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Target</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means the issuance by the Borrower of Five Hundred Seventy-Three Thousand Seven Hundred Ninety-Four (573,794) shares of the Borrower’s common Equity Interests to the Sellers on the Closing Date.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xml:space="preserve">” means, collectively, (a) the repayment in full of all Indebtedness of the Closing Date Acquisition Target and its Subsidiaries and the Borrower and its Subsidiaries (in each case other than Indebtedness permitted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 (b) the termination of all commitments with respect to all such Indebtedness, and (c) the release and/or termination of all liens and security interests securing all such Indebtedness, and all guaranties guarantying such Indebtedness.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 collective reference to all personal property with respect to which Liens in favor of the Administrative Agent, for the benefit of the Secured Parties, are purported to be granted pursuant to and in accordance with the terms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“Collateral” shall not include any Excluded Property.</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w:t>
      </w:r>
      <w:r>
        <w:rPr>
          <w:rFonts w:ascii="Arial" w:cs="Arial" w:eastAsia="Arial" w:hAnsi="Arial"/>
          <w:sz w:val="20"/>
          <w:szCs w:val="20"/>
          <w:color w:val="auto"/>
        </w:rPr>
        <w:t xml:space="preserve">” means each of the Security Agreement, each Joinder Agreement, each Qualifying Control Agreement, each security agreement, pledge agreement or other similar agreement delivered to the Administrative Agent pursuant to </w:t>
      </w:r>
      <w:r>
        <w:rPr>
          <w:rFonts w:ascii="Arial" w:cs="Arial" w:eastAsia="Arial" w:hAnsi="Arial"/>
          <w:sz w:val="20"/>
          <w:szCs w:val="20"/>
          <w:u w:val="single" w:color="auto"/>
          <w:color w:val="auto"/>
        </w:rPr>
        <w:t>Section 6.13</w:t>
      </w:r>
      <w:r>
        <w:rPr>
          <w:rFonts w:ascii="Arial" w:cs="Arial" w:eastAsia="Arial" w:hAnsi="Arial"/>
          <w:sz w:val="20"/>
          <w:szCs w:val="20"/>
          <w:color w:val="auto"/>
        </w:rPr>
        <w:t>, and each other agreement, instrument or document that creates or purports to create a Lien in favor of the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7" w:name="page208"/>
    <w:bookmarkEnd w:id="20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Commitment or a Revolving Commitment, as the context may require.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means, for any period, for the Borrower and its Subsidiaries on a Consolidated basis, all Capital Expenditures for such period.</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Taxes</w:t>
      </w:r>
      <w:r>
        <w:rPr>
          <w:rFonts w:ascii="Arial" w:cs="Arial" w:eastAsia="Arial" w:hAnsi="Arial"/>
          <w:sz w:val="18"/>
          <w:szCs w:val="18"/>
          <w:color w:val="auto"/>
        </w:rPr>
        <w:t>” means, for any period, for the Borrower and its Subsidiaries on a Consolidated basis, the aggregate of all taxes, as determined in accordance with GAAP, to the extent the same are paid in cash for such period.</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for the Borrower and its Subsidiaries on a Consolidated basis, an amount equal to: (a)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following, without duplication, to the extent deducted in calculating such Consolidated Net Income (or, in the case of amounts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not already included in Consolidated Net Income): (i) Consolidated Interest Charges for such period; (ii) the provision for federal, state, local and foreign income taxes paid or payable for such period; (iii) depreciation and amortization expense for such period; (iv) any non-cash expenses, losses or charges (other than any non-cash expense, loss or charge relating to write-offs, write-downs or reserves with respect to accounts or inventory) for such period (including any non-cash stock based compensation expense for such period) which do not represent a cash item in such period or any other period; (v) fees, costs and expenses incurred in such period in connection with the Transactions; (vi) fees, costs and expenses incurred in such period in connection with the negotiation, execution and delivery of any amendments or modifications to the Loan Documents; (vii) restructuring charges or reserves (which shall include retention, severance, systems establishment cost, excess pension charges, contract termination costs, costs related to start up, closure, relocation or consolidation of facilities, costs to relocate employees, consulting fees, one time information technology costs, and one time branding costs);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amount added back pursuant to this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for any period, when taken together with the aggregate amount added back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for such period, shall not exceed an amount equal to twenty percent (20%) of Consolidated EBITDA (calculated without giving effect to the add backs permitted pursuant to this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for such period; (viii) fees, costs, and expenses incurred in such period in connection with the issuance of Equity Interests or Indebtedness, the consummation of Permitted Acquisitions, and the consummation of other Investments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 each case whether consummated before or after the Closing Date), whether or not such transaction is actually consummated; and (ix) the amount of net cost savings and synergies related to any Permitted Acquisition or other Investment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but only to the extent that such net cost savings and synergies are reasonably identifiable, factually supportable and projected by the Borrower in good faith to result from actions that have been taken (or, if not yet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8" w:name="page209"/>
    <w:bookmarkEnd w:id="208"/>
    <w:p>
      <w:pPr>
        <w:jc w:val="both"/>
        <w:spacing w:after="0" w:line="271" w:lineRule="auto"/>
        <w:rPr>
          <w:sz w:val="20"/>
          <w:szCs w:val="20"/>
          <w:color w:val="auto"/>
        </w:rPr>
      </w:pPr>
      <w:r>
        <w:rPr>
          <w:rFonts w:ascii="Arial" w:cs="Arial" w:eastAsia="Arial" w:hAnsi="Arial"/>
          <w:sz w:val="18"/>
          <w:szCs w:val="18"/>
          <w:color w:val="auto"/>
        </w:rPr>
        <w:t xml:space="preserve">with respect to actions for which substantial steps have been taken) within twelve (12) months after the consummation of such Permitted Acquisition or such Investment (with the amount of any such net cost savings and synergies to be added to Consolidated EBITDA as so projected until fully realized and calculated on a Pro Forma Basis as though such net cost savings and synergies had been realized on the first day of such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amount added back pursuant to this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for any period, when taken together with the aggregate amount added back pursuant to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above for such period, shall not exceed an amount equal to twenty percent (20%) of Consolidated EBITDA (calculated without giving effect to the add backs permitted pursuant to this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above)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following, without duplication, to the extent included in calculating such Consolidated Net Income: (i) non-cash income or gains for such period; and (ii) federal, state, local and foreign income tax credits received in such period.</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as of any date of determination, the ratio of (a) the total of (i) Consolidated EBITDA for the Measurement Period most recently completed on or prior to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Consolidated Maintenance Capital Expenditures for such period,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(b) the sum of (i) Consolidated Interest Charges for the Measurement Period most recently completed on or prior to such date to the extent paid in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Consolidated Scheduled Funded Debt Payments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Consolidated Cash Taxes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aggregate amount of all Designated Restricted Payments made in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purposes of calculating the Consolidated Fixed Charge Coverage Ratio: (A) Consolidated Interest Charges shall be calculated as if the Term A Loans had been made on February 1, 2021 (utilizing for any day prior to the Closing Date the interest rate which is in effect on the last day of the fiscal quarter of the Borrower ending April 30, 2021); (B) Consolidated Scheduled Funded Debt Payments shall be calculated as if a quarterly amortization payment on the Term A Facility in the principal amount of $2,500,000 was due on April 30, 2021; (C)(1) Consolidated Interest Charges with respect to the Obligations for the period ended April 30, 2021 shall be the actual Consolidated Interest Charges with respect to the Obligations for the period of one (1) fiscal quarter then ended (subject to adjustment as provided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 (4), and (2) Consolidated Scheduled Funded Debt Payments with respect to the Obligations for the period ended April 30, 2021 shall be the actual Consolidated Scheduled Funded Debt Payments with respect to the Obligations for the period of one (1) fiscal quarter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 (4); (D)(1) Consolidated Interest Charges with respect to the Obligations for the period ended July 31, 2021 shall be the actual Consolidated Interest Charges with respect to the Obligations for the period of two (2) fiscal quarters then ended (subject to adjustment as provided in </w:t>
      </w:r>
      <w:r>
        <w:rPr>
          <w:rFonts w:ascii="Arial" w:cs="Arial" w:eastAsia="Arial" w:hAnsi="Arial"/>
          <w:sz w:val="18"/>
          <w:szCs w:val="18"/>
          <w:u w:val="single" w:color="auto"/>
          <w:color w:val="auto"/>
        </w:rPr>
        <w:t>clauses</w:t>
      </w:r>
    </w:p>
    <w:p>
      <w:pPr>
        <w:spacing w:after="0" w:line="2" w:lineRule="exact"/>
        <w:rPr>
          <w:sz w:val="20"/>
          <w:szCs w:val="20"/>
          <w:color w:val="auto"/>
        </w:rPr>
      </w:pPr>
    </w:p>
    <w:p>
      <w:pPr>
        <w:jc w:val="both"/>
        <w:ind w:firstLine="8"/>
        <w:spacing w:after="0" w:line="268" w:lineRule="auto"/>
        <w:tabs>
          <w:tab w:leader="none" w:pos="358" w:val="left"/>
        </w:tabs>
        <w:numPr>
          <w:ilvl w:val="0"/>
          <w:numId w:val="16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two (2), and (2) Consolidated Scheduled Funded Debt Payments with respect to the Obligations for the period ended July 31, 2021 shall be the actual Consolidated Scheduled Funded Debt Payments with respect to the Obligations for the period of two (2) fiscal quarters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two (2); (E)(1) Consolidated Interest Charges with respect to the Obligations for the period ended October 31, 2021 shall be the actual Consolidated Interest Charges with respect to the Obligations for the period of three (3) fiscal quarters then ended (subject to adjustment as provided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four-thirds (4/3), and (2) Consolidated Scheduled Funded Debt Payments with respect to the Obligations for the period ended October 31, 2021 shall be the actual Consolidated Scheduled Funded Debt Payments with respect to the Obligations for the period of three (3) fiscal quarters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four-thirds (4/3); and (F)(1) Consolidated Interest Charges with respect to the Obligations for the period ended January 31, 2022 shall be the actual Consolidated Interest Charges with respect to the Obligations for the period of four (4) fiscal quarters then ended (subject to adjustment as provided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(2) Consolidated Scheduled Funded Debt Payments with respect to the Obligations for the period ended January 31, 2022 shall be the actual Consolidated Scheduled Funded Debt Payments with respect to the Obligations for the period of four (4) fiscal quarters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09" w:name="page210"/>
    <w:bookmarkEnd w:id="209"/>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as of any date of determination, Funded Indebtedness of the Borrower and its Subsidiaries on a Consolidated basis as of such date.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xml:space="preserve">” means, for any period, for the Borrower and its Subsidiaries on a Consolidated basis, the sum, without duplication, of (a) all interest, premium payments, debt discount, fees, charges and related expenses in connection with borrowed money (including capitalized interest) or in connection with the deferred purchase price of assets, in each case with respect to such period and to the extent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all interest paid or payable with respect to discontinued operations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portion of rent expense under Capitalized Leases for such period that is treated as interest in accordance with GAAP.</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xml:space="preserve">” means, as of any date of determination, the ratio of (a) Consolidated Funded Indebtedness as of such date, </w:t>
      </w:r>
      <w:r>
        <w:rPr>
          <w:rFonts w:ascii="Arial" w:cs="Arial" w:eastAsia="Arial" w:hAnsi="Arial"/>
          <w:sz w:val="20"/>
          <w:szCs w:val="20"/>
          <w:u w:val="single" w:color="auto"/>
          <w:color w:val="auto"/>
        </w:rPr>
        <w:t>to</w:t>
      </w:r>
      <w:r>
        <w:rPr>
          <w:rFonts w:ascii="Arial" w:cs="Arial" w:eastAsia="Arial" w:hAnsi="Arial"/>
          <w:sz w:val="20"/>
          <w:szCs w:val="20"/>
          <w:color w:val="auto"/>
        </w:rPr>
        <w:t xml:space="preserve"> (b) Consolidated EBITDA for the Measurement Period most recently completed on or prior to such date.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Maintenance Capital Expenditures</w:t>
      </w:r>
      <w:r>
        <w:rPr>
          <w:rFonts w:ascii="Arial" w:cs="Arial" w:eastAsia="Arial" w:hAnsi="Arial"/>
          <w:sz w:val="20"/>
          <w:szCs w:val="20"/>
          <w:color w:val="auto"/>
        </w:rPr>
        <w:t>” means, for any period, an amount equal to thirty-five percent (35%) of the amount of Consolidated Capital Expenditures for such period.</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Borrower and its Subsidiaries on a Consolidated basis for such period,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Consolidated Net Income shall exclude (a) unusual and infrequent gains and unusual and infrequent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Income, and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proviso).</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Scheduled Funded Debt Payments</w:t>
      </w:r>
      <w:r>
        <w:rPr>
          <w:rFonts w:ascii="Arial" w:cs="Arial" w:eastAsia="Arial" w:hAnsi="Arial"/>
          <w:sz w:val="18"/>
          <w:szCs w:val="18"/>
          <w:color w:val="auto"/>
        </w:rPr>
        <w:t xml:space="preserve">” means, for any period, for the Borrower and its Subsidiaries on a Consolidated basis, the sum of all scheduled payments of principal on Consolidated Funded Indebtedness during such period.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scheduled payments on any Attributable Indebtedness, and (c) shall not include any voluntary prepayments or mandatory prepayments required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any date of determination, the total assets of the Borrower and its Subsidiaries, as determined on a Consolidated basis in accordance with GAAP.</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0" w:name="page211"/>
    <w:bookmarkEnd w:id="210"/>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Issuance</w:t>
      </w:r>
      <w:r>
        <w:rPr>
          <w:rFonts w:ascii="Arial" w:cs="Arial" w:eastAsia="Arial" w:hAnsi="Arial"/>
          <w:sz w:val="20"/>
          <w:szCs w:val="20"/>
          <w:color w:val="auto"/>
        </w:rPr>
        <w:t xml:space="preserve">” means the issuance by any Loan Party or any Subsidiary of any Indebtedness other than Indebtedness permitted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Revolving Loans that are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 in each case, to the fullest extent permitted by applicable Law.</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1" w:name="page212"/>
    <w:bookmarkEnd w:id="211"/>
    <w:p>
      <w:pPr>
        <w:jc w:val="both"/>
        <w:spacing w:after="0" w:line="255" w:lineRule="auto"/>
        <w:rPr>
          <w:sz w:val="20"/>
          <w:szCs w:val="20"/>
          <w:color w:val="auto"/>
        </w:rPr>
      </w:pPr>
      <w:r>
        <w:rPr>
          <w:rFonts w:ascii="Arial" w:cs="Arial" w:eastAsia="Arial" w:hAnsi="Arial"/>
          <w:sz w:val="19"/>
          <w:szCs w:val="19"/>
          <w:color w:val="auto"/>
        </w:rPr>
        <w:t xml:space="preserve">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each L/C Issuer, the Swingline Lender and each other Lender promptly following such determination.</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is the subject of any Sanction.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Restricted Payment</w:t>
      </w:r>
      <w:r>
        <w:rPr>
          <w:rFonts w:ascii="Arial" w:cs="Arial" w:eastAsia="Arial" w:hAnsi="Arial"/>
          <w:sz w:val="20"/>
          <w:szCs w:val="20"/>
          <w:color w:val="auto"/>
        </w:rPr>
        <w:t xml:space="preserve">” means any Restricted Payment made by the Borrower or any of its Subsidiaries in reliance on </w:t>
      </w:r>
      <w:r>
        <w:rPr>
          <w:rFonts w:ascii="Arial" w:cs="Arial" w:eastAsia="Arial" w:hAnsi="Arial"/>
          <w:sz w:val="20"/>
          <w:szCs w:val="20"/>
          <w:u w:val="single" w:color="auto"/>
          <w:color w:val="auto"/>
        </w:rPr>
        <w:t>Section 7.06(a)</w:t>
      </w:r>
      <w:r>
        <w:rPr>
          <w:rFonts w:ascii="Arial" w:cs="Arial" w:eastAsia="Arial" w:hAnsi="Arial"/>
          <w:sz w:val="20"/>
          <w:szCs w:val="20"/>
          <w:color w:val="auto"/>
        </w:rPr>
        <w:t xml:space="preserve"> (to the extent made to any Person other than the Borrower or any Subsidiary), </w:t>
      </w:r>
      <w:r>
        <w:rPr>
          <w:rFonts w:ascii="Arial" w:cs="Arial" w:eastAsia="Arial" w:hAnsi="Arial"/>
          <w:sz w:val="20"/>
          <w:szCs w:val="20"/>
          <w:u w:val="single" w:color="auto"/>
          <w:color w:val="auto"/>
        </w:rPr>
        <w:t>Section 7.06(d)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7.06(e)</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(including the Equity Interests in any Subsidiary) owned by any Loan Party or any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Equity Interest which, by its terms (or by the terms of any security into which it is convertible or for which it is exchangeable), or upon the happening of any event, (a) matures or is mandatorily redeemable, pursuant to a sinking fund obligation or otherwise, or is redeemable at the option of the holder thereof, in whole or in part, prior to the ninety-first (91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after the then-Latest Maturity Date, (b) requires the payment of any cash dividends, (c) is convertible into or exchangeable for (i) debt securities, or (ii) any Equity Interests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w:t>
      </w:r>
    </w:p>
    <w:p>
      <w:pPr>
        <w:spacing w:after="0" w:line="4" w:lineRule="exact"/>
        <w:rPr>
          <w:sz w:val="20"/>
          <w:szCs w:val="20"/>
          <w:color w:val="auto"/>
        </w:rPr>
      </w:pPr>
    </w:p>
    <w:p>
      <w:pPr>
        <w:jc w:val="both"/>
        <w:ind w:firstLine="8"/>
        <w:spacing w:after="0" w:line="225" w:lineRule="auto"/>
        <w:tabs>
          <w:tab w:leader="none" w:pos="285" w:val="left"/>
        </w:tabs>
        <w:numPr>
          <w:ilvl w:val="0"/>
          <w:numId w:val="167"/>
        </w:numPr>
        <w:rPr>
          <w:rFonts w:ascii="Arial" w:cs="Arial" w:eastAsia="Arial" w:hAnsi="Arial"/>
          <w:sz w:val="19"/>
          <w:szCs w:val="19"/>
          <w:u w:val="single" w:color="auto"/>
          <w:color w:val="auto"/>
        </w:rPr>
      </w:pPr>
      <w:r>
        <w:rPr>
          <w:rFonts w:ascii="Arial" w:cs="Arial" w:eastAsia="Arial" w:hAnsi="Arial"/>
          <w:sz w:val="19"/>
          <w:szCs w:val="19"/>
          <w:color w:val="auto"/>
        </w:rPr>
        <w:t>above, in each case at any time prior to the ninety-first (91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day after the then-Latest Maturity Date, or (d) contains any repurchase obligation which may come into effect prior to the Facility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Equity Interests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or an asset sale occurring prior to the ninety-first (91</w:t>
      </w:r>
      <w:r>
        <w:rPr>
          <w:rFonts w:ascii="Arial" w:cs="Arial" w:eastAsia="Arial" w:hAnsi="Arial"/>
          <w:sz w:val="28"/>
          <w:szCs w:val="28"/>
          <w:color w:val="auto"/>
          <w:vertAlign w:val="superscript"/>
        </w:rPr>
        <w:t>st</w:t>
      </w:r>
      <w:r>
        <w:rPr>
          <w:rFonts w:ascii="Arial" w:cs="Arial" w:eastAsia="Arial" w:hAnsi="Arial"/>
          <w:sz w:val="19"/>
          <w:szCs w:val="19"/>
          <w:color w:val="auto"/>
        </w:rPr>
        <w:t>) day after the then-Latest Maturity Date shall not constitute Disqualified Capital Stock if such Equity Interests provide that the issuer thereof may not redeem or repurchase any such Equity Interests pursuant to such provisions prior to the Facility Termination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 Out Obligations</w:t>
      </w:r>
      <w:r>
        <w:rPr>
          <w:rFonts w:ascii="Arial" w:cs="Arial" w:eastAsia="Arial" w:hAnsi="Arial"/>
          <w:sz w:val="20"/>
          <w:szCs w:val="20"/>
          <w:color w:val="auto"/>
        </w:rPr>
        <w:t>” 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amount of any Earn Out Obligations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2" w:name="page213"/>
    <w:bookmarkEnd w:id="212"/>
    <w:p>
      <w:pPr>
        <w:jc w:val="both"/>
        <w:spacing w:after="0" w:line="260" w:lineRule="auto"/>
        <w:rPr>
          <w:sz w:val="20"/>
          <w:szCs w:val="20"/>
          <w:color w:val="auto"/>
        </w:rPr>
      </w:pPr>
      <w:r>
        <w:rPr>
          <w:rFonts w:ascii="Arial" w:cs="Arial" w:eastAsia="Arial" w:hAnsi="Arial"/>
          <w:sz w:val="20"/>
          <w:szCs w:val="20"/>
          <w:color w:val="auto"/>
        </w:rPr>
        <w:t>included in the definition of Consolidated Funded Indebtedness, the amount of Earn Out Obligations shall be deemed to be the aggregate liability in respect thereof, as determined in accordance with GAAP.</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definition, or (c) any financial institution established in an EEA Member Country which is a Subsidiary of an institution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 and is subject to consolidated supervision with its parent.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has the meaning assigned to that term in 15 U.S.C. § 7006.</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has the meaning assigned to that term in 15 U.S.C. § 7006.</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Assets</w:t>
      </w:r>
      <w:r>
        <w:rPr>
          <w:rFonts w:ascii="Arial" w:cs="Arial" w:eastAsia="Arial" w:hAnsi="Arial"/>
          <w:sz w:val="20"/>
          <w:szCs w:val="20"/>
          <w:color w:val="auto"/>
        </w:rPr>
        <w:t>” means property (other than current assets as classified by GAAP) that is used or useful in the same or a related line of business as the Borrower and its Subsidiaries were engaged in on the Closing Date (or any business reasonably related, incidental or ancillary thereto or reasonable extensions thereof).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 flora and fauna.</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certification, registration, approval, identification number, license or other authorization required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3" w:name="page214"/>
    <w:bookmarkEnd w:id="213"/>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Section 414(c)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16" w:lineRule="exact"/>
        <w:rPr>
          <w:sz w:val="20"/>
          <w:szCs w:val="20"/>
          <w:color w:val="auto"/>
        </w:rPr>
      </w:pPr>
    </w:p>
    <w:p>
      <w:pPr>
        <w:jc w:val="both"/>
        <w:ind w:left="660" w:firstLine="644"/>
        <w:spacing w:after="0" w:line="242" w:lineRule="auto"/>
        <w:tabs>
          <w:tab w:leader="none" w:pos="195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w:t>
      </w:r>
      <w:r>
        <w:rPr>
          <w:rFonts w:ascii="Arial" w:cs="Arial" w:eastAsia="Arial" w:hAnsi="Arial"/>
          <w:sz w:val="20"/>
          <w:szCs w:val="20"/>
          <w:u w:val="single" w:color="auto"/>
          <w:color w:val="auto"/>
        </w:rPr>
        <w:t>LIBOR</w:t>
      </w:r>
      <w:r>
        <w:rPr>
          <w:rFonts w:ascii="Arial" w:cs="Arial" w:eastAsia="Arial" w:hAnsi="Arial"/>
          <w:sz w:val="20"/>
          <w:szCs w:val="20"/>
          <w:color w:val="auto"/>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auto"/>
        </w:rPr>
        <w:t>LIBOR Rate</w:t>
      </w:r>
      <w:r>
        <w:rPr>
          <w:rFonts w:ascii="Arial" w:cs="Arial" w:eastAsia="Arial" w:hAnsi="Arial"/>
          <w:sz w:val="20"/>
          <w:szCs w:val="20"/>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19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 at or about 11:00 a.m., London time, two (2) London Banking Days prior to such date for Dollar deposits with a term of one (1) month commencing that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the Eurodollar Rate shall be less than zero, such rate shall be deemed zero for purposes of this Agreement.</w:t>
      </w:r>
    </w:p>
    <w:p>
      <w:pPr>
        <w:spacing w:after="0" w:line="2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 Loan</w:t>
      </w:r>
      <w:r>
        <w:rPr>
          <w:rFonts w:ascii="Arial" w:cs="Arial" w:eastAsia="Arial" w:hAnsi="Arial"/>
          <w:sz w:val="20"/>
          <w:szCs w:val="20"/>
          <w:color w:val="auto"/>
        </w:rPr>
        <w:t xml:space="preserve">” means a Revolving Loan or a Term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“Eurodollar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w:t>
      </w:r>
      <w:r>
        <w:rPr>
          <w:rFonts w:ascii="Arial" w:cs="Arial" w:eastAsia="Arial" w:hAnsi="Arial"/>
          <w:sz w:val="20"/>
          <w:szCs w:val="20"/>
          <w:color w:val="auto"/>
        </w:rPr>
        <w:t>” means (a) any zero balance account, (b) any withholding tax, trust, escrow, payroll and other fiduciary account, (c) any employee benefit account, (d) any account not located in the United States (or any political subdivision thereof), and (e) any petty cash account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aggregate amount on deposit in all petty cash accounts excluded pursuant to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shall not exceed $20,000,000).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means, with respect to any Loan Party: (a)(i) any owned real property of such Loan Party, and</w:t>
      </w:r>
    </w:p>
    <w:p>
      <w:pPr>
        <w:spacing w:after="0" w:line="39" w:lineRule="exact"/>
        <w:rPr>
          <w:sz w:val="20"/>
          <w:szCs w:val="20"/>
          <w:color w:val="auto"/>
        </w:rPr>
      </w:pPr>
    </w:p>
    <w:p>
      <w:pPr>
        <w:jc w:val="both"/>
        <w:ind w:firstLine="8"/>
        <w:spacing w:after="0" w:line="267" w:lineRule="auto"/>
        <w:tabs>
          <w:tab w:leader="none" w:pos="31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any leased real property of such Loan Party; (b) any personal property (including motor vehicles, airplanes and other assets subject to certificates of title) of such Loan Party in respect of which perfection of a Lien is not either (i) governed by the UCC, or (ii) effected by appropriate evidence of the Lien being filed in either the United States Copyright Office or the United States Patent and Trademark Office; (c) the Equity Interests of any Foreign Subsidiary owned by such Loan Party to the extent not required to be pledged to secure the Secured Obligations pursuant to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(d) any property of such Loan Party which, subject to the terms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pursuant to documents that prohibit such Loan Party from granting any other Liens in such property; (e) any general intangible, permit, lease, license, contract or other instrument of such Loan Party to the extent the grant of a security interest in such general intangible, permit, lease, license, contract or other instrument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any such limitation described in the foregoing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on the security interests granted pursuant to the Collateral Documents shall only apply to the extent that any such prohibition is not rendered ineffective pursuant to the UCC or other applicable Law (including Debtor Relief Laws) or principles of equity, and (ii) in the event of the termination or elimination of any such prohibition or the requirement for any consent contained in any applicable Law, general intangible, permit, lease, license, contract or other instrument, to the extent sufficient to permit any such item to become Collateral, or upon the granting of any such consent, or waiving or terminating any requirement for such consent, or the elimination of such limitation, as applicable, a security interest in such general intangible, permit, lease, license, contract or other instrument shall be automatically and simultaneously granted under the Collateral Documents and shall be included as Collateral; (f) any asset of such Loan Party if the pledge of, or the granting of a security interest in, such asset is prohibited by any Law applicable to such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any such prohibition described in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on the security interests granted pursuant to the Collateral Documents shall only apply to the extent that any such prohibition would not be rendered ineffective pursuant to the UCC or any other applicable Law (including Debtor Relief Laws) or principles of equity, and (ii) in the event of the termination or elimination of any such prohibition contained in any applicable Law, a security interest in such asset shall be automatically and simultaneously granted under the Collateral Documents and shall be included as Collateral; (g)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5" w:name="page216"/>
    <w:bookmarkEnd w:id="215"/>
    <w:p>
      <w:pPr>
        <w:jc w:val="both"/>
        <w:spacing w:after="0" w:line="291" w:lineRule="auto"/>
        <w:rPr>
          <w:sz w:val="20"/>
          <w:szCs w:val="20"/>
          <w:color w:val="auto"/>
        </w:rPr>
      </w:pPr>
      <w:r>
        <w:rPr>
          <w:rFonts w:ascii="Arial" w:cs="Arial" w:eastAsia="Arial" w:hAnsi="Arial"/>
          <w:sz w:val="18"/>
          <w:szCs w:val="18"/>
          <w:color w:val="auto"/>
        </w:rPr>
        <w:t>from such intent-to-use application under applicable federal law; and (h) any asset of such Loan Party as to which the Administrative Agent and the Borrower agree in writing that the cost or other consequences of obtaining a security interest therein or perfection thereof are excessive in view of the benefits to be obtained by the Secured Parties therefrom.</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Guarantor, any Swap Obligation if, and to the extent that, all or a portion of the Guaranty of such Guarantor of, or the grant by such Guarantor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Sections 3.01(b)</w:t>
      </w:r>
      <w:r>
        <w:rPr>
          <w:rFonts w:ascii="Arial" w:cs="Arial" w:eastAsia="Arial" w:hAnsi="Arial"/>
          <w:sz w:val="18"/>
          <w:szCs w:val="18"/>
          <w:color w:val="auto"/>
        </w:rPr>
        <w:t xml:space="preserve"> or</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3.01(f)</w:t>
      </w:r>
      <w:r>
        <w:rPr>
          <w:rFonts w:ascii="Arial" w:cs="Arial" w:eastAsia="Arial" w:hAnsi="Arial"/>
          <w:sz w:val="18"/>
          <w:szCs w:val="18"/>
          <w:color w:val="auto"/>
        </w:rPr>
        <w:t>; and (d) any U.S. federal withholding Taxes imposed pursuant to FATCA.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JPMorgan Letter of Credit</w:t>
      </w:r>
      <w:r>
        <w:rPr>
          <w:rFonts w:ascii="Arial" w:cs="Arial" w:eastAsia="Arial" w:hAnsi="Arial"/>
          <w:sz w:val="20"/>
          <w:szCs w:val="20"/>
          <w:color w:val="auto"/>
        </w:rPr>
        <w:t>” means each Existing Letter of Credit issued by JPMorgan.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xml:space="preserve">” means each letter of credit set forth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Term Facility or the Revolving Facility, as the context may require.</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Termination Date</w:t>
      </w:r>
      <w:r>
        <w:rPr>
          <w:rFonts w:ascii="Arial" w:cs="Arial" w:eastAsia="Arial" w:hAnsi="Arial"/>
          <w:sz w:val="20"/>
          <w:szCs w:val="20"/>
          <w:color w:val="auto"/>
        </w:rPr>
        <w:t>” means the date as of which all of the following shall have occurred: (a) the Aggregate Commitments have terminated; (b) all Obligations have been paid in full in cash (other than contingent indemnification obligations for which no claim has been asserted); and (c) all Letters of Credit have terminated or expired (other than Letters of Credit as to which other arrangements with respect thereto satisfactory to the Administrative Agent and the applicable L/C Issuers shall have been made).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FASB ASC</w:t>
      </w:r>
      <w:r>
        <w:rPr>
          <w:rFonts w:ascii="Arial" w:cs="Arial" w:eastAsia="Arial" w:hAnsi="Arial"/>
          <w:sz w:val="19"/>
          <w:szCs w:val="19"/>
          <w:color w:val="auto"/>
        </w:rPr>
        <w:t>” means the Accounting Standards Codification of the Financial Accounting Standards Board.</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Closing Date (or any amended or successor version that is substantively comparable and not materially more onerous to comply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current or future regulations or official interpretations thereof and any agreements entered into pursuant to Section 1471(b)</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 of the Code.</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the Federal Funds Rate as so determined would be less than zero, such rate shall be deemed to be zero for the purposes of this Agreement.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agreement, dated January 11, 2021, among the Borrower, Bank of America and BofA Securities.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that is a Revolving Lender, (a) with respect to each L/C Issuer, such Defaulting Lender’s Applicable Revolving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Revolving Percentage of Swingline Loans, other than Swingline Loans as to which such Defaulting Lender’s participation obligation has been reallocated to other Revolving Lenders or Cash Collateralized in accordance with the terms hereof.</w:t>
      </w:r>
    </w:p>
    <w:p>
      <w:pPr>
        <w:spacing w:after="0" w:line="19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 (a) all obligations of such Person, whether current or long-term, for borrowed money (including the Obligations) and all obligations of such Person evidenced by bonds, debentures, notes, loan agreements or other similar instruments; (b) all purchase money Indebtedness of such Person;</w:t>
      </w:r>
    </w:p>
    <w:p>
      <w:pPr>
        <w:spacing w:after="0" w:line="3" w:lineRule="exact"/>
        <w:rPr>
          <w:sz w:val="20"/>
          <w:szCs w:val="20"/>
          <w:color w:val="auto"/>
        </w:rPr>
      </w:pPr>
    </w:p>
    <w:p>
      <w:pPr>
        <w:jc w:val="both"/>
        <w:ind w:firstLine="8"/>
        <w:spacing w:after="0" w:line="270" w:lineRule="auto"/>
        <w:tabs>
          <w:tab w:leader="none" w:pos="27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principal portion of all obligations of such Person under conditional sale or other title retention agreements relating to property purchased by such Person or any Subsidiary thereof (other than customary reservations or retentions of title under agreements with suppliers entered into in the ordinary course of business); (d) all obligations of such Person arising under letters of credit (including standby and commercial), bankers’ acceptances, bank guaranties, surety bonds and similar instruments; (e) all obligations of such Person in respect of the deferred purchase price of property or services (other than trade accounts payable in the ordinary course of business and not past due for more than ninety (90) days after the date on which such trade account payable was created), including any Earn Out Obligations; (f) all Attributable Indebtedness of such Person; (g) all obligations of such Person to purchase, redeem, retire, defease or otherwise make any payment in respect of any Equity Interests in such Person or any other Person, valued, in the case of a redeemable preferred interest,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7" w:name="page218"/>
    <w:bookmarkEnd w:id="217"/>
    <w:p>
      <w:pPr>
        <w:jc w:val="both"/>
        <w:spacing w:after="0" w:line="255" w:lineRule="auto"/>
        <w:rPr>
          <w:sz w:val="20"/>
          <w:szCs w:val="20"/>
          <w:color w:val="auto"/>
        </w:rPr>
      </w:pPr>
      <w:r>
        <w:rPr>
          <w:rFonts w:ascii="Arial" w:cs="Arial" w:eastAsia="Arial" w:hAnsi="Arial"/>
          <w:sz w:val="19"/>
          <w:szCs w:val="19"/>
          <w:color w:val="auto"/>
        </w:rPr>
        <w:t xml:space="preserve">greater of its voluntary or involuntary liquidation preference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and unpaid dividends; (h) all Funded Indebtedness of other Persons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 (i) all Guarantees provided by such Person with respect to Funded Indebtedness of another Person; and (j) all Funded Indebtedness of any partnership or joint venture (other than a joint venture that is itself a corporation or limited liability company) in which such Person is a general partner or joint venturer, except to the extent that such Funded Indebtedness is expressly made non-recourse to such Person. 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Indemnity Letter</w:t>
      </w:r>
      <w:r>
        <w:rPr>
          <w:rFonts w:ascii="Arial" w:cs="Arial" w:eastAsia="Arial" w:hAnsi="Arial"/>
          <w:sz w:val="20"/>
          <w:szCs w:val="20"/>
          <w:color w:val="auto"/>
        </w:rPr>
        <w:t>” means a funding indemnity letter, in form and substance satisfactory to the Administrative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the FASB ASC, that are applicable to the circumstances as of the date of determination, consistently applied and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any Guarantee of the type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to the extent the Indebtedness or other obligation secured thereby has not been assumed by the guarantor or is nonrecourse to the guarantor, the amount of such Guarantee shall be deemed to be an amount equal to the lesser of (i) the fair market value of the assets subject to such Lien, and (ii) the Indebtedness or other obligation secured thereby.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8" w:name="page219"/>
    <w:bookmarkEnd w:id="21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w:t>
      </w:r>
      <w:r>
        <w:rPr>
          <w:rFonts w:ascii="Arial" w:cs="Arial" w:eastAsia="Arial" w:hAnsi="Arial"/>
          <w:sz w:val="20"/>
          <w:szCs w:val="20"/>
          <w:color w:val="auto"/>
        </w:rPr>
        <w:t xml:space="preserve">s”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means each of (a) each Person identified under the heading “Guarantors” on the signature pages hereto,</w:t>
      </w:r>
    </w:p>
    <w:p>
      <w:pPr>
        <w:spacing w:after="0" w:line="62" w:lineRule="exact"/>
        <w:rPr>
          <w:sz w:val="20"/>
          <w:szCs w:val="20"/>
          <w:color w:val="auto"/>
        </w:rPr>
      </w:pPr>
    </w:p>
    <w:p>
      <w:pPr>
        <w:jc w:val="both"/>
        <w:ind w:firstLine="8"/>
        <w:spacing w:after="0" w:line="241" w:lineRule="auto"/>
        <w:tabs>
          <w:tab w:leader="none" w:pos="2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each Domestic Subsidiary of the Borrower that is or may from time to time become a Guarantor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and (c) with respect to (i) Additional Secured Obligations owing by any Loan Party or any Subsidiary, and (ii) any Swap Obligation of a Specified Loan Party (determined before giving effect to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10.11</w:t>
      </w:r>
      <w:r>
        <w:rPr>
          <w:rFonts w:ascii="Arial" w:cs="Arial" w:eastAsia="Arial" w:hAnsi="Arial"/>
          <w:sz w:val="20"/>
          <w:szCs w:val="20"/>
          <w:color w:val="auto"/>
        </w:rPr>
        <w:t>) under the Guaranty, the Borrower.</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collectively, the Guarantee made by the Guarantors under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favor of the Secured Parties, together with each other guaranty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in its capacity as a party to a Swap Contract, that, (a) at the time it enters into a Swap Contract not prohibited by this Agreement with a Loan Party or a Subsidiary, is a Lender, or an Affiliate of a Lender, or (b) at the time it (or its Affiliate) becomes a Lender, is a party to a Swap Contract not prohibited by this Agreement with a Loan Party or a Subsidiary, in each case, even if such Person ceases to be a Lender or such Person’s Affiliate ceased to be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a Secured Hedge Agreement with a Person who is no longer a Lender (or an Affiliate of a Lender), such Person shall be considered a Hedge Bank only through the stated termination date (without extension or renewal) of such Secured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HMT</w:t>
      </w:r>
      <w:r>
        <w:rPr>
          <w:rFonts w:ascii="Arial" w:cs="Arial" w:eastAsia="Arial" w:hAnsi="Arial"/>
          <w:sz w:val="20"/>
          <w:szCs w:val="20"/>
          <w:color w:val="auto"/>
        </w:rPr>
        <w:t>” has the meaning specified in the definition of “Sanction(s)”.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AeroVironment, Inc., an entity organized under the laws of Afghanistan;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entity shall cease to be an Immaterial Subsidiary if, as of any date of determination, for the Measurement Period most recently ended on or prior to such date for which financial statements have been (or were required to be) delivered pursuant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such entity has revenues in excess of one percent (1%) of the Consolidated revenues of the Borrower and its Subsidiaries for such Measurement Period (it being understood and agreed that from and after the initial date on which such entity no longer constitutes an Immaterial Subsidiary (such initial date, the “</w:t>
      </w:r>
      <w:r>
        <w:rPr>
          <w:rFonts w:ascii="Arial" w:cs="Arial" w:eastAsia="Arial" w:hAnsi="Arial"/>
          <w:sz w:val="18"/>
          <w:szCs w:val="18"/>
          <w:u w:val="single" w:color="auto"/>
          <w:color w:val="auto"/>
        </w:rPr>
        <w:t>Redesignation Date</w:t>
      </w:r>
      <w:r>
        <w:rPr>
          <w:rFonts w:ascii="Arial" w:cs="Arial" w:eastAsia="Arial" w:hAnsi="Arial"/>
          <w:sz w:val="18"/>
          <w:szCs w:val="18"/>
          <w:color w:val="auto"/>
        </w:rPr>
        <w:t>”), such entity shall not constitute an Immaterial Subsidiary for purposes of this Agreement (even if the revenues of such entity for any Measurement Period ending subsequent to the Resignation Date do not exceed one percent (1%) of the Consolidated revenues of the Borrower and its Subsidiaries for such Measurement Period)).</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Amount</w:t>
      </w:r>
      <w:r>
        <w:rPr>
          <w:rFonts w:ascii="Arial" w:cs="Arial" w:eastAsia="Arial" w:hAnsi="Arial"/>
          <w:sz w:val="20"/>
          <w:szCs w:val="20"/>
          <w:color w:val="auto"/>
        </w:rPr>
        <w:t xml:space="preserve">” means, as of any date of determination, an amount equal to the sum of (a) the total of (i) $100,000,000,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aggregate original principal amount of all Incremental Facilities incurred in reliance on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(a)(i)</w:t>
      </w:r>
      <w:r>
        <w:rPr>
          <w:rFonts w:ascii="Arial" w:cs="Arial" w:eastAsia="Arial" w:hAnsi="Arial"/>
          <w:sz w:val="20"/>
          <w:szCs w:val="20"/>
          <w:color w:val="auto"/>
        </w:rPr>
        <w:t xml:space="preserve"> prior to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an unlimited amount, so long as, after giving effect to the incurrence of any Incremental Facility on a Pro Forma Basis (and assuming for such purpose that such Incremental Facility is fully drawn), the Consolidated Leverage Ratio shall not exceed 2.00 to 1.0 (this </w:t>
      </w:r>
      <w:r>
        <w:rPr>
          <w:rFonts w:ascii="Arial" w:cs="Arial" w:eastAsia="Arial" w:hAnsi="Arial"/>
          <w:sz w:val="20"/>
          <w:szCs w:val="20"/>
          <w:u w:val="single" w:color="auto"/>
          <w:color w:val="auto"/>
        </w:rPr>
        <w:t>clause (b)</w:t>
      </w:r>
      <w:r>
        <w:rPr>
          <w:rFonts w:ascii="Arial" w:cs="Arial" w:eastAsia="Arial" w:hAnsi="Arial"/>
          <w:sz w:val="20"/>
          <w:szCs w:val="20"/>
          <w:color w:val="auto"/>
        </w:rPr>
        <w:t>, the “</w:t>
      </w:r>
      <w:r>
        <w:rPr>
          <w:rFonts w:ascii="Arial" w:cs="Arial" w:eastAsia="Arial" w:hAnsi="Arial"/>
          <w:sz w:val="20"/>
          <w:szCs w:val="20"/>
          <w:u w:val="single" w:color="auto"/>
          <w:color w:val="auto"/>
        </w:rPr>
        <w:t>Leverage-Based Prong</w:t>
      </w:r>
      <w:r>
        <w:rPr>
          <w:rFonts w:ascii="Arial" w:cs="Arial" w:eastAsia="Arial" w:hAnsi="Arial"/>
          <w:sz w:val="20"/>
          <w:szCs w:val="20"/>
          <w:color w:val="auto"/>
        </w:rPr>
        <w:t>”) (it being understood and agreed that for purposes of determining the Incremental Amount on any date in connection with the incurrence of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19" w:name="page220"/>
    <w:bookmarkEnd w:id="219"/>
    <w:p>
      <w:pPr>
        <w:jc w:val="both"/>
        <w:spacing w:after="0" w:line="246" w:lineRule="auto"/>
        <w:rPr>
          <w:sz w:val="20"/>
          <w:szCs w:val="20"/>
          <w:color w:val="auto"/>
        </w:rPr>
      </w:pPr>
      <w:r>
        <w:rPr>
          <w:rFonts w:ascii="Arial" w:cs="Arial" w:eastAsia="Arial" w:hAnsi="Arial"/>
          <w:sz w:val="20"/>
          <w:szCs w:val="20"/>
          <w:color w:val="auto"/>
        </w:rPr>
        <w:t xml:space="preserve">Facility, to the extent one or more Incremental Facilities is being incurred on such date in reliance on both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and the Leverage-Based Prong, any portion of such Incremental Facilities incurred on such date in reliance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shall be disregarded for purpose of determining the amount of such Incremental Facilities that may be incurred on such date in reliance on the Leverage-Based Prong).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Borrowing</w:t>
      </w:r>
      <w:r>
        <w:rPr>
          <w:rFonts w:ascii="Arial" w:cs="Arial" w:eastAsia="Arial" w:hAnsi="Arial"/>
          <w:sz w:val="20"/>
          <w:szCs w:val="20"/>
          <w:color w:val="auto"/>
        </w:rPr>
        <w:t xml:space="preserve">” means, with respect to any Incremental Term Facility, a borrowing under such Incremental Term Facility consisting of simultaneous Incremental Term Loans of the same Type and, in the case of Eurodollar Rate Loans, having the same Interest Period made by Incremental Term Lenders under such Incremental Term Facility pursuant to </w:t>
      </w:r>
      <w:r>
        <w:rPr>
          <w:rFonts w:ascii="Arial" w:cs="Arial" w:eastAsia="Arial" w:hAnsi="Arial"/>
          <w:sz w:val="20"/>
          <w:szCs w:val="20"/>
          <w:u w:val="single" w:color="auto"/>
          <w:color w:val="auto"/>
        </w:rPr>
        <w:t>Section 2.01(c)</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w:t>
      </w:r>
      <w:r>
        <w:rPr>
          <w:rFonts w:ascii="Arial" w:cs="Arial" w:eastAsia="Arial" w:hAnsi="Arial"/>
          <w:sz w:val="20"/>
          <w:szCs w:val="20"/>
          <w:color w:val="auto"/>
        </w:rPr>
        <w:t>” means, with respect to any Incremental Term Facility, as to each Incremental Term Lender under such Incremental Term Facility, its obligation to make an Incremental Term Loan under such Incremental Term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2.02(g)(ii)(D)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 Maturity Date</w:t>
      </w:r>
      <w:r>
        <w:rPr>
          <w:rFonts w:ascii="Arial" w:cs="Arial" w:eastAsia="Arial" w:hAnsi="Arial"/>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Arial" w:cs="Arial" w:eastAsia="Arial" w:hAnsi="Arial"/>
          <w:sz w:val="20"/>
          <w:szCs w:val="20"/>
          <w:u w:val="single" w:color="auto"/>
          <w:color w:val="auto"/>
        </w:rPr>
        <w:t>Section 2.02(g)(ii)</w:t>
      </w:r>
      <w:r>
        <w:rPr>
          <w:rFonts w:ascii="Arial" w:cs="Arial" w:eastAsia="Arial" w:hAnsi="Arial"/>
          <w:sz w:val="20"/>
          <w:szCs w:val="20"/>
          <w:color w:val="auto"/>
        </w:rPr>
        <w:t xml:space="preserve"> in connection with such Incremental Term Facility.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means, with respect to any Incremental Term Facility, (a) at any time on or prior to the funding of the Incremental Term Loans under such Incremental Term Facility, any Person that has an Incremental Term Commitment under such Incremental Term Facility at such time, and (b) at any time thereafter, any Person that holds an Incremental Term Loan under such Incremental Term Facility at such time.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means, with respect to any Incremental Term Facility, an advance made by an Incremental Term Lender under such Incremental Term Facility.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 (a) all Funded Indebtedness of such Person; (b) the Swap Termination Value of any Swap Contract entered into by Person; (c) all Guarantees provided by such Person with respect to Indebtedness of any other Person; and (d) all Indebtedness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0" w:name="page221"/>
    <w:bookmarkEnd w:id="220"/>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intellectual property rights, whether registered or unregistered, including all registered trademarks and service marks, trademark applications, trade names, copyright registrations, copyright applications, patents, patent applications, and intellectual property licenses.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any Interest Period for a Eurodollar Rate Loan exceeds three (3) months, the respective dates that fall every three (3) months after the beginning of such Interest Period shall also be Interest Payment Dates; and (b) as to any Base Rate Loan or any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(1), two (2), three (3) or six (6) months thereafter (in each case, subject to availability), as selected by the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 of the Facility under which such Loan was made.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an Acquisition. For purposes of covenant compliance, the amount of any Investment shall be the amount actually invested, without adjustment for subsequent increases or decreases in the value of such Investment, but, in each case, net of any return in respect thereof, including dividends, interest, distributions, returns of principal, profits on sale, repayments, income and similar amounts.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Disposition</w:t>
      </w:r>
      <w:r>
        <w:rPr>
          <w:rFonts w:ascii="Arial" w:cs="Arial" w:eastAsia="Arial" w:hAnsi="Arial"/>
          <w:sz w:val="20"/>
          <w:szCs w:val="20"/>
          <w:color w:val="auto"/>
        </w:rPr>
        <w:t>” means any loss of, damage to or destruction of, or any condemnation or other taking for public use of, any property of any Loan Party or any Subsidiary.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ISDA Definitions</w:t>
      </w:r>
      <w:r>
        <w:rPr>
          <w:rFonts w:ascii="Arial" w:cs="Arial" w:eastAsia="Arial" w:hAnsi="Arial"/>
          <w:sz w:val="20"/>
          <w:szCs w:val="20"/>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1" w:name="page222"/>
    <w:bookmarkEnd w:id="221"/>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w:t>
      </w:r>
      <w:r>
        <w:rPr>
          <w:rFonts w:ascii="Arial" w:cs="Arial" w:eastAsia="Arial" w:hAnsi="Arial"/>
          <w:sz w:val="20"/>
          <w:szCs w:val="20"/>
          <w:color w:val="auto"/>
        </w:rPr>
        <w:t>” means JPMorgan Chase Bank, N.A.</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Debt</w:t>
      </w:r>
      <w:r>
        <w:rPr>
          <w:rFonts w:ascii="Arial" w:cs="Arial" w:eastAsia="Arial" w:hAnsi="Arial"/>
          <w:sz w:val="19"/>
          <w:szCs w:val="19"/>
          <w:color w:val="auto"/>
        </w:rPr>
        <w:t>” means any Indebtedness that is (a) subordinated in right of payment to the Secured Obligations, (b) secured by a Lien on the Collateral junior to the Liens created under the Collateral Documents, or (c) unsecured.</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Debt Payment</w:t>
      </w:r>
      <w:r>
        <w:rPr>
          <w:rFonts w:ascii="Arial" w:cs="Arial" w:eastAsia="Arial" w:hAnsi="Arial"/>
          <w:sz w:val="20"/>
          <w:szCs w:val="20"/>
          <w:color w:val="auto"/>
        </w:rPr>
        <w:t>” means any voluntary or optional payment or prepayment of principal of, or any redemption, purchase, retirement, extinguishment, defeasance, discharge or other satisfaction prior to the scheduled maturity of (including any optional redemption, refinancing, conversion, required repurchase, exchange, open market purchase, or privately negotiated purchase), any Junior Debt.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Date in effect as of such date.</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international, foreign, federal, state and local statute, treaty, rule, guideline, regulation, ordinance, code or administrative or judicial precedent or authority, including the interpretation or administration thereof by any Governmental Authority charged with the enforcement, interpretation or administration thereof, and any applicable administrative order, directed duty, request, license, authorization or permit of, or agreement with, any Governmental Authority, in each case whether or not having the force of law.</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or, with respect to any L/C Issuer that becomes an L/C Issuer after the Closing Date, as set forth for such L/C Issuer as its L/C Commitment in the Register. The L/C Commitment of any L/C Issuer may be modified from time to time by agreement between such L/C Issuer and the Borrower and notified to the Administrative Agent.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any payment made by any L/C Issuer pursuant to a Letter of Credit.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xml:space="preserve">” means (a) Bank of America, in its capacity as issuer of Letters of Credit hereunder, (b) any other Lender selected by the Borrower pursuant to </w:t>
      </w:r>
      <w:r>
        <w:rPr>
          <w:rFonts w:ascii="Arial" w:cs="Arial" w:eastAsia="Arial" w:hAnsi="Arial"/>
          <w:sz w:val="19"/>
          <w:szCs w:val="19"/>
          <w:u w:val="single" w:color="auto"/>
          <w:color w:val="auto"/>
        </w:rPr>
        <w:t>Section 2.03(s)</w:t>
      </w:r>
      <w:r>
        <w:rPr>
          <w:rFonts w:ascii="Arial" w:cs="Arial" w:eastAsia="Arial" w:hAnsi="Arial"/>
          <w:sz w:val="19"/>
          <w:szCs w:val="19"/>
          <w:color w:val="auto"/>
        </w:rPr>
        <w:t xml:space="preserve"> from time to time to issue Letters of Credit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Lender shall be required to become an L/C Issuer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without such Lender’s consent), and (c) solely with respect to the Existing JPMorgan Letters of Credit, JPMorgan.</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(a) the aggregate amount available to be drawn under all outstanding Letters of Credit as of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of all Unreimbursed Amounts as of such date.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For all purposes of this Agreement, if on any date of determination a Letter of Credit has expired by its terms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2" w:name="page223"/>
    <w:bookmarkEnd w:id="222"/>
    <w:p>
      <w:pPr>
        <w:jc w:val="both"/>
        <w:spacing w:after="0" w:line="260" w:lineRule="auto"/>
        <w:rPr>
          <w:sz w:val="20"/>
          <w:szCs w:val="20"/>
          <w:color w:val="auto"/>
        </w:rPr>
      </w:pPr>
      <w:r>
        <w:rPr>
          <w:rFonts w:ascii="Arial" w:cs="Arial" w:eastAsia="Arial" w:hAnsi="Arial"/>
          <w:sz w:val="20"/>
          <w:szCs w:val="20"/>
          <w:color w:val="auto"/>
        </w:rPr>
        <w:t>any amount may still be drawn thereunder by reason of the operation of Rule 3.14 of the ISP, such Letter of Credit shall be deemed to be “outstanding” in the amount so remaining available to be drawn.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each of the Persons identified as a “Lender” on the signature pages hereto, each other Person that becomes a “Lender” in accordance with this Agreement, and their successors and assigns and, unless the context requires otherwise, includes the Swingline Lender.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the Administrative Agent, any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and shall include the Existing Letters of Credit. A Letter of Credit may be a commercial letter of credit or a standby letter of credit.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(7) days prior to the Revolving Facility Maturity Date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2.03(l)</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as of any date of determination, an amount equal to the lesser of (a) $10,000,000, and (b) the amount of the Revolving Facility as of such date. The Letter of Credit Sublimit is part of, and not in addition to, the Revolving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Prong</w:t>
      </w:r>
      <w:r>
        <w:rPr>
          <w:rFonts w:ascii="Arial" w:cs="Arial" w:eastAsia="Arial" w:hAnsi="Arial"/>
          <w:sz w:val="20"/>
          <w:szCs w:val="20"/>
          <w:color w:val="auto"/>
        </w:rPr>
        <w:t>” has the meaning specified in the definition of “Incremental Amount”.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Increase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Replacement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the definition of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3" w:name="page224"/>
    <w:bookmarkEnd w:id="223"/>
    <w:p>
      <w:pPr>
        <w:jc w:val="both"/>
        <w:spacing w:after="0" w:line="260" w:lineRule="auto"/>
        <w:rPr>
          <w:sz w:val="20"/>
          <w:szCs w:val="20"/>
          <w:color w:val="auto"/>
        </w:rPr>
      </w:pPr>
      <w:r>
        <w:rPr>
          <w:rFonts w:ascii="Arial" w:cs="Arial" w:eastAsia="Arial" w:hAnsi="Arial"/>
          <w:sz w:val="19"/>
          <w:szCs w:val="19"/>
          <w:color w:val="auto"/>
        </w:rPr>
        <w:t>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and any other Loan Document).</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 Permitted Acquisition whose consummation is not conditioned on the availability of, or on obtaining, third party financing.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 Agreement</w:t>
      </w:r>
      <w:r>
        <w:rPr>
          <w:rFonts w:ascii="Arial" w:cs="Arial" w:eastAsia="Arial" w:hAnsi="Arial"/>
          <w:sz w:val="20"/>
          <w:szCs w:val="20"/>
          <w:color w:val="auto"/>
        </w:rPr>
        <w:t>” means, with respect to any Limited Condition Acquisition, the definitive documentation for such Limited Condition Acquisition.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Provision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Revolving Loan or a Swingline Loan.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w:t>
      </w:r>
      <w:r>
        <w:rPr>
          <w:rFonts w:ascii="Arial" w:cs="Arial" w:eastAsia="Arial" w:hAnsi="Arial"/>
          <w:sz w:val="19"/>
          <w:szCs w:val="19"/>
          <w:color w:val="auto"/>
        </w:rPr>
        <w:t xml:space="preserve">” means each of this Agreement, each Note, the Guaranty, each Collateral Document, the Fee Letter, each Issuer Document, each other agreement, instrument or document designated by its terms as a “Loan Document,” and each agreement creating or perfecting rights in Cash Collateral pursuant to the provisions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(but specifically excluding any Secured Hedge Agreement or any Secured Cash Management Agreement).</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(b) a conversion of Loans from one Type to the other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or (c) a continuation of Eurodollar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each of the Borrower and each Guarantor.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operations, business, properties, liabilities (actual or contingent), or condition (financial or otherwise) of the Borrower and its Subsidiaries, taken as a whole, or (b) a material adverse effect on (i) the ability of the Loan Parties, taken as a whole, to perform their obligations under the Loan Documents, (ii) the legality, validity, binding effect or enforceability against any Loan Party of any Loan Document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4" w:name="page225"/>
    <w:bookmarkEnd w:id="224"/>
    <w:p>
      <w:pPr>
        <w:jc w:val="both"/>
        <w:spacing w:after="0" w:line="260" w:lineRule="auto"/>
        <w:rPr>
          <w:sz w:val="20"/>
          <w:szCs w:val="20"/>
          <w:color w:val="auto"/>
        </w:rPr>
      </w:pPr>
      <w:r>
        <w:rPr>
          <w:rFonts w:ascii="Arial" w:cs="Arial" w:eastAsia="Arial" w:hAnsi="Arial"/>
          <w:sz w:val="20"/>
          <w:szCs w:val="20"/>
          <w:color w:val="auto"/>
        </w:rPr>
        <w:t>which it is a party, or (iii) the rights, remedies and benefits available to, or conferred upon, the Administrative Agent or any Lender under any Loan Documents.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the Term A Facility Maturity Date, the Revolving Facility Maturity Date, or the applicable Incremental Term Facility Maturity Date, as the context may require.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means, at any date of determination, the four (4) fiscal quarters of the Borrower most recently completed on or prior to such date of determination.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(a) with respect to Cash Collateral consisting of cash or deposit account balances provided to reduce or eliminate Fronting Exposure during any period when a Lender constitutes a Defaulting Lender, an amount equal to one hundred three percent (103%) of the Fronting Exposure of each applicable L/C Issuer with respect to Letters of Credit issued and outstanding at such time, and (b) with respect to Cash Collateral consisting of cash or deposit account balances provided in accordance with any provision of this Agreement (other than for the purposes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 amount equal to one hundred three percent (103%) of the Outstanding Amount of all L/C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the aggregate cash or Cash Equivalents proceeds received by any Loan Party or any Subsidiary in connection with any Disposition, Debt Issuance or Involuntary Disposition, net of (a) direct costs incurred in connection therewith (including legal, accounting and investment banking fees and sales commissions), (b) taxes paid or payable as a result thereof, and (c) in the case of any Disposition or any Involuntary Disposition, the amount necessary to retire any Indebtedness secured by a Permitted Lien (ranking senior to any Lien created pursuant to the Collateral Documents) on the related property; it being understood that “Net Cash Proceeds” shall include any cash or Cash Equivalents received upon the sale or other disposition of any non-cash consideration received by any Loan Party or any Subsidiary in connection with any Disposition, Debt Issuance or Involuntary Disposition.</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20"/>
          <w:szCs w:val="20"/>
          <w:u w:val="single" w:color="auto"/>
          <w:color w:val="auto"/>
        </w:rPr>
        <w:t>Section 11.01</w:t>
      </w:r>
      <w:r>
        <w:rPr>
          <w:rFonts w:ascii="Arial" w:cs="Arial" w:eastAsia="Arial" w:hAnsi="Arial"/>
          <w:sz w:val="20"/>
          <w:szCs w:val="20"/>
          <w:color w:val="auto"/>
        </w:rPr>
        <w:t>, and (b) has been approved by the Required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Non-Reimbursement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5" w:name="page226"/>
    <w:bookmarkEnd w:id="2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means any Subsidiary that is not a Wholly Owned Subsidiary of the Borrower.</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means, with reference to any proceeds of any transaction or event or of the Available Amount that is proposed to be applied to a particular use or transaction, that such amount has not previously been (and is not simultaneously being) applied to anything other than such particular use or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Additional L/C Issuer</w:t>
      </w:r>
      <w:r>
        <w:rPr>
          <w:rFonts w:ascii="Arial" w:cs="Arial" w:eastAsia="Arial" w:hAnsi="Arial"/>
          <w:sz w:val="20"/>
          <w:szCs w:val="20"/>
          <w:color w:val="auto"/>
        </w:rPr>
        <w:t xml:space="preserve">” means a notice delivered pursuant to </w:t>
      </w:r>
      <w:r>
        <w:rPr>
          <w:rFonts w:ascii="Arial" w:cs="Arial" w:eastAsia="Arial" w:hAnsi="Arial"/>
          <w:sz w:val="20"/>
          <w:szCs w:val="20"/>
          <w:u w:val="single" w:color="auto"/>
          <w:color w:val="auto"/>
        </w:rPr>
        <w:t>Section 2.03(s)</w:t>
      </w:r>
      <w:r>
        <w:rPr>
          <w:rFonts w:ascii="Arial" w:cs="Arial" w:eastAsia="Arial" w:hAnsi="Arial"/>
          <w:sz w:val="20"/>
          <w:szCs w:val="20"/>
          <w:color w:val="auto"/>
        </w:rPr>
        <w:t>, in form and substance reasonably satisfactory to the Administrative Agent.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xml:space="preserve">” means a notice of prepayment with respect to a Loan, which shall be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Obligations of a Guarantor shall exclude any Excluded Swap Obligations with respect to such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charter or certificate or articles of incorporation and the bylaws (or equivalent or comparable constitutive documents with respect to any non-U.S. jurisdiction);</w:t>
      </w:r>
    </w:p>
    <w:p>
      <w:pPr>
        <w:spacing w:after="0" w:line="1" w:lineRule="exact"/>
        <w:rPr>
          <w:sz w:val="20"/>
          <w:szCs w:val="20"/>
          <w:color w:val="auto"/>
        </w:rPr>
      </w:pPr>
    </w:p>
    <w:p>
      <w:pPr>
        <w:jc w:val="both"/>
        <w:ind w:firstLine="8"/>
        <w:spacing w:after="0" w:line="270" w:lineRule="auto"/>
        <w:tabs>
          <w:tab w:leader="none" w:pos="3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 and (e) with respect to all entities, any agreement among the holders of the Equity Interests of such entity concerning the organization, operation, governance or management of such entity or the rights and obligations of such holders.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6" w:name="page227"/>
    <w:bookmarkEnd w:id="226"/>
    <w:p>
      <w:pPr>
        <w:jc w:val="both"/>
        <w:spacing w:after="0" w:line="316" w:lineRule="auto"/>
        <w:rPr>
          <w:sz w:val="20"/>
          <w:szCs w:val="20"/>
          <w:color w:val="auto"/>
        </w:rPr>
      </w:pPr>
      <w:r>
        <w:rPr>
          <w:rFonts w:ascii="Arial" w:cs="Arial" w:eastAsia="Arial" w:hAnsi="Arial"/>
          <w:sz w:val="18"/>
          <w:szCs w:val="18"/>
          <w:color w:val="auto"/>
        </w:rPr>
        <w:t>obligations under, received payments under, received or perfected a security interest under, engaged in any other transaction pursuant to or enforced any Loan Document, or sold or assigned an interest in any Loan or Loan Document).</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3.06</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Term Loans, Revolving Loans and Swingline Loans on any date, the aggregate outstanding principal amount thereof after giving effect to any borrowings and prepayments or repayments of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funding standards with respect to Pension Plans and set forth in Sections 412, 430, 431, 432 and 436 of the Code and Sections 302, 303, 304 and 305 of ERISA.</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9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 Acquisition by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no Default shall have occurred and be continuing or would result from such Acquisition; (b) the property acquired (or the property of the Person acquired) shall constitute Eligible Assets (without giving effect to the exclusion of current assets in the definition thereof); (c) the Person acquired in connection with such Acquisition will become a Loan Party and/or the assets acquired shall be subject to Liens in favor of the Administrative Agent, in each case in accordance with, and to the extent required by,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(d) such Acquisition shall not be a “hostile” acquisition and shall have been approved by the board of directors and/or the shareholders (or equivalent) of the applicable Loan Party and the Person acquired in connection with such Acquisition; (e) the Borrower shall have delivered to the Administrative Agent a Pro Forma Compliance Certificate demonstrating that, upon giving Pro Forma Effect to such Acquisition, (i) the Loan Parties would be in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of the most recently ended fiscal quarter of the Borrower for which the Borrower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and (ii) the Consolidated Leverage Ratio is at least 0.25 less than the ratio required to be maintained at such time by </w:t>
      </w:r>
      <w:r>
        <w:rPr>
          <w:rFonts w:ascii="Arial" w:cs="Arial" w:eastAsia="Arial" w:hAnsi="Arial"/>
          <w:sz w:val="16"/>
          <w:szCs w:val="16"/>
          <w:u w:val="single" w:color="auto"/>
          <w:color w:val="auto"/>
        </w:rPr>
        <w:t>Section 7.11(a)</w:t>
      </w:r>
      <w:r>
        <w:rPr>
          <w:rFonts w:ascii="Arial" w:cs="Arial" w:eastAsia="Arial" w:hAnsi="Arial"/>
          <w:sz w:val="16"/>
          <w:szCs w:val="16"/>
          <w:color w:val="auto"/>
        </w:rPr>
        <w:t>; and</w:t>
      </w:r>
    </w:p>
    <w:p>
      <w:pPr>
        <w:spacing w:after="0" w:line="181" w:lineRule="exact"/>
        <w:rPr>
          <w:sz w:val="20"/>
          <w:szCs w:val="20"/>
          <w:color w:val="auto"/>
        </w:rPr>
      </w:pPr>
    </w:p>
    <w:p>
      <w:pPr>
        <w:ind w:firstLine="8"/>
        <w:spacing w:after="0" w:line="297" w:lineRule="auto"/>
        <w:tabs>
          <w:tab w:leader="none" w:pos="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prior to the consummation of any such Acquisition for which the Acquisition Consideration exceeds $25,000,000, the Administrative Agent shall have received, if available, (i) to the extent such Acquisition is the Acquisition of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7" w:name="page228"/>
    <w:bookmarkEnd w:id="227"/>
    <w:p>
      <w:pPr>
        <w:jc w:val="both"/>
        <w:spacing w:after="0" w:line="246" w:lineRule="auto"/>
        <w:rPr>
          <w:sz w:val="20"/>
          <w:szCs w:val="20"/>
          <w:color w:val="auto"/>
        </w:rPr>
      </w:pPr>
      <w:r>
        <w:rPr>
          <w:rFonts w:ascii="Arial" w:cs="Arial" w:eastAsia="Arial" w:hAnsi="Arial"/>
          <w:sz w:val="20"/>
          <w:szCs w:val="20"/>
          <w:color w:val="auto"/>
        </w:rPr>
        <w:t>quarterly and audited financial statements of such Person for its most recently ended fiscal year and any fiscal quarters ended within the fiscal year to date, and (ii) consolidated projected income statements of the Borrower and its Subsidiaries (on a Pro Forma Basis after giving effect to such Acquisition), in form and substance reasonably satisfactory to the Administrative Agent.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Real Property Encumbrances</w:t>
      </w:r>
      <w:r>
        <w:rPr>
          <w:rFonts w:ascii="Arial" w:cs="Arial" w:eastAsia="Arial" w:hAnsi="Arial"/>
          <w:sz w:val="18"/>
          <w:szCs w:val="18"/>
          <w:color w:val="auto"/>
        </w:rPr>
        <w:t>” means (a) as to any particular real property at any time, such easements, encroachments, covenants, restrictions, rights of way, minor defects, irregularities or encumbrances on title which do not, in the reasonable opinion of the Administrative Agent, materially impair such real property for the purpose for which it is held by the applicable Loan Party, applicable Subsidiary, or owner, as the case may be, (b) municipal and zoning laws, regulations, codes and ordinances which are not violated in any material respect by the existing improvements and the present use made by the applicable Loan Party, the applicable Subsidiary, or owner, as the case may be, of such real property,</w:t>
      </w:r>
    </w:p>
    <w:p>
      <w:pPr>
        <w:spacing w:after="0" w:line="1" w:lineRule="exact"/>
        <w:rPr>
          <w:sz w:val="20"/>
          <w:szCs w:val="20"/>
          <w:color w:val="auto"/>
        </w:rPr>
      </w:pPr>
    </w:p>
    <w:p>
      <w:pPr>
        <w:jc w:val="both"/>
        <w:ind w:firstLine="8"/>
        <w:spacing w:after="0" w:line="241" w:lineRule="auto"/>
        <w:tabs>
          <w:tab w:leader="none" w:pos="27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general real estate taxes and assessments not yet delinquent, and (d) leases and subleases of real property entered into in the ordinary course of business so long as such leases and subleases do not interfere in any material respect with the business of the Borrower and its Subsidiaries or materially impair the use (for its intended purpose) or value of the real property subject thereto.</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Indebtedness of any Person, any modification, refinancing, refunding, renewal or extension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the principal amount (or accreted value, if applicable) thereof does not exceed the outstanding principal amount (or accreted value, if applicable) of the Indebtedness so modified, refinanced, refunded, renewed or extended on the date of such modification, refinancing, refund, renewal or extension, except by an amount equal to (i) unpaid accrued interest and premiums thereon (including tender premiums),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reasonable fees and expenses (including upfront fees and original issue discount) incurred in connection with such modification, refinancing, refunding, renewal or extension,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any existing commitments unutilized thereunder, (b) such modification, refinancing, refunding, renewal or extension has (i) a final maturity date equal to or later than the final maturity date of the Indebtedness being modified, refinanced, refunded, renewed or extended, and (ii) a Weighted Average Life to Maturity equal to or longer than the then-remaining Weighted Average Life to Maturity of the Indebtedness being modified, refinanced, refunded, renewed or extended, (c) immediately before and after giving effect thereto, (i) no Default shall have occurred and be continuing, and (ii) the Loan Parties shall be in compliance on a Pro Forma Basis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 the Borrower shall deliver to the Administrative Agent a Pro Forma Compliance Certificate demonstrating compliance with such condition), (d) the direct and contingent obligors of such Indebtedness shall not be changed, as a result of or in connection with such modification, refinancing, refunding, renewal or extension, (e) if the Indebtedness being modified, refinanced, refunded, renewed or extended is subordinated in right of payment to the Secured Obligations, such modification, refinancing, refunding, renewal or extension shall be subordinated to the Secured Obligations on terms at least as favorable, taken as a whole, to the Secured Parties as those contained in the documentation governing the Indebtedness being so modified, refinanced, refunded, renewed or extended, (f) if the Indebtedness being modified, refinanced, refunded, renewed or extended is unsecured, such modification, refinancing, refunding, renewal or extension shall be unsecured, and (g) the terms (excluding pricing, fees, rate floors, discounts, premiums and optional prepayments or redemption terms) of such Indebtedness shall not be changed in any manner that is materially adverse, taken as a whole, to the Borrower or any Subsidiary, as applicable, as a result of or in connection with such modification, refinancing, refunding, renewal or extension, except for terms applicable only to periods after the then-Latest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8" w:name="page229"/>
    <w:bookmarkEnd w:id="228"/>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means: (a) Dispositions of used, obsolete, damaged, worn-out or surplus equipment, or property no longer useful in the conduct of the business of the Borrower and its Subsidiaries or otherwise economically impracticable to maintain whether now owned or hereafter acquired, in the ordinary course of business; (b) Disposition of inventory and other goods held for sale, in each case in the ordinary course of business; (c) Dispositions of property to the extent that (i) such property is exchanged for credit against the purchase price of similar replacement property, or (ii) the proceeds of such Disposition are reasonably promptly applied to the purchase price of such replacement property; (d) Dispositions of property (including Equity Interests) to the Borrower or to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transferor of such property is a Loan Party, (i) the transferee thereof must be a Loan Party, or (ii) if such Disposition constitutes an Investment, it is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(without reference to this definition or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in each case, to any clause hereof or thereof)); (e) to the extent constituting Dispositions, fundamental changes permitted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Restricted Payments permitted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each case, without reference to this definition or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in each case, to any clause hereof or thereof)); (f) non-exclusive licenses of Intellectual Property in the ordinary course of business; (g) the lapse or abandonment of any registration, or application for registration, of Intellectual Property, in each case in the ordinary course of business and which do not interfere in any material respect with the business of the Borrower and its Subsidiaries taken as a whole; (h) Dispositions of accounts receivable in connection with the collection or compromise thereof; (i) licenses, sublicenses, leases, and subleases of property (other than Intellectual Property), and the termination or non-renewal thereof, in each case in the ordinary course of business and which do not interfere in any material respect with the business of the Borrower and its Subsidiaries taken as a whole; (j) Dispositions of cash and Cash Equivalents in the ordinary course of business; (k) Involuntary Dispositions; (l) consignments of equipment or inventory in the ordinary course of business; (m) Dispositions in connection with the termination or unwinding of Swap Contracts; and (n) any Disposition of Equity Interests or Indebtedness of the Turkish Subsidiary by the Borrower to any other owner of the Equity Interests of the Turkish Subsidiary.</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Debt</w:t>
      </w:r>
      <w:r>
        <w:rPr>
          <w:rFonts w:ascii="Arial" w:cs="Arial" w:eastAsia="Arial" w:hAnsi="Arial"/>
          <w:sz w:val="18"/>
          <w:szCs w:val="18"/>
          <w:color w:val="auto"/>
        </w:rPr>
        <w:t xml:space="preserve">” means unsecured Indebtedness of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no Default shall have occurred and be continuing at the time of incurrence of such Indebtedness or would result therefrom,</w:t>
      </w:r>
    </w:p>
    <w:p>
      <w:pPr>
        <w:spacing w:after="0" w:line="1" w:lineRule="exact"/>
        <w:rPr>
          <w:sz w:val="20"/>
          <w:szCs w:val="20"/>
          <w:color w:val="auto"/>
        </w:rPr>
      </w:pPr>
    </w:p>
    <w:p>
      <w:pPr>
        <w:jc w:val="both"/>
        <w:ind w:firstLine="8"/>
        <w:spacing w:after="0" w:line="303" w:lineRule="auto"/>
        <w:tabs>
          <w:tab w:leader="none" w:pos="28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such Indebtedness has a maturity date that is at least ninety-one (91) days after the Latest Maturity Date (and the terms of such Indebtedness shall not provide for any scheduled repayment, mandatory redemption or sinking fund obligations prior to the date that is ninety-one (91) days after the Latest Maturity Date (other than customary offers to repurchase upon a change of control, asset sale or casualty event and customary acceleration rights after an event of default)), (c) if such Indebtedness is subordinated in right of payment to the Secured Obligations, such Indebtedness shall be subordinated to the Secured Obligations on terms and conditions reasonably acceptable to the Administrative Agent, (d) none of the obligors or guarantors with respect to such Indebtedness shall be a Person that is not a Loan Party, (e) the terms and conditions of such Indebtedness (including financial covenants, affirmative covenants, negative covenants, representations and warranties and defaults) are customary for similar Indebtedness in light of then-prevailing market conditions and in any event, when taken as a whole (other than interest rate and redemption premiums), are no more restrictive to the Borrower and its Subsidiaries than the terms and conditions set forth in the Loan Documents, and (f) upon giving Pro Forma Effect to the incurrence of such Indebtedness (after giving effect to any Specified Transaction consummated in connection with the incurrence of such Indebtedness and assuming for such purposes that such Indebtedness is fully drawn), (i) the Loan Parties will be in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of the most recently ended fiscal quarter of the Borrower for which the Borrower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(ii) the Consolidated Leverage Ratio will be at least 0.25 less than the ratio required to be maintained at such time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7.11(a)</w:t>
      </w:r>
      <w:r>
        <w:rPr>
          <w:rFonts w:ascii="Arial" w:cs="Arial" w:eastAsia="Arial" w:hAnsi="Arial"/>
          <w:sz w:val="16"/>
          <w:szCs w:val="16"/>
          <w:color w:val="auto"/>
        </w:rPr>
        <w:t xml:space="preserve"> (and, if requested by the Administrative Agent or any Lender, the Borrower shall deliver to the Administrative Agent a Pro Forma Compliance Certificate demonstrating compliance with the conditions set forth in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29" w:name="page230"/>
    <w:bookmarkEnd w:id="229"/>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Pre-Adjustment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Prism Acquisition</w:t>
      </w:r>
      <w:r>
        <w:rPr>
          <w:rFonts w:ascii="Arial" w:cs="Arial" w:eastAsia="Arial" w:hAnsi="Arial"/>
          <w:sz w:val="20"/>
          <w:szCs w:val="20"/>
          <w:color w:val="auto"/>
        </w:rPr>
        <w:t>” means the Acquisition identified by the Borrower to the Administrative Agent prior to the Closing Date as the “Prism Acquisition.”</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means, in respect of a Specified Transaction, that such Specified Transaction and the following transactions in connection therewith (to the extent applicable) shall be deemed to have occurred on and as of the first day of the relevant Measurement Period: (a)(i) with respect to any Disposition, Involuntary Disposition or sale, transfer or other disposition that results in a Person ceasing to be a Subsidiary, income statement and cash flow statement items (whether positive or negative) attributable to the Person or property disposed of shall be excluded, and (ii) with respect to any Acquisition or other Investment that results in a Person becoming a Subsidiary,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Borrower and its Subsidiaries in accordance with GAAP or in accordance with any defined terms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(B) such items are supported by financial statements or other information reasonably satisfactory to the Administrative Agent; (b) any retirement of Indebtedness (it being understood and agreed that in connection with any retirement of Indebtedness, interest accrued during the relevant Measurement Period shall be excluded from the applicable calculations); and (c) any incurrence or assumption of Indebtedness by the Borrower or any of its Subsidiaries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Pro Forma Basis, Pro Forma Compliance and Pro Forma Effect in respect of any Specified Transaction shall be calculated in a reasonable and factually supportable manner, and (y) any such calculation shall be subject to the applicable limitations set forth in the definition of Consolidated EBITDA.</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Compliance Certificate</w:t>
      </w:r>
      <w:r>
        <w:rPr>
          <w:rFonts w:ascii="Arial" w:cs="Arial" w:eastAsia="Arial" w:hAnsi="Arial"/>
          <w:sz w:val="19"/>
          <w:szCs w:val="19"/>
          <w:color w:val="auto"/>
        </w:rPr>
        <w:t xml:space="preserve">” means a certificate of a Responsible Officer of the Borrower containing reasonably detailed calculations of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6.01(b)</w:t>
      </w:r>
      <w:r>
        <w:rPr>
          <w:rFonts w:ascii="Arial" w:cs="Arial" w:eastAsia="Arial" w:hAnsi="Arial"/>
          <w:sz w:val="19"/>
          <w:szCs w:val="19"/>
          <w:color w:val="auto"/>
        </w:rPr>
        <w:t>, as applicable, after giving Pro Forma Effect to the applicable Specified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4.01(d)(v)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0" w:name="page231"/>
    <w:bookmarkEnd w:id="230"/>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 5390(c)(8)(D).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 Permitted Acquisition (or series of related Permitted Acquisitions consummated in any six-month period) for which the aggregate Acquisition Consideration therefor is at least $75,000,000, but only to the extent that at least $75,000,000 of such Acquisition Consideration is funded with the proceeds of Consolidated Funded Indebtedness (including any Consolidated Funded Indebtedness assumed by the Borrower or any of its Subsidiaries in connection with such 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any Permitted Acquisition (or series of related Permitted Acquisitions) to qualify as a “Qualified Acquisition,” the Administrative Agent shall have received a certificate from a Responsible Officer of the Borrower certifying that such Permitted Acquisition (or series of related Permitted Acquisitions) meets the criteria set forth in this definition and notifying the Administrative Agent that the Borrower has elected to treat such Permitted Acquisition (or series of related Permitted Acquisitions) as a “Qualified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are not Disqualified Capital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Stock.</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Control Agreement</w:t>
      </w:r>
      <w:r>
        <w:rPr>
          <w:rFonts w:ascii="Arial" w:cs="Arial" w:eastAsia="Arial" w:hAnsi="Arial"/>
          <w:sz w:val="20"/>
          <w:szCs w:val="20"/>
          <w:color w:val="auto"/>
        </w:rPr>
        <w:t>” means an agreement, among a Loan Party, a depository institution or securities intermediary and the Administrative Agent, which agreement is in form and substance acceptable to the Administrative Agent and which provides the Administrative Agent with “control” (as such term is used in Article 9 of the UCC) over the deposit account(s) or securities account(s) described therein.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Loan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Redesignation Date</w:t>
      </w:r>
      <w:r>
        <w:rPr>
          <w:rFonts w:ascii="Arial" w:cs="Arial" w:eastAsia="Arial" w:hAnsi="Arial"/>
          <w:sz w:val="20"/>
          <w:szCs w:val="20"/>
          <w:color w:val="auto"/>
        </w:rPr>
        <w:t>” has the meaning specified in the definition of “Immaterial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FRB, as in effect from time to time and all official rulings and interpretations thereunder or thereof.</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Adjustment</w:t>
      </w:r>
      <w:r>
        <w:rPr>
          <w:rFonts w:ascii="Arial" w:cs="Arial" w:eastAsia="Arial" w:hAnsi="Arial"/>
          <w:sz w:val="18"/>
          <w:szCs w:val="18"/>
          <w:color w:val="auto"/>
        </w:rPr>
        <w:t>” means, in determining any LIBOR Successor Rate, the first relevant available alternative set forth in the order below that can be determined by the Administrative Agent applicable to such LIBOR Successor Rate:</w:t>
      </w:r>
    </w:p>
    <w:p>
      <w:pPr>
        <w:spacing w:after="0" w:line="130" w:lineRule="exact"/>
        <w:rPr>
          <w:sz w:val="20"/>
          <w:szCs w:val="20"/>
          <w:color w:val="auto"/>
        </w:rPr>
      </w:pPr>
    </w:p>
    <w:p>
      <w:pPr>
        <w:jc w:val="both"/>
        <w:ind w:left="660" w:firstLine="644"/>
        <w:spacing w:after="0" w:line="278" w:lineRule="auto"/>
        <w:tabs>
          <w:tab w:leader="none" w:pos="19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that has been selected or recommended by the Relevant Governing Body for the relevant Pre-Adjustment Successor Rate (taking into account the interest period, interest payment date or payment period for interest calculated and/or tenor thereto) and which adjustment or method (i) is published on an information service as selected by the Administrative Agent from time to time in its reasonable discretion, or (ii) solely with respect to Term SOFR, if not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1" w:name="page232"/>
    <w:bookmarkEnd w:id="231"/>
    <w:p>
      <w:pPr>
        <w:ind w:left="660" w:right="20"/>
        <w:spacing w:after="0" w:line="260" w:lineRule="auto"/>
        <w:rPr>
          <w:sz w:val="20"/>
          <w:szCs w:val="20"/>
          <w:color w:val="auto"/>
        </w:rPr>
      </w:pPr>
      <w:r>
        <w:rPr>
          <w:rFonts w:ascii="Arial" w:cs="Arial" w:eastAsia="Arial" w:hAnsi="Arial"/>
          <w:sz w:val="20"/>
          <w:szCs w:val="20"/>
          <w:color w:val="auto"/>
        </w:rPr>
        <w:t>published, which was previously so recommended for Term SOFR and published on an information service acceptable to the Administrative Agent; or</w:t>
      </w:r>
    </w:p>
    <w:p>
      <w:pPr>
        <w:spacing w:after="0" w:line="177" w:lineRule="exact"/>
        <w:rPr>
          <w:sz w:val="20"/>
          <w:szCs w:val="20"/>
          <w:color w:val="auto"/>
        </w:rPr>
      </w:pPr>
    </w:p>
    <w:p>
      <w:pPr>
        <w:jc w:val="both"/>
        <w:ind w:left="660" w:firstLine="644"/>
        <w:spacing w:after="0" w:line="250" w:lineRule="auto"/>
        <w:tabs>
          <w:tab w:leader="none" w:pos="195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Governing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 day notice period has been waived.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Term Borrowing, a Revolving Borrowing, a conversion or continuation of Term Loans, or a conversion or continuation of Revolving Loans, a Loan Notice, (b) with respect to an L/C Credit Extension, a Letter of Credit Application, and (c) with respect to a Swingline Borrowing, a Swingline Loan Notice.</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Total Credit Exposures representing more than fifty percent (50%) of the Total Credit Exposures of all Lenders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exists two (2) or more Lenders that are not Affiliates, “Required Lenders” shall mean at least two (2) Lenders having Total Credit Exposures representing more than fifty percent (50%) of the Total Credit Exposures of all Lenders at such time. The Total Credit Exposure of any Defaulting Lender shall be disregarded in determining Required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amount of any participation in any Swingline Loan and Unreimbursed Amounts that such Defaulting Lender has failed to fund that have not been reallocated to and funded by another Lender shall be deemed to be held by the Lender that is the Swingline Lender or the applicable L/C Issuer, as the case may be, in making such determination.</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Lenders</w:t>
      </w:r>
      <w:r>
        <w:rPr>
          <w:rFonts w:ascii="Arial" w:cs="Arial" w:eastAsia="Arial" w:hAnsi="Arial"/>
          <w:sz w:val="19"/>
          <w:szCs w:val="19"/>
          <w:color w:val="auto"/>
        </w:rPr>
        <w:t xml:space="preserve">” means, at any time, Revolving Lenders having Total Revolving Credit Exposures representing more than fifty percent (50%) of the Total Revolving Credit Exposures of all Revolving Lenders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at any time there exists two (2) or more Revolving Lenders that are not Affiliates, “Required Revolving Lenders” shall mean at least two (2) Revolving Lenders having Total Revolving Credit Exposures representing more than fifty percent (50%) of the Total Revolving Credit Exposures of all Revolving Lenders at such time. The Total Revolving Credit Exposure of any Defaulting Lender shall be disregarded in determining Required Revolving Lenders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amount of any participation in any Swingline Loan and Unreimbursed Amounts that such Defaulting Lender has failed to fund that have not been reallocated to and funded by another Lender shall be deemed to be held by the Revolving Lender that is the Swingline Lender or the applicable L/C Issuer, as the case may be, in making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2" w:name="page233"/>
    <w:bookmarkEnd w:id="23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with respect to any Loan Party, (a) the chief executive officer, president, chief financial officer, treasurer, assistant treasurer or controller of such Loan Party, (b) solely for purposes of the delivery of incumbency certificates pursuant to this Agreement, the secretary or any assistant secretary of such Loan Party, and (c)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 any other officer or employee of such Loan Party so designated by any of the officers of such Loan Party identified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in a notice to the Administrative Agent, or (ii) any other officer or employee of such Loan Party designated in or pursuant to an agreement between such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direct or indirect, on account of any shares (or equivalent) of any class of Equity Interests of the Borrower or any Subsidiary, now or hereafter outstanding, (b) any redemption, retirement, sinking fund or similar payment, purchase or other acquisition for value, direct or indirect, of any shares (or equivalent) of any class of Equity Interests of the Borrower or any Subsidiary, now or hereafter outstanding, and</w:t>
      </w:r>
    </w:p>
    <w:p>
      <w:pPr>
        <w:spacing w:after="0" w:line="3" w:lineRule="exact"/>
        <w:rPr>
          <w:sz w:val="20"/>
          <w:szCs w:val="20"/>
          <w:color w:val="auto"/>
        </w:rPr>
      </w:pPr>
    </w:p>
    <w:p>
      <w:pPr>
        <w:ind w:right="20" w:firstLine="8"/>
        <w:spacing w:after="0" w:line="269" w:lineRule="auto"/>
        <w:tabs>
          <w:tab w:leader="none" w:pos="28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payment made to retire, or to obtain the surrender of, any outstanding warrants, options or other rights to acquire shares of any class of Equity Interests of the Borrower or any Subsidiary, now or hereafter outstanding.</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xml:space="preserve">” means a borrowing consisting of simultaneous Revolving Loans of the same Type and, in the case of Eurodollar Rate Loans, having the same Interest Period made by each of the Revolving Lenders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Lender, such Revolving Lender’s obligation to (a) make Revolving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Swingline Loans, in an aggregate principal amount at any one time outstanding not to exceed the amount set forth opposite such Revolving Lender’s name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under the caption “Revolving Commitment” or opposite such caption in the Assignment and Assumption or other documentation pursuant to which such Revolving Lender becomes a party hereto, as applicable, as such amount may be adjusted from time to time in accordance with this Agreement. The Revolving Commitments of all of the Revolving Lenders on the Closing Date shall be $100,000,000.</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xml:space="preserve">” means, as to any Revolving Lender at any time, the aggregate principal amount of such Revolving Lender’s (a) outstanding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participation in L/C Obligations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participation in Swingline Loans at such time.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means, at any time, the aggregate amount of the Revolving Lenders’ Revolving Commitments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Maturity Date</w:t>
      </w:r>
      <w:r>
        <w:rPr>
          <w:rFonts w:ascii="Arial" w:cs="Arial" w:eastAsia="Arial" w:hAnsi="Arial"/>
          <w:sz w:val="20"/>
          <w:szCs w:val="20"/>
          <w:color w:val="auto"/>
        </w:rPr>
        <w:t xml:space="preserve">” means February 19,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such date is not a Business Day, the Revolving Facility Maturity Date shall be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3" w:name="page234"/>
    <w:bookmarkEnd w:id="233"/>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at any time, (a) so long as any Revolving Commitment is in effect at such time, any Person that has a Revolving Commitment at such time, or (b) if the Revolving Commitments have terminated or expired at such time, any Person that has a Revolving Loan or a participation in L/C Obligations or Swingline Loans at such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S&amp;P Global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OFAC), the United Nations Security Council, the European Union, Her Majesty’s Treasury (“</w:t>
      </w:r>
      <w:r>
        <w:rPr>
          <w:rFonts w:ascii="Arial" w:cs="Arial" w:eastAsia="Arial" w:hAnsi="Arial"/>
          <w:sz w:val="20"/>
          <w:szCs w:val="20"/>
          <w:u w:val="single" w:color="auto"/>
          <w:color w:val="auto"/>
        </w:rPr>
        <w:t>HMT</w:t>
      </w:r>
      <w:r>
        <w:rPr>
          <w:rFonts w:ascii="Arial" w:cs="Arial" w:eastAsia="Arial" w:hAnsi="Arial"/>
          <w:sz w:val="20"/>
          <w:szCs w:val="20"/>
          <w:color w:val="auto"/>
        </w:rPr>
        <w:t>”) or other relevant sanctions authority.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between any Loan Party or any Subsidiary and any Cash Management Bank.</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interest rate, currency, foreign exchange, or commodity Swap Contract not prohibited by this Agreement between any Loan Party or any Subsidiary and any Hedge Bank.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all Obligations and all Additional Secured Obligations.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w:t>
      </w:r>
      <w:r>
        <w:rPr>
          <w:rFonts w:ascii="Arial" w:cs="Arial" w:eastAsia="Arial" w:hAnsi="Arial"/>
          <w:sz w:val="20"/>
          <w:szCs w:val="20"/>
          <w:color w:val="auto"/>
        </w:rPr>
        <w:t xml:space="preserve">” means each of the Administrative Agent, each Lender, each L/C Issuer, each Hedge Bank, each Cash Management Bank, each Indemnitee, and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 Designation Notice</w:t>
      </w:r>
      <w:r>
        <w:rPr>
          <w:rFonts w:ascii="Arial" w:cs="Arial" w:eastAsia="Arial" w:hAnsi="Arial"/>
          <w:sz w:val="20"/>
          <w:szCs w:val="20"/>
          <w:color w:val="auto"/>
        </w:rPr>
        <w:t xml:space="preserve">” means a notice from any Lender or an Affiliate of a Lender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security and pledge agreement, dated as of the Closing Date, executed in favor of the Administrative Agent by each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4" w:name="page235"/>
    <w:bookmarkEnd w:id="23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Governing Body.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in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Closing Date Acquisition Agreement Representations</w:t>
      </w:r>
      <w:r>
        <w:rPr>
          <w:rFonts w:ascii="Arial" w:cs="Arial" w:eastAsia="Arial" w:hAnsi="Arial"/>
          <w:sz w:val="20"/>
          <w:szCs w:val="20"/>
          <w:color w:val="auto"/>
        </w:rPr>
        <w:t>” means the representations and warranties made by the Closing Date Acquisition Target in the Closing Date Acquisition Agreement as are material to the interests of the Lenders, but only to the extent that the Borrower (or any of its Affiliates) has the right to terminate the Borrower’s (or such Affiliate’s) obligations under the Closing Date Acquisition Agreement, or has the right not to consummate the Closing Date Acquisition, in each case as a result of a breach of such representations and warranties in the Closing Date Acquisition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8.01(g)</w:t>
      </w:r>
      <w:r>
        <w:rPr>
          <w:rFonts w:ascii="Arial" w:cs="Arial" w:eastAsia="Arial" w:hAnsi="Arial"/>
          <w:sz w:val="20"/>
          <w:szCs w:val="20"/>
          <w:color w:val="auto"/>
        </w:rPr>
        <w: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of the Loan Parties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(solely as to the valid existence of the Loan Parties), </w:t>
      </w:r>
      <w:r>
        <w:rPr>
          <w:rFonts w:ascii="Arial" w:cs="Arial" w:eastAsia="Arial" w:hAnsi="Arial"/>
          <w:sz w:val="18"/>
          <w:szCs w:val="18"/>
          <w:u w:val="single" w:color="auto"/>
          <w:color w:val="auto"/>
        </w:rPr>
        <w:t>5.01(b)(ii)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5.02(b)(i)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(as of the Closing Date after giving effect to the Transactions), </w:t>
      </w:r>
      <w:r>
        <w:rPr>
          <w:rFonts w:ascii="Arial" w:cs="Arial" w:eastAsia="Arial" w:hAnsi="Arial"/>
          <w:sz w:val="18"/>
          <w:szCs w:val="18"/>
          <w:u w:val="single" w:color="auto"/>
          <w:color w:val="auto"/>
        </w:rPr>
        <w:t>5.17</w:t>
      </w:r>
      <w:r>
        <w:rPr>
          <w:rFonts w:ascii="Arial" w:cs="Arial" w:eastAsia="Arial" w:hAnsi="Arial"/>
          <w:sz w:val="18"/>
          <w:szCs w:val="18"/>
          <w:color w:val="auto"/>
        </w:rPr>
        <w:t xml:space="preserve"> (solely as it relates to the use of proceeds of Credit Extensions made on the Closing Date), and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(but subject to the Limited Conditionality Provision).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w:t>
      </w:r>
      <w:r>
        <w:rPr>
          <w:rFonts w:ascii="Arial" w:cs="Arial" w:eastAsia="Arial" w:hAnsi="Arial"/>
          <w:sz w:val="19"/>
          <w:szCs w:val="19"/>
          <w:color w:val="auto"/>
        </w:rPr>
        <w:t>” means (a) any Acquisition, any Disposition, any sale, transfer or other disposition that results in a Person ceasing to be a Subsidiary, any Involuntary Disposition, or any Investment that results in a Person becoming a Subsidiary, (b) any incurrence or repayment of Indebtedness, or (c) any other event that by the terms of the Loan Documents requires Pro Forma Compliance with a test or covenant, calculation as to Pro Forma Effect with respect to a test or covenant,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Subordinating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5" w:name="page236"/>
    <w:bookmarkEnd w:id="235"/>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w:t>
      </w:r>
    </w:p>
    <w:p>
      <w:pPr>
        <w:spacing w:after="0" w:line="1" w:lineRule="exact"/>
        <w:rPr>
          <w:sz w:val="20"/>
          <w:szCs w:val="20"/>
          <w:color w:val="auto"/>
        </w:rPr>
      </w:pPr>
    </w:p>
    <w:p>
      <w:pPr>
        <w:jc w:val="both"/>
        <w:ind w:firstLine="8"/>
        <w:spacing w:after="0" w:line="260" w:lineRule="auto"/>
        <w:tabs>
          <w:tab w:leader="none" w:pos="28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w:t>
      </w:r>
      <w:r>
        <w:rPr>
          <w:rFonts w:ascii="Arial" w:cs="Arial" w:eastAsia="Arial" w:hAnsi="Arial"/>
          <w:sz w:val="20"/>
          <w:szCs w:val="20"/>
          <w:color w:val="auto"/>
        </w:rPr>
        <w:t xml:space="preserve">” means a borrowing of a Swingline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xml:space="preserve">” means the commitment of the Swingline Lender to make Swingline Loans hereunder. The initial amount of the Swingline Commitment is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 The Swingline Commitment may be modified from time to time by agreement between the Swingline Lender and the Borrower and notified to the Administrative Agent.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Bank of America, in its capacity as provider of Swingline Loans, or any successor swingline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Notice</w:t>
      </w:r>
      <w:r>
        <w:rPr>
          <w:rFonts w:ascii="Arial" w:cs="Arial" w:eastAsia="Arial" w:hAnsi="Arial"/>
          <w:sz w:val="20"/>
          <w:szCs w:val="20"/>
          <w:color w:val="auto"/>
        </w:rPr>
        <w:t xml:space="preserve">” means a notice of a Swingline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6" w:name="page237"/>
    <w:bookmarkEnd w:id="2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as of any date of determination, an amount equal to the lesser of (a) $10,000,000, and</w:t>
      </w:r>
    </w:p>
    <w:p>
      <w:pPr>
        <w:spacing w:after="0" w:line="39" w:lineRule="exact"/>
        <w:rPr>
          <w:sz w:val="20"/>
          <w:szCs w:val="20"/>
          <w:color w:val="auto"/>
        </w:rPr>
      </w:pPr>
    </w:p>
    <w:p>
      <w:pPr>
        <w:ind w:firstLine="8"/>
        <w:spacing w:after="0" w:line="244" w:lineRule="auto"/>
        <w:tabs>
          <w:tab w:leader="none" w:pos="30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amount of the Revolving Facility as of such date. The Swingline Sublimit is part of, and not in addition to, the Revolving Facility.</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Acquisition</w:t>
      </w:r>
      <w:r>
        <w:rPr>
          <w:rFonts w:ascii="Arial" w:cs="Arial" w:eastAsia="Arial" w:hAnsi="Arial"/>
          <w:sz w:val="20"/>
          <w:szCs w:val="20"/>
          <w:color w:val="auto"/>
        </w:rPr>
        <w:t xml:space="preserve">” means the Acquisition by the Borrower of Telerob Gesellschaft für Fernhantierungstechnik mbH;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Acquisition is consummated on substantially the terms disclosed to the Administrative Agent prior to the Closing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Immaterial Subsidiary</w:t>
      </w:r>
      <w:r>
        <w:rPr>
          <w:rFonts w:ascii="Arial" w:cs="Arial" w:eastAsia="Arial" w:hAnsi="Arial"/>
          <w:sz w:val="20"/>
          <w:szCs w:val="20"/>
          <w:color w:val="auto"/>
        </w:rPr>
        <w:t>” means any Domestic Subsidiary acquired in connection with the Telerob Acquisition that is not, as of any date of determination, a Telerob Material Subsidiary.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Material Subsidiary</w:t>
      </w:r>
      <w:r>
        <w:rPr>
          <w:rFonts w:ascii="Arial" w:cs="Arial" w:eastAsia="Arial" w:hAnsi="Arial"/>
          <w:sz w:val="20"/>
          <w:szCs w:val="20"/>
          <w:color w:val="auto"/>
        </w:rPr>
        <w:t xml:space="preserve">” means any Domestic Subsidiary acquired in connection with the Telerob Acquisition that has (when taken together with its Subsidiaries), as of any date of determination, for the Measurement Period most recently ended on or prior to such date for which financial statements have been (or were required to be) delivered pursuant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6.01(b)</w:t>
      </w:r>
      <w:r>
        <w:rPr>
          <w:rFonts w:ascii="Arial" w:cs="Arial" w:eastAsia="Arial" w:hAnsi="Arial"/>
          <w:sz w:val="20"/>
          <w:szCs w:val="20"/>
          <w:color w:val="auto"/>
        </w:rPr>
        <w:t>, revenues in excess of five percent (5%) of the Consolidated revenues of the Borrower and its Subsidiaries for such Measurement Period.</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Borrowing</w:t>
      </w:r>
      <w:r>
        <w:rPr>
          <w:rFonts w:ascii="Arial" w:cs="Arial" w:eastAsia="Arial" w:hAnsi="Arial"/>
          <w:sz w:val="20"/>
          <w:szCs w:val="20"/>
          <w:color w:val="auto"/>
        </w:rPr>
        <w:t xml:space="preserve">” means a borrowing consisting of simultaneous Term A Loans of the same Type and, in the case of Eurodollar Rate Loans, having the same Interest Period made by each of the Term A Lenders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2.01(a)</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A Commitment</w:t>
      </w:r>
      <w:r>
        <w:rPr>
          <w:rFonts w:ascii="Arial" w:cs="Arial" w:eastAsia="Arial" w:hAnsi="Arial"/>
          <w:sz w:val="19"/>
          <w:szCs w:val="19"/>
          <w:color w:val="auto"/>
        </w:rPr>
        <w:t xml:space="preserve">” means, as to each Term A Lender, its obligation to make a Term A Loan to the Borrower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in an aggregate principal amount at any one time outstanding not to exceed the amount set forth opposite such Term A Lender’s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under the caption “Term A Commitment”. The Term A Commitments of all of the Term A Lenders on the Closing Date shall be $200,000,000.</w:t>
      </w:r>
    </w:p>
    <w:p>
      <w:pPr>
        <w:spacing w:after="0" w:line="17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Facility</w:t>
      </w:r>
      <w:r>
        <w:rPr>
          <w:rFonts w:ascii="Arial" w:cs="Arial" w:eastAsia="Arial" w:hAnsi="Arial"/>
          <w:sz w:val="20"/>
          <w:szCs w:val="20"/>
          <w:color w:val="auto"/>
        </w:rPr>
        <w:t>” means, at any time (a) on or prior to the funding of the Term A Loans on the Closing Date, the aggregate amount of the Term A Commitments at such time, and (b) thereafter, the aggregate principal amount of the Term A Loans of all Term A Lenders outstanding at such time.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Facility Maturity Date</w:t>
      </w:r>
      <w:r>
        <w:rPr>
          <w:rFonts w:ascii="Arial" w:cs="Arial" w:eastAsia="Arial" w:hAnsi="Arial"/>
          <w:sz w:val="20"/>
          <w:szCs w:val="20"/>
          <w:color w:val="auto"/>
        </w:rPr>
        <w:t xml:space="preserve">” means February 19,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such date is not a Business Day, the Term A Facility Maturity Date shall be the immediately preceding Business Day.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Lender</w:t>
      </w:r>
      <w:r>
        <w:rPr>
          <w:rFonts w:ascii="Arial" w:cs="Arial" w:eastAsia="Arial" w:hAnsi="Arial"/>
          <w:sz w:val="20"/>
          <w:szCs w:val="20"/>
          <w:color w:val="auto"/>
        </w:rPr>
        <w:t>” means (a) at any time on or prior to the funding of the Term A Loans on the Closing Date, any Person that has a Term A Commitment at such time, and (b) at any time thereafter, any Person that holds a Term A Loan at such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Loan</w:t>
      </w:r>
      <w:r>
        <w:rPr>
          <w:rFonts w:ascii="Arial" w:cs="Arial" w:eastAsia="Arial" w:hAnsi="Arial"/>
          <w:sz w:val="20"/>
          <w:szCs w:val="20"/>
          <w:color w:val="auto"/>
        </w:rPr>
        <w:t>” means an advance made by a Term A Lender under the Term 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7" w:name="page238"/>
    <w:bookmarkEnd w:id="23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Borrowing</w:t>
      </w:r>
      <w:r>
        <w:rPr>
          <w:rFonts w:ascii="Arial" w:cs="Arial" w:eastAsia="Arial" w:hAnsi="Arial"/>
          <w:sz w:val="19"/>
          <w:szCs w:val="19"/>
          <w:color w:val="auto"/>
        </w:rPr>
        <w:t>” means a Term A Borrowing or an Incremental Term Borrowing, as the context may require.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w:t>
      </w:r>
      <w:r>
        <w:rPr>
          <w:rFonts w:ascii="Arial" w:cs="Arial" w:eastAsia="Arial" w:hAnsi="Arial"/>
          <w:sz w:val="19"/>
          <w:szCs w:val="19"/>
          <w:color w:val="auto"/>
        </w:rPr>
        <w:t>” means a Term A Commitment or an Incremental Term Commitment, as the context may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means the Term A Facility or an Incremental Term Facility, as the context may require.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 Term A Loan or an Incremental Term Loan, as the context may require.</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Governing Body, in each case as published on an information service as selected by the Administrative Agent from time to time in its reasonable discretion.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xml:space="preserve">” means, as to any Lender at any time, (a) the unused Commitments of such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Revolving Exposure of such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Outstanding Amount of all Term Loans of such Lender at such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Exposure</w:t>
      </w:r>
      <w:r>
        <w:rPr>
          <w:rFonts w:ascii="Arial" w:cs="Arial" w:eastAsia="Arial" w:hAnsi="Arial"/>
          <w:sz w:val="20"/>
          <w:szCs w:val="20"/>
          <w:color w:val="auto"/>
        </w:rPr>
        <w:t xml:space="preserve">” means, as to any Revolving Lender at any time, (a) the unused Revolving Commitment of such Revolving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Revolving Exposure of such Revolving Lender at such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xml:space="preserve">” means, at any time, (a) the aggregate Outstanding Amount of all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Outstanding Amount of all Swingline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aggregate Outstanding Amount of all L/C Obligations at such time.</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collectively, (a) the consummation of the Closing Date Acquisition pursuant to the Closing Date Acquisition Agreement, (b) the entering into of the Loan Documents, the incurrence of the Term A Loans, and the deemed issuance of the Existing Letters of Credit hereunder, in each case on the Closing Date, (c) the consummation of the Closing Date Equity Contribution, and (d) the application of the proceeds of the Term A Loans to be borrowed on the Closing Date to (i) pay a portion of the purchase price in connection with the Closing Date Acquisition, (ii) pay the fees, costs and expenses incurred in connection with the Transactions, and (iii) consummate the Closing Date Refinancing (the amounts set forth in </w:t>
      </w:r>
      <w:r>
        <w:rPr>
          <w:rFonts w:ascii="Arial" w:cs="Arial" w:eastAsia="Arial" w:hAnsi="Arial"/>
          <w:sz w:val="18"/>
          <w:szCs w:val="18"/>
          <w:u w:val="single" w:color="auto"/>
          <w:color w:val="auto"/>
        </w:rPr>
        <w:t>clauses (d)(i)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(d)(iii)</w:t>
      </w:r>
      <w:r>
        <w:rPr>
          <w:rFonts w:ascii="Arial" w:cs="Arial" w:eastAsia="Arial" w:hAnsi="Arial"/>
          <w:sz w:val="18"/>
          <w:szCs w:val="18"/>
          <w:color w:val="auto"/>
        </w:rPr>
        <w:t xml:space="preserve"> above, collectively, the “</w:t>
      </w:r>
      <w:r>
        <w:rPr>
          <w:rFonts w:ascii="Arial" w:cs="Arial" w:eastAsia="Arial" w:hAnsi="Arial"/>
          <w:sz w:val="18"/>
          <w:szCs w:val="18"/>
          <w:u w:val="single" w:color="auto"/>
          <w:color w:val="auto"/>
        </w:rPr>
        <w:t>Closing Date Acquisition Costs</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Turkish Subsidiary</w:t>
      </w:r>
      <w:r>
        <w:rPr>
          <w:rFonts w:ascii="Arial" w:cs="Arial" w:eastAsia="Arial" w:hAnsi="Arial"/>
          <w:sz w:val="20"/>
          <w:szCs w:val="20"/>
          <w:color w:val="auto"/>
        </w:rPr>
        <w:t>” means Altoy Savunma Sanayi ve Havacilik Anonim Sirketi, an entity organized under the laws of Turkey.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xml:space="preserve">” means the Uniform Commercial Code as in effect in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8" w:name="page239"/>
    <w:bookmarkEnd w:id="23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the Uniform Customs and Practice for Documentary Credits, International Chamber of Commerce Publication No. 600 (or such later version thereof as may be in effect at the applicable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3.01(f)(ii)(B)(3)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xml:space="preserve">”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(ii) the number of years (calculated to the nearest one twelfth) that will elapse between such date of determination and the making of such payment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(b) the then outstanding principal amount of such Indebtedness as of such date of determination.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as to any Person, (a) any corporation one hundred percent (100%) of whose Equity Interests (other than directors’ qualifying shares or Equity Interests that are required to be held by another person in order to satisfy a foreign requirement of Law prescribing an equity owner resident in the local jurisdiction)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 w:lineRule="exact"/>
        <w:rPr>
          <w:sz w:val="20"/>
          <w:szCs w:val="20"/>
          <w:color w:val="auto"/>
        </w:rPr>
      </w:pPr>
    </w:p>
    <w:p>
      <w:pPr>
        <w:jc w:val="both"/>
        <w:ind w:firstLine="8"/>
        <w:spacing w:after="0" w:line="241" w:lineRule="auto"/>
        <w:tabs>
          <w:tab w:leader="none" w:pos="28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39" w:name="page240"/>
    <w:bookmarkEnd w:id="239"/>
    <w:p>
      <w:pPr>
        <w:jc w:val="both"/>
        <w:spacing w:after="0" w:line="246" w:lineRule="auto"/>
        <w:rPr>
          <w:sz w:val="20"/>
          <w:szCs w:val="20"/>
          <w:color w:val="auto"/>
        </w:rPr>
      </w:pPr>
      <w:r>
        <w:rPr>
          <w:rFonts w:ascii="Arial" w:cs="Arial" w:eastAsia="Arial" w:hAnsi="Arial"/>
          <w:sz w:val="20"/>
          <w:szCs w:val="20"/>
          <w:color w:val="auto"/>
        </w:rPr>
        <w:t>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 Document:</w:t>
      </w:r>
    </w:p>
    <w:p>
      <w:pPr>
        <w:spacing w:after="0" w:line="200" w:lineRule="exact"/>
        <w:rPr>
          <w:sz w:val="20"/>
          <w:szCs w:val="20"/>
          <w:color w:val="auto"/>
        </w:rPr>
      </w:pPr>
    </w:p>
    <w:p>
      <w:pPr>
        <w:ind w:left="660" w:firstLine="644"/>
        <w:spacing w:after="0" w:line="268" w:lineRule="auto"/>
        <w:tabs>
          <w:tab w:leader="none" w:pos="19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rule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3"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40" w:name="page241"/>
    <w:bookmarkEnd w:id="240"/>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w:t>
      </w:r>
    </w:p>
    <w:p>
      <w:pPr>
        <w:spacing w:after="0" w:line="1" w:lineRule="exact"/>
        <w:rPr>
          <w:rFonts w:ascii="Arial" w:cs="Arial" w:eastAsia="Arial" w:hAnsi="Arial"/>
          <w:sz w:val="18"/>
          <w:szCs w:val="18"/>
          <w:color w:val="auto"/>
        </w:rPr>
      </w:pPr>
    </w:p>
    <w:p>
      <w:pPr>
        <w:jc w:val="both"/>
        <w:ind w:left="660" w:hanging="4"/>
        <w:spacing w:after="0" w:line="268" w:lineRule="auto"/>
        <w:tabs>
          <w:tab w:leader="none" w:pos="8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Indebtedness of the Borrower and its Subsidiaries shall be deemed to be carried at one hundred percent (100%)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w:t>
      </w:r>
    </w:p>
    <w:p>
      <w:pPr>
        <w:spacing w:after="0" w:line="173"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4" w:lineRule="exact"/>
        <w:rPr>
          <w:rFonts w:ascii="Arial" w:cs="Arial" w:eastAsia="Arial" w:hAnsi="Arial"/>
          <w:sz w:val="19"/>
          <w:szCs w:val="19"/>
          <w:color w:val="auto"/>
        </w:rPr>
      </w:pPr>
    </w:p>
    <w:p>
      <w:pPr>
        <w:jc w:val="both"/>
        <w:ind w:left="660" w:firstLine="644"/>
        <w:spacing w:after="0" w:line="244" w:lineRule="auto"/>
        <w:tabs>
          <w:tab w:leader="none" w:pos="1956" w:val="left"/>
        </w:tabs>
        <w:numPr>
          <w:ilvl w:val="1"/>
          <w:numId w:val="184"/>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w:t>
      </w:r>
    </w:p>
    <w:p>
      <w:pPr>
        <w:spacing w:after="0" w:line="194"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184"/>
        </w:numPr>
        <w:rPr>
          <w:rFonts w:ascii="Arial" w:cs="Arial" w:eastAsia="Arial" w:hAnsi="Arial"/>
          <w:sz w:val="20"/>
          <w:szCs w:val="20"/>
          <w:color w:val="auto"/>
        </w:rPr>
      </w:pPr>
      <w:r>
        <w:rPr>
          <w:rFonts w:ascii="Arial" w:cs="Arial" w:eastAsia="Arial" w:hAnsi="Arial"/>
          <w:sz w:val="20"/>
          <w:szCs w:val="20"/>
          <w:u w:val="single" w:color="auto"/>
          <w:color w:val="auto"/>
        </w:rPr>
        <w:t>Pro Forma Calculations</w:t>
      </w:r>
      <w:r>
        <w:rPr>
          <w:rFonts w:ascii="Arial" w:cs="Arial" w:eastAsia="Arial" w:hAnsi="Arial"/>
          <w:sz w:val="20"/>
          <w:szCs w:val="20"/>
          <w:color w:val="auto"/>
        </w:rPr>
        <w:t xml:space="preserve">. Notwithstanding anything to the contrary contained herein, all calculations of the Consolidated Leverage Ratio (including for purposes of determining the Applicable Rate or compliance with any financial covenant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and the Consolidated Fixed Charge Coverage Ratio, in each case, shall be made on a Pro Forma Basis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41" w:name="page242"/>
    <w:bookmarkEnd w:id="241"/>
    <w:p>
      <w:pPr>
        <w:jc w:val="both"/>
        <w:ind w:left="200"/>
        <w:spacing w:after="0" w:line="254" w:lineRule="auto"/>
        <w:rPr>
          <w:sz w:val="20"/>
          <w:szCs w:val="20"/>
          <w:color w:val="auto"/>
        </w:rPr>
      </w:pPr>
      <w:r>
        <w:rPr>
          <w:rFonts w:ascii="Arial" w:cs="Arial" w:eastAsia="Arial" w:hAnsi="Arial"/>
          <w:sz w:val="19"/>
          <w:szCs w:val="19"/>
          <w:color w:val="auto"/>
        </w:rPr>
        <w:t xml:space="preserve">respect to all Specified Transactions occurring during the applicable Measurement Period to which such calculation relates, and/or subsequent to the end of such Measurement Period but not later than the date of such calculation;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notwithstanding the foregoing, when calculating the Consolidated Leverage Ratio or the Consolidated Fixed Charge Coverage Ratio, in each case, for purposes of determining (i) compliance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7.11</w:t>
      </w:r>
      <w:r>
        <w:rPr>
          <w:rFonts w:ascii="Arial" w:cs="Arial" w:eastAsia="Arial" w:hAnsi="Arial"/>
          <w:sz w:val="19"/>
          <w:szCs w:val="19"/>
          <w:color w:val="auto"/>
        </w:rPr>
        <w:t xml:space="preserve">, and/or (ii) the Applicable Rate, any Specified Transaction and any related adjustment contemplated in the definition of Pro Forma Basis that occurred subsequent to the end of the applicable Measurement Period shall not be given Pro Forma Effect. For purposes of determining compliance with any provision of this Agreement which requires Pro Forma Compliance with any financial covenant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 in the case of any such compliance required after delivery of financial statements for the fiscal quarter ending April 30, 2021, such Pro Forma Compliance shall be determined by reference to the maximum Consolidated Leverage Ratio and/or the minimum Consolidated Fixed Charge Coverage Ratio, as applicable, permitted for the fiscal quarter of the Borrower most recently then ended for which financial statements have been delivered (or were required to have been delivered) in accordance with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applicable, and (B) in the case of any such compliance required prior to the delivery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such Pro Forma Compliance shall be determined by reference to (1) the Pro Forma Financial Statements, and (2) the maximum Consolidated Leverage Ratio and/or the minimum Consolidated Fixed Charge Coverage Ratio, as applicable, permitted for the fiscal quarter ending April 30, 2021.</w:t>
      </w:r>
    </w:p>
    <w:p>
      <w:pPr>
        <w:spacing w:after="0" w:line="187" w:lineRule="exact"/>
        <w:rPr>
          <w:sz w:val="20"/>
          <w:szCs w:val="20"/>
          <w:color w:val="auto"/>
        </w:rPr>
      </w:pPr>
    </w:p>
    <w:p>
      <w:pPr>
        <w:jc w:val="both"/>
        <w:ind w:left="200" w:firstLine="644"/>
        <w:spacing w:after="0" w:line="268" w:lineRule="auto"/>
        <w:tabs>
          <w:tab w:leader="none" w:pos="149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Limited Condition Acquisitions</w:t>
      </w:r>
      <w:r>
        <w:rPr>
          <w:rFonts w:ascii="Arial" w:cs="Arial" w:eastAsia="Arial" w:hAnsi="Arial"/>
          <w:sz w:val="18"/>
          <w:szCs w:val="18"/>
          <w:color w:val="auto"/>
        </w:rPr>
        <w:t>. Notwithstanding anything to the contrary herein, to the extent that the terms of this Agreement require (i) compliance with any basket, financial ratio or test (including any Consolidated Leverage Ratio test or any Consolidated Fixed Charge Coverage Ratio test), (ii) the absence of a Default or an Event of Default, or (iii) a determination as to whether the representations and warranties contained in this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in each case in connection with the consummation of a Limited Condition Acquisition, the determination of whether the relevant condition is satisfied may be made, at the election of the Borrower, on the date of the execution of the Limited Condition Acquisition Agreement with respect to such Limited Condition Acquisition (such date, the “</w:t>
      </w:r>
      <w:r>
        <w:rPr>
          <w:rFonts w:ascii="Arial" w:cs="Arial" w:eastAsia="Arial" w:hAnsi="Arial"/>
          <w:sz w:val="18"/>
          <w:szCs w:val="18"/>
          <w:u w:val="single" w:color="auto"/>
          <w:color w:val="auto"/>
        </w:rPr>
        <w:t>LCA Test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after giving effect to the relevant Limited Condition Acquisition and any related incurrence of Indebtedness,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the foregoing, in connection with any Limited Condition Acquisition: (A) the condition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proviso to the definition of “Permitted Acquisition” shall be satisfied if (1) no Default shall have occurred and be continuing as of the applicable LCA Test Date, and (2) no Specified Event of Default shall have occurred and be continuing at the time of consummation of such Limited Condition Acquisition; (B) if the proceeds of an Incremental Term Facility are being used to finance such Limited Condition Acquisition, then (1) the conditions set forth in </w:t>
      </w:r>
      <w:r>
        <w:rPr>
          <w:rFonts w:ascii="Arial" w:cs="Arial" w:eastAsia="Arial" w:hAnsi="Arial"/>
          <w:sz w:val="18"/>
          <w:szCs w:val="18"/>
          <w:u w:val="single" w:color="auto"/>
          <w:color w:val="auto"/>
        </w:rPr>
        <w:t>Section 2.02(g)(ii)(E)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shall be required to be satisfied at the time of closing of the Limited Condition Acquisition and funding of such Incremental Term Facility but, if the Incremental Term Lenders providing such Incremental Term Facility so agree, the representations and warranties which must be accurate at the time of closing of the Limited Condition Acquisition and funding of such Incremental Term Facility may be limited to customary “specified representations,” customary “specified acquisition agreement representations,” and such other representations and warranties as may be required by the Incremental Term Lenders providing such Incremental Term Facility, and (2) the conditions set forth in </w:t>
      </w:r>
      <w:r>
        <w:rPr>
          <w:rFonts w:ascii="Arial" w:cs="Arial" w:eastAsia="Arial" w:hAnsi="Arial"/>
          <w:sz w:val="18"/>
          <w:szCs w:val="18"/>
          <w:u w:val="single" w:color="auto"/>
          <w:color w:val="auto"/>
        </w:rPr>
        <w:t>Section 2.02(g)(ii)(B)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shall, if and to the extent the Incremental Term Lenders providing such Incremental Term Facility so agree, be satisfied if (x) no Default shall have occurred and be continuing as of the applicable LCA Test Date, and (y) no Specified Event of Default shall have occurred and be continuing at the time of the funding of such Incremental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42" w:name="page243"/>
    <w:bookmarkEnd w:id="242"/>
    <w:p>
      <w:pPr>
        <w:jc w:val="both"/>
        <w:ind w:left="660"/>
        <w:spacing w:after="0" w:line="268" w:lineRule="auto"/>
        <w:rPr>
          <w:sz w:val="20"/>
          <w:szCs w:val="20"/>
          <w:color w:val="auto"/>
        </w:rPr>
      </w:pPr>
      <w:r>
        <w:rPr>
          <w:rFonts w:ascii="Arial" w:cs="Arial" w:eastAsia="Arial" w:hAnsi="Arial"/>
          <w:sz w:val="18"/>
          <w:szCs w:val="18"/>
          <w:color w:val="auto"/>
        </w:rPr>
        <w:t xml:space="preserve">Facility in connection with the consummation of such Limited Condition Acquisition; and (C) such Limited Condition Acquisition, any related pro forma adjustments, and the related Indebtedness to be incurred in connection therewith and the use of proceeds thereof shall be deemed consummated, made, incurred and/or applied at the applicable LCA Test Date (until such time as the Indebtedness is actually incurred or the applicable Limited Condition Acquisition Agreement is terminated without actually consummating the applicable Limited Condition Acquisition) and outstanding thereafter for purposes of determining Pro Forma Compliance (other than for purposes of determining Pro Forma Compliance in connection with the making of any Restricted Payment or the making of any Junior Debt Payment) with any financial ratio or test (including any Consolidated Leverage Ratio test, any Consolidated Fixed Charge Coverage Ratio test, or any calculation of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(it being understood and agreed that for purposes of determining Pro Forma Compliance in connection with the making of any Restricted Payment or the making of any Junior Debt Payment, the Borrower shall demonstrate compliance with the applicable test both after giving effect to the applicable Limited Condition Acquisition and assuming that such transaction has not occurred). For the avoidance of doubt, if any of such ratios or amounts for which compliance was determined or tested as of the applicable LCA Test Date are thereafter exceeded or otherwise failed to have been complied with as a result of fluctuations in such ratio or amount (including due to fluctuations in Consolidated EBITDA),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Except as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in the proviso to the first sentence in this </w:t>
      </w:r>
      <w:r>
        <w:rPr>
          <w:rFonts w:ascii="Arial" w:cs="Arial" w:eastAsia="Arial" w:hAnsi="Arial"/>
          <w:sz w:val="18"/>
          <w:szCs w:val="18"/>
          <w:u w:val="single" w:color="auto"/>
          <w:color w:val="auto"/>
        </w:rPr>
        <w:t>Section 1.03(e)</w:t>
      </w:r>
      <w:r>
        <w:rPr>
          <w:rFonts w:ascii="Arial" w:cs="Arial" w:eastAsia="Arial" w:hAnsi="Arial"/>
          <w:sz w:val="18"/>
          <w:szCs w:val="18"/>
          <w:color w:val="auto"/>
        </w:rPr>
        <w:t xml:space="preserve"> in connection with the use of the proceeds of an Incremental Term Facility to finance a Limited Condition Acquisition (and, in the case of such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if and to the extent the Incremental Term Lenders providing such Incremental Term Facility so agree as provided in such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it is understood and agreed that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1.03(e)</w:t>
      </w:r>
      <w:r>
        <w:rPr>
          <w:rFonts w:ascii="Arial" w:cs="Arial" w:eastAsia="Arial" w:hAnsi="Arial"/>
          <w:sz w:val="18"/>
          <w:szCs w:val="18"/>
          <w:color w:val="auto"/>
        </w:rPr>
        <w:t xml:space="preserve"> shall not limit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 respect to any proposed Credit Extension, in connection with a Limited Condition Acquisition or otherwise.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Pacific time (daylight or standard, as applicable).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43" w:name="page244"/>
    <w:bookmarkEnd w:id="243"/>
    <w:p>
      <w:pPr>
        <w:spacing w:after="0"/>
        <w:tabs>
          <w:tab w:leader="none" w:pos="6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u w:val="single" w:color="auto"/>
          <w:color w:val="auto"/>
        </w:rPr>
        <w:t>UCC Terms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auto"/>
        </w:rPr>
        <w:t>Rates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rates (including any LIBOR Successor Rate) or the effect of any of the foregoing, or of any LIBOR Successor Rate Conforming Changes.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COMMITMENTS AND CREDIT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2" w:lineRule="auto"/>
        <w:tabs>
          <w:tab w:leader="none" w:pos="195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Term A Borrowing</w:t>
      </w:r>
      <w:r>
        <w:rPr>
          <w:rFonts w:ascii="Arial" w:cs="Arial" w:eastAsia="Arial" w:hAnsi="Arial"/>
          <w:sz w:val="20"/>
          <w:szCs w:val="20"/>
          <w:color w:val="auto"/>
        </w:rPr>
        <w:t xml:space="preserve">. Subject to the terms and conditions set forth herein, each Term A Lender severally agrees to make a Term A Loan to the Borrower, in Dollars, on the Closing Date in an amount not to exceed such Term A Lender’s Term A Commitment. The Term A Borrowing shall consist of Term A Loans made simultaneously by the Term A Lenders in accordance with their respective Term A Commitments. Any Term A Borrowing repaid or prepaid may not be reborrowed. Term A Loans may be Base Rate Loans or Eurodollar Rate Loans, as further provided 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Term A Borrowing made on the Closing Date shall be made as Base Rate Loans unless the Borrower delivers a Funding Indemnity Letter not less than three (3) Business Days prior to the Closing Date.</w:t>
      </w:r>
    </w:p>
    <w:p>
      <w:pPr>
        <w:spacing w:after="0" w:line="196"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Revolving Borrowings</w:t>
      </w:r>
      <w:r>
        <w:rPr>
          <w:rFonts w:ascii="Arial" w:cs="Arial" w:eastAsia="Arial" w:hAnsi="Arial"/>
          <w:sz w:val="19"/>
          <w:szCs w:val="19"/>
          <w:color w:val="auto"/>
        </w:rPr>
        <w:t>. Subject to the terms and conditions set forth herein, each Revolving Lender severally agrees to make loans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 in Dollars, from time to time, on any Business Day during the Availability Period, in an aggregate amount not to exceed at any time outstanding the amount of such Revolving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after giving effect to any Revolving Borrowing, (A) the Total Revolving Outstandings shall not exceed the Revolving Facility, and (B) the Revolving Exposure of any Revolving Lender shall not exceed such Revolving Lender’s Revolving Commitment, and (ii) no Revolving Borrowing shall be made on the Closing Date. Within the limits of each Revolving Lender’s Revolving Commitment, and subject to the other terms and conditions hereof, the Borrower may borrow Revolving Loans, prepay Revolving Loans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Revolving Loans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Revolving Loans may be Base Rate Loans or Eurodollar Rate Loans, as further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Revolving Borrowing made on any of the three (3) Business Days following the Closing Date shall be made as Base Rate Loans unless the Borrower delivers a Funding Indemnity Letter not less than three (3) Business Days prior to the date of such Revolving Borrowing.</w:t>
      </w:r>
    </w:p>
    <w:p>
      <w:pPr>
        <w:spacing w:after="0" w:line="181" w:lineRule="exact"/>
        <w:rPr>
          <w:rFonts w:ascii="Arial" w:cs="Arial" w:eastAsia="Arial" w:hAnsi="Arial"/>
          <w:sz w:val="19"/>
          <w:szCs w:val="19"/>
          <w:color w:val="auto"/>
        </w:rPr>
      </w:pPr>
    </w:p>
    <w:p>
      <w:pPr>
        <w:jc w:val="both"/>
        <w:ind w:left="660" w:firstLine="644"/>
        <w:spacing w:after="0" w:line="276" w:lineRule="auto"/>
        <w:tabs>
          <w:tab w:leader="none" w:pos="195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Incremental Term Borrowings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on the effective date of any Incremental Term Facility Agreement for any Incremental Term Facility, each Incremental Term Lender under such Incremental Term Facility severally agrees to make an Incremental Term Loan to the Borrower in Dollars and in the amount of such Incremental Term Lender’s Incremental Term Commitment for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after giving effect to such Incremental Term Loans, the Outstanding Amount of such Incremental Term Loans under such Incremental Term Facility shall not exceed the aggregate amount of the Incremental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44" w:name="page245"/>
    <w:bookmarkEnd w:id="244"/>
    <w:p>
      <w:pPr>
        <w:jc w:val="both"/>
        <w:ind w:left="660"/>
        <w:spacing w:after="0" w:line="260" w:lineRule="auto"/>
        <w:rPr>
          <w:sz w:val="20"/>
          <w:szCs w:val="20"/>
          <w:color w:val="auto"/>
        </w:rPr>
      </w:pPr>
      <w:r>
        <w:rPr>
          <w:rFonts w:ascii="Arial" w:cs="Arial" w:eastAsia="Arial" w:hAnsi="Arial"/>
          <w:sz w:val="19"/>
          <w:szCs w:val="19"/>
          <w:color w:val="auto"/>
        </w:rPr>
        <w:t>Commitments for such Incremental Term Facility. Each Incremental Term Borrowing under an Incremental Term Facility shall consist of Incremental Term Loans made simultaneously by the Incremental Term Lenders under such Incremental Term Facility in accordance with their respective Incremental Term Commitments for such Incremental Term Facility. Incremental Term Borrowings prepaid or repaid may not be reborrowed. Incremental Term Loans may be Base Rate Loans or Eurodollar Rate Loans, as further provided herein.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8" w:lineRule="auto"/>
        <w:tabs>
          <w:tab w:leader="none" w:pos="195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Each Borrowing, each conversion of Loans from one Type to the other, and each continuation of Eurodollar Rate Loans, in each case, shall be made upon the Borrower’s irrevocable notice to the Administrative Agent, which may be given by telephone or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telephonic notice must be confirmed promptly by delivery to the Administrative Agent of a Loan Notice. Each Loan Notice must be received by the Administrative Agent not later than 8:00 a.m. (i) three (3)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$5,000,000 or a whole multiple of $1,000,000 in excess thereof (or, in connection with any conversion or continuation of any Term Loans, if less, the entire principal thereof then outstanding). Except as provided in </w:t>
      </w:r>
      <w:r>
        <w:rPr>
          <w:rFonts w:ascii="Arial" w:cs="Arial" w:eastAsia="Arial" w:hAnsi="Arial"/>
          <w:sz w:val="18"/>
          <w:szCs w:val="18"/>
          <w:u w:val="single" w:color="auto"/>
          <w:color w:val="auto"/>
        </w:rPr>
        <w:t>Sections 2.03(f)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$500,000 or a whole multiple of $100,000 in excess thereof (or, in connection with any conversion or continuation of any Term Loans, if less, the entire principal thereof then outstanding). Each Loan Notice and each telephonic notice shall specify (A) the applicable Facility and whether the Borrower is requesting a Borrowing, a conversion of Loans from one Type to the other, or a continuation of Loans, as the case may be, under such Facility, (B) the requested date of such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(1) month. Notwithstanding anything to the contrary herein,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not apply to Swingline Loans or Swingline Borrowings.</w:t>
      </w:r>
    </w:p>
    <w:p>
      <w:pPr>
        <w:spacing w:after="0" w:line="175" w:lineRule="exact"/>
        <w:rPr>
          <w:rFonts w:ascii="Arial" w:cs="Arial" w:eastAsia="Arial" w:hAnsi="Arial"/>
          <w:sz w:val="18"/>
          <w:szCs w:val="18"/>
          <w:color w:val="auto"/>
        </w:rPr>
      </w:pPr>
    </w:p>
    <w:p>
      <w:pPr>
        <w:jc w:val="both"/>
        <w:ind w:left="660" w:firstLine="644"/>
        <w:spacing w:after="0" w:line="255" w:lineRule="auto"/>
        <w:tabs>
          <w:tab w:leader="none" w:pos="1956"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Advances</w:t>
      </w:r>
      <w:r>
        <w:rPr>
          <w:rFonts w:ascii="Arial" w:cs="Arial" w:eastAsia="Arial" w:hAnsi="Arial"/>
          <w:sz w:val="19"/>
          <w:szCs w:val="19"/>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Borrowing, each Appropriate Lender shall make the amount of its Loan available to the Administrative Agent in immediately available funds at the Administrative Agent’s Office not later than 10:00 a.m. on the Business Day specified in the applicable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45" w:name="page246"/>
    <w:bookmarkEnd w:id="245"/>
    <w:p>
      <w:pPr>
        <w:jc w:val="both"/>
        <w:ind w:left="200"/>
        <w:spacing w:after="0" w:line="260" w:lineRule="auto"/>
        <w:rPr>
          <w:sz w:val="20"/>
          <w:szCs w:val="20"/>
          <w:color w:val="auto"/>
        </w:rPr>
      </w:pPr>
      <w:r>
        <w:rPr>
          <w:rFonts w:ascii="Arial" w:cs="Arial" w:eastAsia="Arial" w:hAnsi="Arial"/>
          <w:sz w:val="19"/>
          <w:szCs w:val="19"/>
          <w:color w:val="auto"/>
        </w:rPr>
        <w:t xml:space="preserve">wire transfer of such funds, in each case in accordance with instructions provided to (and reasonably acceptable to) the Administrative Agent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on the date a Loan Notice with respect to a Revolving Borrowing is given by the Borrower, there are Unreimbursed Amounts outstanding, then the proceeds of such Revolving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Unreimbursed Amounts,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 as provided above.</w:t>
      </w:r>
    </w:p>
    <w:p>
      <w:pPr>
        <w:spacing w:after="0" w:line="180" w:lineRule="exact"/>
        <w:rPr>
          <w:sz w:val="20"/>
          <w:szCs w:val="20"/>
          <w:color w:val="auto"/>
        </w:rPr>
      </w:pPr>
    </w:p>
    <w:p>
      <w:pPr>
        <w:jc w:val="both"/>
        <w:ind w:left="200" w:firstLine="644"/>
        <w:spacing w:after="0" w:line="260" w:lineRule="auto"/>
        <w:tabs>
          <w:tab w:leader="none" w:pos="1496"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Eurodollar Rate Loans</w:t>
      </w:r>
      <w:r>
        <w:rPr>
          <w:rFonts w:ascii="Arial" w:cs="Arial" w:eastAsia="Arial" w:hAnsi="Arial"/>
          <w:sz w:val="19"/>
          <w:szCs w:val="19"/>
          <w:color w:val="auto"/>
        </w:rPr>
        <w:t>. 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 and the Required Lenders may demand that any or all of the outstanding Eurodollar Rate Loans be converted immediately to Base Rate Loans.</w:t>
      </w:r>
    </w:p>
    <w:p>
      <w:pPr>
        <w:spacing w:after="0" w:line="180"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Each determination of an interest rate by the Administrative Agent pursuant to any provision of this Agreement shall be conclusive and binding on the Borrower and the Lenders in the absence of manifest error.</w:t>
      </w:r>
    </w:p>
    <w:p>
      <w:pPr>
        <w:spacing w:after="0" w:line="185" w:lineRule="exact"/>
        <w:rPr>
          <w:rFonts w:ascii="Arial" w:cs="Arial" w:eastAsia="Arial" w:hAnsi="Arial"/>
          <w:sz w:val="20"/>
          <w:szCs w:val="20"/>
          <w:color w:val="auto"/>
        </w:rPr>
      </w:pPr>
    </w:p>
    <w:p>
      <w:pPr>
        <w:jc w:val="both"/>
        <w:ind w:left="200" w:firstLine="644"/>
        <w:spacing w:after="0" w:line="272" w:lineRule="auto"/>
        <w:tabs>
          <w:tab w:leader="none" w:pos="149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After giving effect to all Term A Borrowings, all conversions of Term A Loans from one Type to the other, and all continuations of Term A Loans as the same Type, there shall not be more than five (5) Interest Periods in effect in respect of the Term A Facility. After giving effect to all Revolving Borrowings, all conversions of Revolving Loans from one Type to the other, and all continuations of Revolving Loans as the same Type, there shall not be more than five (5) Interest Periods in effect in respect of the Revolving Facility. With respect to each Incremental Term Facility, after giving effect to all Borrowings in connection with such Incremental Term Facility, all conversions of Incremental Term Loans under such Incremental Term Facility from one Type to the other, and all continuations of Incremental Term Loans under such Incremental Term Facility as the same Type, there shall not be more than five (5) Interest Periods in effect in respect of such Incremental Term Facility.</w:t>
      </w:r>
    </w:p>
    <w:p>
      <w:pPr>
        <w:spacing w:after="0" w:line="170" w:lineRule="exact"/>
        <w:rPr>
          <w:rFonts w:ascii="Arial" w:cs="Arial" w:eastAsia="Arial" w:hAnsi="Arial"/>
          <w:sz w:val="18"/>
          <w:szCs w:val="18"/>
          <w:color w:val="auto"/>
        </w:rPr>
      </w:pPr>
    </w:p>
    <w:p>
      <w:pPr>
        <w:jc w:val="both"/>
        <w:ind w:left="200" w:firstLine="644"/>
        <w:spacing w:after="0" w:line="282" w:lineRule="auto"/>
        <w:tabs>
          <w:tab w:leader="none" w:pos="149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Cashless Settlement Mechanism</w:t>
      </w:r>
      <w:r>
        <w:rPr>
          <w:rFonts w:ascii="Arial" w:cs="Arial" w:eastAsia="Arial" w:hAnsi="Arial"/>
          <w:sz w:val="18"/>
          <w:szCs w:val="18"/>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61"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 Incremental Term Facilities</w:t>
      </w:r>
      <w:r>
        <w:rPr>
          <w:rFonts w:ascii="Arial" w:cs="Arial" w:eastAsia="Arial" w:hAnsi="Arial"/>
          <w:sz w:val="20"/>
          <w:szCs w:val="20"/>
          <w:color w:val="auto"/>
        </w:rPr>
        <w:t>. The Borrower may increase the Revolving Facility (but not the Letter of Credit Sublimit or the Swingline Sublimit) and/or establish one or more new tranches of term loans (each such new tranche of term loans being an “</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each such increase in the Revolving Facility and each Incremental Term Facility, an “</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by a maximum aggregate amount for all such Incremental Facilities not to exceed, as of any date of determination, the Incremental Amount.</w:t>
      </w:r>
    </w:p>
    <w:p>
      <w:pPr>
        <w:spacing w:after="0" w:line="195" w:lineRule="exact"/>
        <w:rPr>
          <w:rFonts w:ascii="Arial" w:cs="Arial" w:eastAsia="Arial" w:hAnsi="Arial"/>
          <w:sz w:val="20"/>
          <w:szCs w:val="20"/>
          <w:color w:val="auto"/>
        </w:rPr>
      </w:pPr>
    </w:p>
    <w:p>
      <w:pPr>
        <w:jc w:val="both"/>
        <w:ind w:left="840" w:firstLine="652"/>
        <w:spacing w:after="0" w:line="243" w:lineRule="auto"/>
        <w:tabs>
          <w:tab w:leader="none" w:pos="2136"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w:t>
      </w:r>
      <w:r>
        <w:rPr>
          <w:rFonts w:ascii="Arial" w:cs="Arial" w:eastAsia="Arial" w:hAnsi="Arial"/>
          <w:sz w:val="20"/>
          <w:szCs w:val="20"/>
          <w:color w:val="auto"/>
        </w:rPr>
        <w:t xml:space="preserve">. The Borrower may at any time after the Closing Date and prior to the Revolving Facility Maturity Date,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the Swingline Lender and each L/C Issuer (so long as such Persons would be Eligible Assignees);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46" w:name="page247"/>
    <w:bookmarkEnd w:id="246"/>
    <w:p>
      <w:pPr>
        <w:jc w:val="both"/>
        <w:ind w:left="1500" w:firstLine="640"/>
        <w:spacing w:after="0" w:line="250" w:lineRule="auto"/>
        <w:tabs>
          <w:tab w:leader="none" w:pos="279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$25,000,000 and in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ind w:left="1500" w:right="20" w:firstLine="640"/>
        <w:spacing w:after="0" w:line="260" w:lineRule="auto"/>
        <w:tabs>
          <w:tab w:leader="none" w:pos="279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no Default shall exist and be continuing at the time of any such increase or would exist immediately after giving effect thereto;</w:t>
      </w:r>
    </w:p>
    <w:p>
      <w:pPr>
        <w:spacing w:after="0" w:line="176" w:lineRule="exact"/>
        <w:rPr>
          <w:rFonts w:ascii="Arial" w:cs="Arial" w:eastAsia="Arial" w:hAnsi="Arial"/>
          <w:sz w:val="20"/>
          <w:szCs w:val="20"/>
          <w:color w:val="auto"/>
        </w:rPr>
      </w:pPr>
    </w:p>
    <w:p>
      <w:pPr>
        <w:jc w:val="both"/>
        <w:ind w:left="1500" w:firstLine="640"/>
        <w:spacing w:after="0" w:line="246" w:lineRule="auto"/>
        <w:tabs>
          <w:tab w:leader="none" w:pos="279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191" w:lineRule="exact"/>
        <w:rPr>
          <w:rFonts w:ascii="Arial" w:cs="Arial" w:eastAsia="Arial" w:hAnsi="Arial"/>
          <w:sz w:val="20"/>
          <w:szCs w:val="20"/>
          <w:color w:val="auto"/>
        </w:rPr>
      </w:pPr>
    </w:p>
    <w:p>
      <w:pPr>
        <w:jc w:val="both"/>
        <w:ind w:left="1500" w:firstLine="640"/>
        <w:spacing w:after="0" w:line="244" w:lineRule="auto"/>
        <w:tabs>
          <w:tab w:leader="none" w:pos="279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94" w:lineRule="exact"/>
        <w:rPr>
          <w:rFonts w:ascii="Arial" w:cs="Arial" w:eastAsia="Arial" w:hAnsi="Arial"/>
          <w:sz w:val="20"/>
          <w:szCs w:val="20"/>
          <w:color w:val="auto"/>
        </w:rPr>
      </w:pPr>
    </w:p>
    <w:p>
      <w:pPr>
        <w:jc w:val="both"/>
        <w:ind w:left="1500" w:firstLine="640"/>
        <w:spacing w:after="0" w:line="271" w:lineRule="auto"/>
        <w:tabs>
          <w:tab w:leader="none" w:pos="27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increase, the representations and warranties contained in this Agreement and the other Loan Documents shall be true and correct in all material respects (and in all respects if any such representation or warranty is already qualified by materiality or reference to Material Adverse Effect)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Arial" w:cs="Arial" w:eastAsia="Arial" w:hAnsi="Arial"/>
          <w:sz w:val="18"/>
          <w:szCs w:val="18"/>
          <w:u w:val="single" w:color="auto"/>
          <w:color w:val="auto"/>
        </w:rPr>
        <w:t>Section 2.02(g)(i)(E)</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73" w:lineRule="exact"/>
        <w:rPr>
          <w:rFonts w:ascii="Arial" w:cs="Arial" w:eastAsia="Arial" w:hAnsi="Arial"/>
          <w:sz w:val="18"/>
          <w:szCs w:val="18"/>
          <w:color w:val="auto"/>
        </w:rPr>
      </w:pPr>
    </w:p>
    <w:p>
      <w:pPr>
        <w:jc w:val="both"/>
        <w:ind w:left="1500" w:firstLine="640"/>
        <w:spacing w:after="0" w:line="271" w:lineRule="auto"/>
        <w:tabs>
          <w:tab w:leader="none" w:pos="27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(1) a certificate from a Responsible Officer of the Borrower certifying that (x) the conditions set forth in </w:t>
      </w:r>
      <w:r>
        <w:rPr>
          <w:rFonts w:ascii="Arial" w:cs="Arial" w:eastAsia="Arial" w:hAnsi="Arial"/>
          <w:sz w:val="18"/>
          <w:szCs w:val="18"/>
          <w:u w:val="single" w:color="auto"/>
          <w:color w:val="auto"/>
        </w:rPr>
        <w:t>Sections 2.02(g)(i)(B)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have been satisfied, (y) the condition set forth in </w:t>
      </w:r>
      <w:r>
        <w:rPr>
          <w:rFonts w:ascii="Arial" w:cs="Arial" w:eastAsia="Arial" w:hAnsi="Arial"/>
          <w:sz w:val="18"/>
          <w:szCs w:val="18"/>
          <w:u w:val="single" w:color="auto"/>
          <w:color w:val="auto"/>
        </w:rPr>
        <w:t>Section 2.02(g)(i)(G)(1)</w:t>
      </w:r>
      <w:r>
        <w:rPr>
          <w:rFonts w:ascii="Arial" w:cs="Arial" w:eastAsia="Arial" w:hAnsi="Arial"/>
          <w:sz w:val="18"/>
          <w:szCs w:val="18"/>
          <w:color w:val="auto"/>
        </w:rPr>
        <w:t xml:space="preserve"> has been satisfied (which certification shall include reasonably detailed calculations to demonstrate the satisfaction of such condition), and (z) to the extent applicable, the condition set forth in </w:t>
      </w:r>
      <w:r>
        <w:rPr>
          <w:rFonts w:ascii="Arial" w:cs="Arial" w:eastAsia="Arial" w:hAnsi="Arial"/>
          <w:sz w:val="18"/>
          <w:szCs w:val="18"/>
          <w:u w:val="single" w:color="auto"/>
          <w:color w:val="auto"/>
        </w:rPr>
        <w:t>Section 2.02(g)(i)(G)(2)</w:t>
      </w:r>
      <w:r>
        <w:rPr>
          <w:rFonts w:ascii="Arial" w:cs="Arial" w:eastAsia="Arial" w:hAnsi="Arial"/>
          <w:sz w:val="18"/>
          <w:szCs w:val="18"/>
          <w:color w:val="auto"/>
        </w:rPr>
        <w:t xml:space="preserve"> has been satisfied (which certification shall include reasonably detailed calculations to demonstrate the satisfaction of such condition), (2) a certificate from a Responsible Officer of each Loan Party certifying and attaching the resolutions adopted by such Loan Party approving or consenting to such increase, and (3) if requested by the Administrative Agent, an opinion or opinions of counsel for the Loan Parties, dated as of the date of such increase, in form and substance satisfactory to the Administrative Agent;</w:t>
      </w:r>
    </w:p>
    <w:p>
      <w:pPr>
        <w:spacing w:after="0" w:line="169" w:lineRule="exact"/>
        <w:rPr>
          <w:rFonts w:ascii="Arial" w:cs="Arial" w:eastAsia="Arial" w:hAnsi="Arial"/>
          <w:sz w:val="18"/>
          <w:szCs w:val="18"/>
          <w:color w:val="auto"/>
        </w:rPr>
      </w:pPr>
    </w:p>
    <w:p>
      <w:pPr>
        <w:jc w:val="both"/>
        <w:ind w:left="1500" w:firstLine="640"/>
        <w:spacing w:after="0" w:line="278" w:lineRule="auto"/>
        <w:tabs>
          <w:tab w:leader="none" w:pos="27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(1) upon giving Pro Forma Effect to any such increase (and assuming for such calculation that such increase is fully drawn), the Loan Parties would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and (2) to the extent such increase is being incurred in reliance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47" w:name="page248"/>
    <w:bookmarkEnd w:id="247"/>
    <w:p>
      <w:pPr>
        <w:ind w:left="1500"/>
        <w:spacing w:after="0" w:line="260" w:lineRule="auto"/>
        <w:rPr>
          <w:sz w:val="20"/>
          <w:szCs w:val="20"/>
          <w:color w:val="auto"/>
        </w:rPr>
      </w:pPr>
      <w:r>
        <w:rPr>
          <w:rFonts w:ascii="Arial" w:cs="Arial" w:eastAsia="Arial" w:hAnsi="Arial"/>
          <w:sz w:val="20"/>
          <w:szCs w:val="20"/>
          <w:color w:val="auto"/>
        </w:rPr>
        <w:t>Leverage-Based Prong, after giving effect to such increase, such increase is permitted pursuant to the Leverage-Based Prong;</w:t>
      </w:r>
    </w:p>
    <w:p>
      <w:pPr>
        <w:spacing w:after="0" w:line="177" w:lineRule="exact"/>
        <w:rPr>
          <w:sz w:val="20"/>
          <w:szCs w:val="20"/>
          <w:color w:val="auto"/>
        </w:rPr>
      </w:pPr>
    </w:p>
    <w:p>
      <w:pPr>
        <w:jc w:val="both"/>
        <w:ind w:left="1500" w:firstLine="640"/>
        <w:spacing w:after="0" w:line="250" w:lineRule="auto"/>
        <w:tabs>
          <w:tab w:leader="none" w:pos="279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 xml:space="preserve">any such increase shall (1) rank </w:t>
      </w:r>
      <w:r>
        <w:rPr>
          <w:rFonts w:ascii="Arial" w:cs="Arial" w:eastAsia="Arial" w:hAnsi="Arial"/>
          <w:sz w:val="20"/>
          <w:szCs w:val="20"/>
          <w:u w:val="single" w:color="auto"/>
          <w:color w:val="auto"/>
        </w:rPr>
        <w:t>pari passu</w:t>
      </w:r>
      <w:r>
        <w:rPr>
          <w:rFonts w:ascii="Arial" w:cs="Arial" w:eastAsia="Arial" w:hAnsi="Arial"/>
          <w:sz w:val="20"/>
          <w:szCs w:val="20"/>
          <w:color w:val="auto"/>
        </w:rPr>
        <w:t xml:space="preserve"> in right of payment with the Obligations and in respect of the Collateral, and (2) be on the same terms and pursuant to the same documentation applicable to the Revolving Facility; and</w:t>
      </w:r>
    </w:p>
    <w:p>
      <w:pPr>
        <w:spacing w:after="0" w:line="185" w:lineRule="exact"/>
        <w:rPr>
          <w:rFonts w:ascii="Arial" w:cs="Arial" w:eastAsia="Arial" w:hAnsi="Arial"/>
          <w:sz w:val="20"/>
          <w:szCs w:val="20"/>
          <w:color w:val="auto"/>
        </w:rPr>
      </w:pPr>
    </w:p>
    <w:p>
      <w:pPr>
        <w:jc w:val="both"/>
        <w:ind w:left="1500" w:firstLine="640"/>
        <w:spacing w:after="0" w:line="244" w:lineRule="auto"/>
        <w:tabs>
          <w:tab w:leader="none" w:pos="279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 xml:space="preserve">in connection with any such increase, the Borrower shall prepay any Revolving Loans outstanding on the date of such increase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to the extent necessary to keep the outstanding Revolving Loans ratable with any revised Revolving Commitments arising from any non-ratable increase in the Revolving Facility pursuant to this </w:t>
      </w:r>
      <w:r>
        <w:rPr>
          <w:rFonts w:ascii="Arial" w:cs="Arial" w:eastAsia="Arial" w:hAnsi="Arial"/>
          <w:sz w:val="20"/>
          <w:szCs w:val="20"/>
          <w:u w:val="single" w:color="auto"/>
          <w:color w:val="auto"/>
        </w:rPr>
        <w:t>Section 2.02(g)(i)</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Institution of Incremental Term Facilities</w:t>
      </w:r>
      <w:r>
        <w:rPr>
          <w:rFonts w:ascii="Arial" w:cs="Arial" w:eastAsia="Arial" w:hAnsi="Arial"/>
          <w:sz w:val="20"/>
          <w:szCs w:val="20"/>
          <w:color w:val="auto"/>
        </w:rPr>
        <w:t xml:space="preserve">. The Borrower may at any time after the Closing Date and prior to the Term A Facility Maturity Date, upon prior written notice to the Administrative Agent, establish an Incremental Term Facility to be provided by one or more Incremental Term Lenders for such Incremental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any such Incremental Term Facility shall be in a minimum aggregate principal amount of $25,000,000 and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ind w:left="1500" w:firstLine="640"/>
        <w:spacing w:after="0" w:line="260" w:lineRule="auto"/>
        <w:tabs>
          <w:tab w:leader="none" w:pos="27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no Default shall exist and be continuing at the time of the establishment of any such Incremental Term Facility or would exist immediately after giving effect thereto;</w:t>
      </w:r>
    </w:p>
    <w:p>
      <w:pPr>
        <w:spacing w:after="0" w:line="176"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185" w:lineRule="exact"/>
        <w:rPr>
          <w:rFonts w:ascii="Arial" w:cs="Arial" w:eastAsia="Arial" w:hAnsi="Arial"/>
          <w:sz w:val="20"/>
          <w:szCs w:val="20"/>
          <w:color w:val="auto"/>
        </w:rPr>
      </w:pPr>
    </w:p>
    <w:p>
      <w:pPr>
        <w:jc w:val="both"/>
        <w:ind w:left="1500" w:firstLine="640"/>
        <w:spacing w:after="0" w:line="271" w:lineRule="auto"/>
        <w:tabs>
          <w:tab w:leader="none" w:pos="279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Borrower (in consultation and coordination with the Administrative Agent) shall obtain Incremental Term Commitments for such Incremental Term Facility from existing Lenders or other Persons reasonably acceptable to the Administrative Agent, which Persons shall join in this Agreement as Incremental Term Lenders by executing an agreement, in form and substance satisfactory to the Administrative Agent, setting forth the terms applicable to such Incremental Term Facility in accordance with this </w:t>
      </w:r>
      <w:r>
        <w:rPr>
          <w:rFonts w:ascii="Arial" w:cs="Arial" w:eastAsia="Arial" w:hAnsi="Arial"/>
          <w:sz w:val="18"/>
          <w:szCs w:val="18"/>
          <w:u w:val="single" w:color="auto"/>
          <w:color w:val="auto"/>
        </w:rPr>
        <w:t>Section 2.02(g)(ii)</w:t>
      </w:r>
      <w:r>
        <w:rPr>
          <w:rFonts w:ascii="Arial" w:cs="Arial" w:eastAsia="Arial" w:hAnsi="Arial"/>
          <w:sz w:val="18"/>
          <w:szCs w:val="18"/>
          <w:color w:val="auto"/>
        </w:rPr>
        <w:t xml:space="preserve"> (any such agreement, an “</w:t>
      </w:r>
      <w:r>
        <w:rPr>
          <w:rFonts w:ascii="Arial" w:cs="Arial" w:eastAsia="Arial" w:hAnsi="Arial"/>
          <w:sz w:val="18"/>
          <w:szCs w:val="18"/>
          <w:u w:val="single" w:color="auto"/>
          <w:color w:val="auto"/>
        </w:rPr>
        <w:t>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 Agreement</w:t>
      </w:r>
      <w:r>
        <w:rPr>
          <w:rFonts w:ascii="Arial" w:cs="Arial" w:eastAsia="Arial" w:hAnsi="Arial"/>
          <w:sz w:val="18"/>
          <w:szCs w:val="18"/>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69" w:lineRule="exact"/>
        <w:rPr>
          <w:rFonts w:ascii="Arial" w:cs="Arial" w:eastAsia="Arial" w:hAnsi="Arial"/>
          <w:sz w:val="18"/>
          <w:szCs w:val="18"/>
          <w:color w:val="auto"/>
        </w:rPr>
      </w:pPr>
    </w:p>
    <w:p>
      <w:pPr>
        <w:jc w:val="both"/>
        <w:ind w:left="1500" w:firstLine="640"/>
        <w:spacing w:after="0" w:line="246" w:lineRule="auto"/>
        <w:tabs>
          <w:tab w:leader="none" w:pos="27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before and after giving effect to the establishment of such Incremental Term Facility, the representations and warranties contained in this Agreement and the other Loan Documents shall be true and correct in all material respects (and in all respects if any such representation or warranty is already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48" w:name="page249"/>
    <w:bookmarkEnd w:id="248"/>
    <w:p>
      <w:pPr>
        <w:jc w:val="both"/>
        <w:ind w:left="1500"/>
        <w:spacing w:after="0" w:line="257" w:lineRule="auto"/>
        <w:rPr>
          <w:sz w:val="20"/>
          <w:szCs w:val="20"/>
          <w:color w:val="auto"/>
        </w:rPr>
      </w:pPr>
      <w:r>
        <w:rPr>
          <w:rFonts w:ascii="Arial" w:cs="Arial" w:eastAsia="Arial" w:hAnsi="Arial"/>
          <w:sz w:val="19"/>
          <w:szCs w:val="19"/>
          <w:color w:val="auto"/>
        </w:rPr>
        <w:t xml:space="preserve">qualified by materiality or reference to Material Adverse Effect)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Arial" w:cs="Arial" w:eastAsia="Arial" w:hAnsi="Arial"/>
          <w:sz w:val="19"/>
          <w:szCs w:val="19"/>
          <w:u w:val="single" w:color="auto"/>
          <w:color w:val="auto"/>
        </w:rPr>
        <w:t>Section 2.02(g)(ii)(E)</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respectively;</w:t>
      </w:r>
    </w:p>
    <w:p>
      <w:pPr>
        <w:spacing w:after="0" w:line="180" w:lineRule="exact"/>
        <w:rPr>
          <w:sz w:val="20"/>
          <w:szCs w:val="20"/>
          <w:color w:val="auto"/>
        </w:rPr>
      </w:pPr>
    </w:p>
    <w:p>
      <w:pPr>
        <w:jc w:val="both"/>
        <w:ind w:left="1500" w:firstLine="640"/>
        <w:spacing w:after="0" w:line="271" w:lineRule="auto"/>
        <w:tabs>
          <w:tab w:leader="none" w:pos="27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(1) a certificate from a Responsible Officer of the Borrower certifying that (x) the conditions set forth in </w:t>
      </w:r>
      <w:r>
        <w:rPr>
          <w:rFonts w:ascii="Arial" w:cs="Arial" w:eastAsia="Arial" w:hAnsi="Arial"/>
          <w:sz w:val="18"/>
          <w:szCs w:val="18"/>
          <w:u w:val="single" w:color="auto"/>
          <w:color w:val="auto"/>
        </w:rPr>
        <w:t>Sections 2.02(g)(ii)(B)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(ii)(E)</w:t>
      </w:r>
      <w:r>
        <w:rPr>
          <w:rFonts w:ascii="Arial" w:cs="Arial" w:eastAsia="Arial" w:hAnsi="Arial"/>
          <w:sz w:val="18"/>
          <w:szCs w:val="18"/>
          <w:color w:val="auto"/>
        </w:rPr>
        <w:t xml:space="preserve"> have been satisfied, (y) the condition set forth in </w:t>
      </w:r>
      <w:r>
        <w:rPr>
          <w:rFonts w:ascii="Arial" w:cs="Arial" w:eastAsia="Arial" w:hAnsi="Arial"/>
          <w:sz w:val="18"/>
          <w:szCs w:val="18"/>
          <w:u w:val="single" w:color="auto"/>
          <w:color w:val="auto"/>
        </w:rPr>
        <w:t>Section 2.02(g)(ii)(G)(1)</w:t>
      </w:r>
      <w:r>
        <w:rPr>
          <w:rFonts w:ascii="Arial" w:cs="Arial" w:eastAsia="Arial" w:hAnsi="Arial"/>
          <w:sz w:val="18"/>
          <w:szCs w:val="18"/>
          <w:color w:val="auto"/>
        </w:rPr>
        <w:t xml:space="preserve"> has been satisfied (which certification shall include reasonably detailed calculations to demonstrate the satisfaction of such condition), and (z) to the extent applicable, the condition set forth in </w:t>
      </w:r>
      <w:r>
        <w:rPr>
          <w:rFonts w:ascii="Arial" w:cs="Arial" w:eastAsia="Arial" w:hAnsi="Arial"/>
          <w:sz w:val="18"/>
          <w:szCs w:val="18"/>
          <w:u w:val="single" w:color="auto"/>
          <w:color w:val="auto"/>
        </w:rPr>
        <w:t>Section 2.02(g)(ii)(G)(2)</w:t>
      </w:r>
      <w:r>
        <w:rPr>
          <w:rFonts w:ascii="Arial" w:cs="Arial" w:eastAsia="Arial" w:hAnsi="Arial"/>
          <w:sz w:val="18"/>
          <w:szCs w:val="18"/>
          <w:color w:val="auto"/>
        </w:rPr>
        <w:t xml:space="preserve"> has been satisfied (which certification shall include reasonably detailed calculations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 Facility, in form and substance satisfactory to the Administrative Agent;</w:t>
      </w:r>
    </w:p>
    <w:p>
      <w:pPr>
        <w:spacing w:after="0" w:line="169" w:lineRule="exact"/>
        <w:rPr>
          <w:rFonts w:ascii="Arial" w:cs="Arial" w:eastAsia="Arial" w:hAnsi="Arial"/>
          <w:sz w:val="18"/>
          <w:szCs w:val="18"/>
          <w:color w:val="auto"/>
        </w:rPr>
      </w:pPr>
    </w:p>
    <w:p>
      <w:pPr>
        <w:jc w:val="both"/>
        <w:ind w:left="1500" w:firstLine="640"/>
        <w:spacing w:after="0" w:line="257" w:lineRule="auto"/>
        <w:tabs>
          <w:tab w:leader="none" w:pos="279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(1) upon giving Pro Forma Effect to the incurrence of any such Incremental Term Facility, the Loan Parties would be in compliance with the financial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6.01(b)</w:t>
      </w:r>
      <w:r>
        <w:rPr>
          <w:rFonts w:ascii="Arial" w:cs="Arial" w:eastAsia="Arial" w:hAnsi="Arial"/>
          <w:sz w:val="19"/>
          <w:szCs w:val="19"/>
          <w:color w:val="auto"/>
        </w:rPr>
        <w:t>, and (2) to the extent such Incremental Term Facility is being incurred in reliance on the Leverage-Based Prong, after giving effect to such Incremental Term Facility, such Incremental Term Facility is permitted pursuant to the Leverage-Based Prong;</w:t>
      </w:r>
    </w:p>
    <w:p>
      <w:pPr>
        <w:spacing w:after="0" w:line="184" w:lineRule="exact"/>
        <w:rPr>
          <w:rFonts w:ascii="Arial" w:cs="Arial" w:eastAsia="Arial" w:hAnsi="Arial"/>
          <w:sz w:val="19"/>
          <w:szCs w:val="19"/>
          <w:color w:val="auto"/>
        </w:rPr>
      </w:pPr>
    </w:p>
    <w:p>
      <w:pPr>
        <w:jc w:val="both"/>
        <w:ind w:left="1500" w:firstLine="640"/>
        <w:spacing w:after="0" w:line="269" w:lineRule="auto"/>
        <w:tabs>
          <w:tab w:leader="none" w:pos="279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Incremental Term Facility Maturity Date for such Incremental Term Facility shall be as set forth in the Incremental Term Facility Agreement relating to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such date shall not be earlier than the then-Latest Maturity Date;</w:t>
      </w:r>
    </w:p>
    <w:p>
      <w:pPr>
        <w:spacing w:after="0" w:line="169" w:lineRule="exact"/>
        <w:rPr>
          <w:rFonts w:ascii="Arial" w:cs="Arial" w:eastAsia="Arial" w:hAnsi="Arial"/>
          <w:sz w:val="19"/>
          <w:szCs w:val="19"/>
          <w:color w:val="auto"/>
        </w:rPr>
      </w:pPr>
    </w:p>
    <w:p>
      <w:pPr>
        <w:jc w:val="both"/>
        <w:ind w:left="1500" w:firstLine="640"/>
        <w:spacing w:after="0" w:line="246" w:lineRule="auto"/>
        <w:tabs>
          <w:tab w:leader="none" w:pos="279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Weighted Average Life to Maturity of the Incremental Term Loans advanced under such Incremental Term Facility shall be no shorter than the then-remaining Weighted Average Life to Maturity of the Term A Loans or any other then-existing Incremental Term Loans under any other then-existing Incremental Term Facility;</w:t>
      </w:r>
    </w:p>
    <w:p>
      <w:pPr>
        <w:spacing w:after="0" w:line="191" w:lineRule="exact"/>
        <w:rPr>
          <w:rFonts w:ascii="Arial" w:cs="Arial" w:eastAsia="Arial" w:hAnsi="Arial"/>
          <w:sz w:val="20"/>
          <w:szCs w:val="20"/>
          <w:color w:val="auto"/>
        </w:rPr>
      </w:pPr>
    </w:p>
    <w:p>
      <w:pPr>
        <w:jc w:val="both"/>
        <w:ind w:left="1500" w:firstLine="640"/>
        <w:spacing w:after="0" w:line="246" w:lineRule="auto"/>
        <w:tabs>
          <w:tab w:leader="none" w:pos="279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2.02(g)(ii)(H)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(g)(ii)(I)</w:t>
      </w:r>
      <w:r>
        <w:rPr>
          <w:rFonts w:ascii="Arial" w:cs="Arial" w:eastAsia="Arial" w:hAnsi="Arial"/>
          <w:sz w:val="20"/>
          <w:szCs w:val="20"/>
          <w:color w:val="auto"/>
        </w:rPr>
        <w:t>, the amortization schedule applicable to the Incremental Term Loans advanced under such Incremental Term Facility shall be as determined by the Borrower and the Incremental Term Lenders for such Incremental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49" w:name="page250"/>
    <w:bookmarkEnd w:id="249"/>
    <w:p>
      <w:pPr>
        <w:jc w:val="both"/>
        <w:ind w:left="1960" w:firstLine="640"/>
        <w:spacing w:after="0" w:line="268" w:lineRule="auto"/>
        <w:tabs>
          <w:tab w:leader="none" w:pos="32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such Incremental Term Facility shall (1)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with the Obligations and in respect of the Collateral, and (2) except as permitted by </w:t>
      </w:r>
      <w:r>
        <w:rPr>
          <w:rFonts w:ascii="Arial" w:cs="Arial" w:eastAsia="Arial" w:hAnsi="Arial"/>
          <w:sz w:val="18"/>
          <w:szCs w:val="18"/>
          <w:u w:val="single" w:color="auto"/>
          <w:color w:val="auto"/>
        </w:rPr>
        <w:t>Sections 2.02(g)</w:t>
      </w:r>
      <w:r>
        <w:rPr>
          <w:rFonts w:ascii="Arial" w:cs="Arial" w:eastAsia="Arial" w:hAnsi="Arial"/>
          <w:sz w:val="18"/>
          <w:szCs w:val="18"/>
          <w:color w:val="auto"/>
        </w:rPr>
        <w:t xml:space="preserve"> </w:t>
      </w:r>
      <w:r>
        <w:rPr>
          <w:rFonts w:ascii="Arial" w:cs="Arial" w:eastAsia="Arial" w:hAnsi="Arial"/>
          <w:sz w:val="18"/>
          <w:szCs w:val="18"/>
          <w:u w:val="single" w:color="auto"/>
          <w:color w:val="auto"/>
        </w:rPr>
        <w:t>(ii)(H)</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(g)(ii)(J)</w:t>
      </w:r>
      <w:r>
        <w:rPr>
          <w:rFonts w:ascii="Arial" w:cs="Arial" w:eastAsia="Arial" w:hAnsi="Arial"/>
          <w:sz w:val="18"/>
          <w:szCs w:val="18"/>
          <w:color w:val="auto"/>
        </w:rPr>
        <w:t xml:space="preserve">, be on the same terms and pursuant to the same documentation applicable to the Term A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to the extent any of the terms of the Incremental Term Loans under such Incremental Term Facility are not substantially consistent with the terms of the Term A Facility, as applicable, such terms shall be reasonably satisfactory to the Administrative Agent (it being understood and agreed that the following shall be deemed to be satisfactory to the Administrative Agent: (x) covenants or other provisions applicable only to periods after the then-Latest Maturity Date; (y) to the extent required by any Incremental Term Lender for such 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 (z) to the extent required by any Incremental Term Lender for such Incremental Term Facility, customary call protection and mandatory prepayments, in each case, which may be applicable solely with respect to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mandatory prepayment required in connection with the establishment of such Incremental Term Facility, such mandatory prepayment shall apply ratably to the Term A Loans and any other then-existing Incremental Term Loans under any then-existing Incremental Term Facility);</w:t>
      </w:r>
    </w:p>
    <w:p>
      <w:pPr>
        <w:spacing w:after="0" w:line="185"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9"/>
          <w:szCs w:val="19"/>
          <w:color w:val="auto"/>
        </w:rPr>
        <w:t>This Agreement and the other Loan Documents shall be amended to give effect to any Incremental Facility pursuant to documentation executed by lenders providing such Incremental Facility, the Administrative Agent and the Loan Parties, without the consent of any other Person (including any existing Lender), including amendments (I) to reflect the existence and terms of such Incremental Facility, (II)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to share in any mandatory prepayment provided herein) and to include the lenders for such Incremental Facility in the definition of “Required Lenders” and the definition of “Required Revolving Lenders,” as applicable, (III) notwithstanding any other provisions of this Agreement or any other Loan Documents to the contrary, if applicable, to permit the loans under such Incremental Facility to be “fungible” (including for purposes of the Code) with any other then-existing Loans under this Agreement, and (IV) to effect such other amendments to the this Agreement and the other Loan Documents as may be necessary or appropriate, in the reasonable opinion of the Administrative Agent, to effect the provisions of any such Incremental Facility.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6" w:lineRule="auto"/>
        <w:tabs>
          <w:tab w:leader="none" w:pos="195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Subject to the terms and conditions set forth herein, in addition to the Loans provided for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Borrower may request that any L/C Issuer, in reliance on the agreements of the Revolving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issue, at any time and from time to time during the Availability Period, Letters of Credit denominated in Dollars for its own account or the account of any of its Subsidiaries in such form as is acceptable to the Administrative Agent and such L/C Issuer in its reasonable determination. Letters of Credit issued hereunder shall constitute utilization of the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50" w:name="page251"/>
    <w:bookmarkEnd w:id="250"/>
    <w:p>
      <w:pPr>
        <w:ind w:left="1500" w:hanging="656"/>
        <w:spacing w:after="0"/>
        <w:tabs>
          <w:tab w:leader="none" w:pos="1500"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Notice of Issuance, Amendment, Extension, Reinstatement or Renewal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68" w:lineRule="auto"/>
        <w:tabs>
          <w:tab w:leader="none" w:pos="213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applicable L/C Issuer) to the applicable L/C Issuer and to the Administrative Agent not later than 8:00 a.m. at least two (2)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Arial" w:cs="Arial" w:eastAsia="Arial" w:hAnsi="Arial"/>
          <w:sz w:val="18"/>
          <w:szCs w:val="18"/>
          <w:u w:val="single" w:color="auto"/>
          <w:color w:val="auto"/>
        </w:rPr>
        <w:t>Section 2.03(d)</w:t>
      </w:r>
      <w:r>
        <w:rPr>
          <w:rFonts w:ascii="Arial" w:cs="Arial" w:eastAsia="Arial" w:hAnsi="Arial"/>
          <w:sz w:val="18"/>
          <w:szCs w:val="18"/>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Borrower also shall submit a Letter of Credit Application and a reimbursement agreement on such L/C Issuer’s standard form in connection with any request for a Letter of Credit. In the event of any inconsistency between the terms and conditions of this Agreement and the terms and conditions of any Letter of Credit Application, any reimbursement agreement, any other Issuer Document or any other agreement submitted by the Borrower to, or entered into by the Borrower with, any L/C Issuer relating to any Letter of Credit, the terms and conditions of this Agreement shall control.</w:t>
      </w:r>
    </w:p>
    <w:p>
      <w:pPr>
        <w:spacing w:after="0" w:line="184" w:lineRule="exact"/>
        <w:rPr>
          <w:rFonts w:ascii="Arial" w:cs="Arial" w:eastAsia="Arial" w:hAnsi="Arial"/>
          <w:sz w:val="18"/>
          <w:szCs w:val="18"/>
          <w:color w:val="auto"/>
        </w:rPr>
      </w:pPr>
    </w:p>
    <w:p>
      <w:pPr>
        <w:jc w:val="both"/>
        <w:ind w:left="840" w:firstLine="652"/>
        <w:spacing w:after="0" w:line="268" w:lineRule="auto"/>
        <w:tabs>
          <w:tab w:leader="none" w:pos="213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(or the amendment of an outstanding Letter of Credit), the applicable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Auto-Extension Letter of Credit shall permit such L/C Issuer to prevent any such extension at least once in each twelve (12)-month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(12)-month period to be agreed upon by the Borrower and such L/C Issuer at the time such Letter of Credit is issued. Unless otherwise directed by the applicable L/C Issuer, the Borrower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expiration date not later than the date permitted pursuant to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L/C Issuer shall not (A) permit any such extension if (1) such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(or, in the case of any Existing JPMorgan Letter of Credit, on or before the day that is fifteen (15) days before the Non-Extension Notice Date) from the Administrative Agent that the Required Revolving Lenders have elected not to permit such extension, or (B) be obligated to permit such extension if it has received notice (which may be in writing or by telephone (if promptly confirmed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1" w:name="page252"/>
    <w:bookmarkEnd w:id="251"/>
    <w:p>
      <w:pPr>
        <w:jc w:val="both"/>
        <w:ind w:left="840"/>
        <w:spacing w:after="0" w:line="244" w:lineRule="auto"/>
        <w:rPr>
          <w:sz w:val="20"/>
          <w:szCs w:val="20"/>
          <w:color w:val="auto"/>
        </w:rPr>
      </w:pPr>
      <w:r>
        <w:rPr>
          <w:rFonts w:ascii="Arial" w:cs="Arial" w:eastAsia="Arial" w:hAnsi="Arial"/>
          <w:sz w:val="20"/>
          <w:szCs w:val="20"/>
          <w:color w:val="auto"/>
        </w:rPr>
        <w:t xml:space="preserve">writing)) on or before the day that is seven (7) Business Days before the Non-Extension Notice Date (or, in the case of any Existing JPMorgan Letter of Credit, on or before the day that is fifteen (15) days before the Non-Extension Notice Date) from the Administrative Agent, any Revolving Lender or the Borrower that one or more of the applicable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then satisfied, and in each such case directing such L/C Issuer not to permit such extension.</w:t>
      </w:r>
    </w:p>
    <w:p>
      <w:pPr>
        <w:spacing w:after="0" w:line="194" w:lineRule="exact"/>
        <w:rPr>
          <w:sz w:val="20"/>
          <w:szCs w:val="20"/>
          <w:color w:val="auto"/>
        </w:rPr>
      </w:pPr>
    </w:p>
    <w:p>
      <w:pPr>
        <w:ind w:left="1500" w:hanging="656"/>
        <w:spacing w:after="0"/>
        <w:tabs>
          <w:tab w:leader="none" w:pos="1500"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Limitations on Amounts, Issuance and Amendment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7" w:lineRule="auto"/>
        <w:tabs>
          <w:tab w:leader="none" w:pos="2136" w:val="left"/>
        </w:tabs>
        <w:numPr>
          <w:ilvl w:val="1"/>
          <w:numId w:val="196"/>
        </w:numPr>
        <w:rPr>
          <w:rFonts w:ascii="Arial" w:cs="Arial" w:eastAsia="Arial" w:hAnsi="Arial"/>
          <w:sz w:val="19"/>
          <w:szCs w:val="19"/>
          <w:color w:val="auto"/>
        </w:rPr>
      </w:pPr>
      <w:r>
        <w:rPr>
          <w:rFonts w:ascii="Arial" w:cs="Arial" w:eastAsia="Arial" w:hAnsi="Arial"/>
          <w:sz w:val="19"/>
          <w:szCs w:val="19"/>
          <w:color w:val="auto"/>
        </w:rPr>
        <w:t>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(A) the aggregate amount of the outstanding Letters of Credit issued by each L/C Issuer shall not exceed such L/C Issuer’s L/C Commitment, (B) the aggregate L/C Obligations shall not exceed the Letter of Credit Sublimit, (C) the Revolving Exposure of any Revolving Lender shall not exceed such Revolving Lender’s Revolving Commitment, and (D) the Total Revolving Credit Exposure shall not exceed the Revolving Facility.</w:t>
      </w:r>
    </w:p>
    <w:p>
      <w:pPr>
        <w:spacing w:after="0" w:line="180" w:lineRule="exact"/>
        <w:rPr>
          <w:rFonts w:ascii="Arial" w:cs="Arial" w:eastAsia="Arial" w:hAnsi="Arial"/>
          <w:sz w:val="19"/>
          <w:szCs w:val="19"/>
          <w:color w:val="auto"/>
        </w:rPr>
      </w:pPr>
    </w:p>
    <w:p>
      <w:pPr>
        <w:ind w:left="2140" w:hanging="648"/>
        <w:spacing w:after="0"/>
        <w:tabs>
          <w:tab w:leader="none" w:pos="21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215" w:lineRule="exact"/>
        <w:rPr>
          <w:rFonts w:ascii="Arial" w:cs="Arial" w:eastAsia="Arial" w:hAnsi="Arial"/>
          <w:sz w:val="20"/>
          <w:szCs w:val="20"/>
          <w:color w:val="auto"/>
        </w:rPr>
      </w:pPr>
    </w:p>
    <w:p>
      <w:pPr>
        <w:jc w:val="both"/>
        <w:ind w:left="1500" w:firstLine="640"/>
        <w:spacing w:after="0" w:line="255" w:lineRule="auto"/>
        <w:tabs>
          <w:tab w:leader="none" w:pos="2796" w:val="left"/>
        </w:tabs>
        <w:numPr>
          <w:ilvl w:val="2"/>
          <w:numId w:val="196"/>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9" w:lineRule="exact"/>
        <w:rPr>
          <w:rFonts w:ascii="Arial" w:cs="Arial" w:eastAsia="Arial" w:hAnsi="Arial"/>
          <w:sz w:val="19"/>
          <w:szCs w:val="19"/>
          <w:color w:val="auto"/>
        </w:rPr>
      </w:pPr>
    </w:p>
    <w:p>
      <w:pPr>
        <w:ind w:left="1500" w:firstLine="640"/>
        <w:spacing w:after="0" w:line="260" w:lineRule="auto"/>
        <w:tabs>
          <w:tab w:leader="none" w:pos="2796" w:val="left"/>
        </w:tabs>
        <w:numPr>
          <w:ilvl w:val="2"/>
          <w:numId w:val="196"/>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L/C Issuer applicable to letters of credit generally;</w:t>
      </w:r>
    </w:p>
    <w:p>
      <w:pPr>
        <w:spacing w:after="0" w:line="176"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2"/>
          <w:numId w:val="196"/>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 Issuer, such Letter of Credit is in an initial stated amount less than $100,000, in the case of a commercial Letter of Credit or $500,000, in the case of a standby Letter of Credit;</w:t>
      </w:r>
    </w:p>
    <w:p>
      <w:pPr>
        <w:spacing w:after="0" w:line="185" w:lineRule="exact"/>
        <w:rPr>
          <w:rFonts w:ascii="Arial" w:cs="Arial" w:eastAsia="Arial" w:hAnsi="Arial"/>
          <w:sz w:val="20"/>
          <w:szCs w:val="20"/>
          <w:color w:val="auto"/>
        </w:rPr>
      </w:pPr>
    </w:p>
    <w:p>
      <w:pPr>
        <w:ind w:left="2780" w:hanging="640"/>
        <w:spacing w:after="0"/>
        <w:tabs>
          <w:tab w:leader="none" w:pos="2780" w:val="left"/>
        </w:tabs>
        <w:numPr>
          <w:ilvl w:val="2"/>
          <w:numId w:val="196"/>
        </w:numPr>
        <w:rPr>
          <w:rFonts w:ascii="Arial" w:cs="Arial" w:eastAsia="Arial" w:hAnsi="Arial"/>
          <w:sz w:val="20"/>
          <w:szCs w:val="20"/>
          <w:color w:val="auto"/>
        </w:rPr>
      </w:pPr>
      <w:r>
        <w:rPr>
          <w:rFonts w:ascii="Arial" w:cs="Arial" w:eastAsia="Arial" w:hAnsi="Arial"/>
          <w:sz w:val="20"/>
          <w:szCs w:val="20"/>
          <w:color w:val="auto"/>
        </w:rPr>
        <w:t>such Letter of Credit is to be denominated in a currency other than Dollars;</w:t>
      </w:r>
    </w:p>
    <w:p>
      <w:pPr>
        <w:spacing w:after="0" w:line="215" w:lineRule="exact"/>
        <w:rPr>
          <w:rFonts w:ascii="Arial" w:cs="Arial" w:eastAsia="Arial" w:hAnsi="Arial"/>
          <w:sz w:val="20"/>
          <w:szCs w:val="20"/>
          <w:color w:val="auto"/>
        </w:rPr>
      </w:pPr>
    </w:p>
    <w:p>
      <w:pPr>
        <w:jc w:val="both"/>
        <w:ind w:left="1500" w:firstLine="640"/>
        <w:spacing w:after="0" w:line="244" w:lineRule="auto"/>
        <w:tabs>
          <w:tab w:leader="none" w:pos="2796" w:val="left"/>
        </w:tabs>
        <w:numPr>
          <w:ilvl w:val="2"/>
          <w:numId w:val="196"/>
        </w:numPr>
        <w:rPr>
          <w:rFonts w:ascii="Arial" w:cs="Arial" w:eastAsia="Arial" w:hAnsi="Arial"/>
          <w:sz w:val="20"/>
          <w:szCs w:val="20"/>
          <w:color w:val="auto"/>
        </w:rPr>
      </w:pPr>
      <w:r>
        <w:rPr>
          <w:rFonts w:ascii="Arial" w:cs="Arial" w:eastAsia="Arial" w:hAnsi="Arial"/>
          <w:sz w:val="20"/>
          <w:szCs w:val="20"/>
          <w:color w:val="auto"/>
        </w:rPr>
        <w:t xml:space="preserve">any Revolving Lender is at that time a Defaulting Lender, unless such L/C Issuer has entered into arrangements, including the delivery of Cash Collateral, satisfactory to such L/C Issuer (in its sole discretion) with the Borrower or such Revolving Lender to eliminate such L/C Issuer’s actual or potential Fronting Exposure (after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2" w:name="page253"/>
    <w:bookmarkEnd w:id="252"/>
    <w:p>
      <w:pPr>
        <w:jc w:val="both"/>
        <w:ind w:left="1500"/>
        <w:spacing w:after="0" w:line="250" w:lineRule="auto"/>
        <w:rPr>
          <w:sz w:val="20"/>
          <w:szCs w:val="20"/>
          <w:color w:val="auto"/>
        </w:rPr>
      </w:pPr>
      <w:r>
        <w:rPr>
          <w:rFonts w:ascii="Arial" w:cs="Arial" w:eastAsia="Arial" w:hAnsi="Arial"/>
          <w:sz w:val="20"/>
          <w:szCs w:val="20"/>
          <w:color w:val="auto"/>
        </w:rPr>
        <w:t>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186" w:lineRule="exact"/>
        <w:rPr>
          <w:sz w:val="20"/>
          <w:szCs w:val="20"/>
          <w:color w:val="auto"/>
        </w:rPr>
      </w:pPr>
    </w:p>
    <w:p>
      <w:pPr>
        <w:ind w:left="1500" w:firstLine="640"/>
        <w:spacing w:after="0" w:line="260" w:lineRule="auto"/>
        <w:tabs>
          <w:tab w:leader="none" w:pos="2796" w:val="left"/>
        </w:tabs>
        <w:numPr>
          <w:ilvl w:val="3"/>
          <w:numId w:val="197"/>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w:t>
      </w:r>
    </w:p>
    <w:p>
      <w:pPr>
        <w:spacing w:after="0" w:line="176"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2"/>
          <w:numId w:val="198"/>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the Letter of Credit.</w:t>
      </w:r>
    </w:p>
    <w:p>
      <w:pPr>
        <w:spacing w:after="0" w:line="191" w:lineRule="exact"/>
        <w:rPr>
          <w:rFonts w:ascii="Arial" w:cs="Arial" w:eastAsia="Arial" w:hAnsi="Arial"/>
          <w:sz w:val="20"/>
          <w:szCs w:val="20"/>
          <w:color w:val="auto"/>
        </w:rPr>
      </w:pPr>
    </w:p>
    <w:p>
      <w:pPr>
        <w:ind w:left="1500" w:hanging="656"/>
        <w:spacing w:after="0"/>
        <w:tabs>
          <w:tab w:leader="none" w:pos="150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have a stated expiration date no later than the earlier of:</w:t>
      </w:r>
    </w:p>
    <w:p>
      <w:pPr>
        <w:spacing w:after="0" w:line="38" w:lineRule="exact"/>
        <w:rPr>
          <w:rFonts w:ascii="Arial" w:cs="Arial" w:eastAsia="Arial" w:hAnsi="Arial"/>
          <w:sz w:val="18"/>
          <w:szCs w:val="18"/>
          <w:color w:val="auto"/>
        </w:rPr>
      </w:pPr>
    </w:p>
    <w:p>
      <w:pPr>
        <w:jc w:val="both"/>
        <w:ind w:left="200" w:hanging="4"/>
        <w:spacing w:after="0" w:line="254" w:lineRule="auto"/>
        <w:tabs>
          <w:tab w:leader="none" w:pos="43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the date twelve (12) months after the date of the issuance of such Letter of Credit (or, in the case of any extension of the expiration date thereof, whether automatic or by amendment, twelve (12) months after the then current expiration date of such Letter of Credit); and (ii)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it is understood and agreed that (A) any Existing Letter of Credit may have a stated expiration date later than twelve (12) months after the issuance thereof, so long as the stated expiration date is not later than the Letter of Credit Expiration Date, and (B) to the extent agreed by the applicable L/C Issuer in its sole discretion, the foregoing provisions of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shall not apply to any Letter of Credit that has otherwise been Cash Collateralized or backstopped, in each case on terms satisfactory to such L/C Issuer.</w:t>
      </w:r>
    </w:p>
    <w:p>
      <w:pPr>
        <w:spacing w:after="0" w:line="186" w:lineRule="exact"/>
        <w:rPr>
          <w:rFonts w:ascii="Arial" w:cs="Arial" w:eastAsia="Arial" w:hAnsi="Arial"/>
          <w:sz w:val="19"/>
          <w:szCs w:val="19"/>
          <w:color w:val="auto"/>
        </w:rPr>
      </w:pPr>
    </w:p>
    <w:p>
      <w:pPr>
        <w:ind w:left="1500" w:hanging="656"/>
        <w:spacing w:after="0"/>
        <w:tabs>
          <w:tab w:leader="none" w:pos="1500"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4" w:lineRule="auto"/>
        <w:tabs>
          <w:tab w:leader="none" w:pos="2136" w:val="left"/>
        </w:tabs>
        <w:numPr>
          <w:ilvl w:val="2"/>
          <w:numId w:val="200"/>
        </w:numPr>
        <w:rPr>
          <w:rFonts w:ascii="Arial" w:cs="Arial" w:eastAsia="Arial" w:hAnsi="Arial"/>
          <w:sz w:val="19"/>
          <w:szCs w:val="19"/>
          <w:color w:val="auto"/>
        </w:rPr>
      </w:pPr>
      <w:r>
        <w:rPr>
          <w:rFonts w:ascii="Arial" w:cs="Arial" w:eastAsia="Arial" w:hAnsi="Arial"/>
          <w:sz w:val="19"/>
          <w:szCs w:val="19"/>
          <w:color w:val="auto"/>
        </w:rPr>
        <w:t xml:space="preserve">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Revolving Lender’s Applicable Revolving Percentage of the aggregate amount available to be drawn under such Letter of Credit. Each Revolving Lender acknowledges and agrees that its obligation to acquire participations pursuant to this </w:t>
      </w:r>
      <w:r>
        <w:rPr>
          <w:rFonts w:ascii="Arial" w:cs="Arial" w:eastAsia="Arial" w:hAnsi="Arial"/>
          <w:sz w:val="19"/>
          <w:szCs w:val="19"/>
          <w:u w:val="single" w:color="auto"/>
          <w:color w:val="auto"/>
        </w:rPr>
        <w:t>Section 2.03(e)(i)</w:t>
      </w:r>
      <w:r>
        <w:rPr>
          <w:rFonts w:ascii="Arial" w:cs="Arial" w:eastAsia="Arial" w:hAnsi="Arial"/>
          <w:sz w:val="19"/>
          <w:szCs w:val="19"/>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Facility. Each Revolving Lender further acknowledges and agrees that its participation in each Letter of Credit will be automatically adjusted to reflect such Revolving Lender’s Applicable Revolving Percentage of the aggregate amount available to be drawn under such Letter of Credit at each time such Revolving Lender’s Revolving Commitment is amended pursuant to the provisions of this Agreement.</w:t>
      </w:r>
    </w:p>
    <w:p>
      <w:pPr>
        <w:spacing w:after="0" w:line="192" w:lineRule="exact"/>
        <w:rPr>
          <w:sz w:val="20"/>
          <w:szCs w:val="20"/>
          <w:color w:val="auto"/>
        </w:rPr>
      </w:pPr>
    </w:p>
    <w:p>
      <w:pPr>
        <w:jc w:val="both"/>
        <w:ind w:left="840" w:firstLine="652"/>
        <w:spacing w:after="0" w:line="274" w:lineRule="auto"/>
        <w:tabs>
          <w:tab w:leader="none" w:pos="21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consideration and in furtherance of the foregoing, upon receipt of any Non-Reimbursement Notice, each Revolving Lender hereby absolutely, unconditionally and irrevocably agrees to pay to the Administrative Agent, for account of the applicable L/C Issuer, such Revolving Lender’s Applicable Revolving Percentage of each L/C Disbursement made by such L/C Issuer not later than 10:00 a.m. on the Business Day specified in such Non-Reimbursement Notice, until such L/C Disbursement is reimbursed by the Borrower or at any time after any reimbursement payment is required to be refunded to the Borrower for any reason, including after the Revolving Facility Maturity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3" w:name="page254"/>
    <w:bookmarkEnd w:id="253"/>
    <w:p>
      <w:pPr>
        <w:jc w:val="both"/>
        <w:ind w:left="840"/>
        <w:spacing w:after="0" w:line="255" w:lineRule="auto"/>
        <w:rPr>
          <w:sz w:val="20"/>
          <w:szCs w:val="20"/>
          <w:color w:val="auto"/>
        </w:rPr>
      </w:pPr>
      <w:r>
        <w:rPr>
          <w:rFonts w:ascii="Arial" w:cs="Arial" w:eastAsia="Arial" w:hAnsi="Arial"/>
          <w:sz w:val="19"/>
          <w:szCs w:val="19"/>
          <w:color w:val="auto"/>
        </w:rPr>
        <w:t xml:space="preserve">payment shall be made without any offset, abatement, withholding or reduction whatsoever and shall otherwise be made in the same manner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 respect to Revolving Loans made by such Lender (and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Revolving Lenders pursuant to this </w:t>
      </w:r>
      <w:r>
        <w:rPr>
          <w:rFonts w:ascii="Arial" w:cs="Arial" w:eastAsia="Arial" w:hAnsi="Arial"/>
          <w:sz w:val="19"/>
          <w:szCs w:val="19"/>
          <w:u w:val="single" w:color="auto"/>
          <w:color w:val="auto"/>
        </w:rPr>
        <w:t>Section 2.03(e)(ii)</w:t>
      </w:r>
      <w:r>
        <w:rPr>
          <w:rFonts w:ascii="Arial" w:cs="Arial" w:eastAsia="Arial" w:hAnsi="Arial"/>
          <w:sz w:val="19"/>
          <w:szCs w:val="19"/>
          <w:color w:val="auto"/>
        </w:rPr>
        <w:t xml:space="preserve">). The Administrative Agent shall promptly pay to the applicable L/C Issuer the amounts so received by it from the Revolving Lenders. Promptly following receipt by the Administrative Agent of any payment from the Borrower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the Administrative Agent shall distribute such payment to the applicable L/C Issuer or, to the extent that the Revolving Lenders have made payments pursuant to this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to reimburse such L/C Issuer, then to such Revolving Lenders and such L/C Issuer as their interests may appear. Any payment made by a Revolving Lender pursuant to this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to reimburse an L/C Issuer for any L/C Disbursement (other than, for the avoidance of doubt, any Revolving Loan made by a Revolving Lender pursuant to the first proviso set forth in </w:t>
      </w:r>
      <w:r>
        <w:rPr>
          <w:rFonts w:ascii="Arial" w:cs="Arial" w:eastAsia="Arial" w:hAnsi="Arial"/>
          <w:sz w:val="19"/>
          <w:szCs w:val="19"/>
          <w:u w:val="single" w:color="auto"/>
          <w:color w:val="auto"/>
        </w:rPr>
        <w:t>Section 2.03(f)</w:t>
      </w:r>
      <w:r>
        <w:rPr>
          <w:rFonts w:ascii="Arial" w:cs="Arial" w:eastAsia="Arial" w:hAnsi="Arial"/>
          <w:sz w:val="19"/>
          <w:szCs w:val="19"/>
          <w:color w:val="auto"/>
        </w:rPr>
        <w:t>) shall not constitute a Loan and shall not relieve the Borrower of its obligation to reimburse such L/C Disbursement.</w:t>
      </w:r>
    </w:p>
    <w:p>
      <w:pPr>
        <w:spacing w:after="0" w:line="182" w:lineRule="exact"/>
        <w:rPr>
          <w:sz w:val="20"/>
          <w:szCs w:val="20"/>
          <w:color w:val="auto"/>
        </w:rPr>
      </w:pPr>
    </w:p>
    <w:p>
      <w:pPr>
        <w:jc w:val="both"/>
        <w:ind w:left="840" w:firstLine="652"/>
        <w:spacing w:after="0" w:line="255" w:lineRule="auto"/>
        <w:tabs>
          <w:tab w:leader="none" w:pos="2136"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Administrative Agent for the account of an L/C Issuer any amount required to be paid by such Revolving Lender pursuant to the foregoing provisions of </w:t>
      </w:r>
      <w:r>
        <w:rPr>
          <w:rFonts w:ascii="Arial" w:cs="Arial" w:eastAsia="Arial" w:hAnsi="Arial"/>
          <w:sz w:val="19"/>
          <w:szCs w:val="19"/>
          <w:u w:val="single" w:color="auto"/>
          <w:color w:val="auto"/>
        </w:rPr>
        <w:t>Section 2.03(e)(ii)</w:t>
      </w:r>
      <w:r>
        <w:rPr>
          <w:rFonts w:ascii="Arial" w:cs="Arial" w:eastAsia="Arial" w:hAnsi="Arial"/>
          <w:sz w:val="19"/>
          <w:szCs w:val="19"/>
          <w:color w:val="auto"/>
        </w:rPr>
        <w:t xml:space="preserve">, then, without limiting the other provisions of this Agreement, such L/C Issuer shall be entitled to recover from such Revolving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such L/C Issuer in connection with the foregoing. A certificate of an L/C Issuer submitted to any Revolving Lender (through the Administrative Agent) with respect to any amounts owing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2.03(e)(iii)</w:t>
      </w:r>
      <w:r>
        <w:rPr>
          <w:rFonts w:ascii="Arial" w:cs="Arial" w:eastAsia="Arial" w:hAnsi="Arial"/>
          <w:sz w:val="19"/>
          <w:szCs w:val="19"/>
          <w:color w:val="auto"/>
        </w:rPr>
        <w:t xml:space="preserve"> shall be conclusive absent manifest error.</w:t>
      </w:r>
    </w:p>
    <w:p>
      <w:pPr>
        <w:spacing w:after="0" w:line="186" w:lineRule="exact"/>
        <w:rPr>
          <w:rFonts w:ascii="Arial" w:cs="Arial" w:eastAsia="Arial" w:hAnsi="Arial"/>
          <w:sz w:val="19"/>
          <w:szCs w:val="19"/>
          <w:color w:val="auto"/>
        </w:rPr>
      </w:pPr>
    </w:p>
    <w:p>
      <w:pPr>
        <w:jc w:val="both"/>
        <w:ind w:left="200" w:firstLine="644"/>
        <w:spacing w:after="0" w:line="269" w:lineRule="auto"/>
        <w:tabs>
          <w:tab w:leader="none" w:pos="149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any L/C Issuer shall make any L/C Disbursement in respect of a Letter of Credit, the Borrower shall reimburse such L/C Issuer in respect of such L/C Disbursement by paying to the Administrative Agent an amount equal to such L/C Disbursement not later than 11:00 a.m. on (i) the Business Day that the Borrower receives notice of such L/C Disbursement, if such notice is received prior to 9:00 a.m., or (ii) the Business Day immediately following the day that the Borrower receives such notice, if such notice is not received prior to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may, subject to the conditions to borrowing set forth herein (other than the minimums and multiples required for Base Rate Loans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request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that such payment be financed with a Revolving Borrowing of Base Rate Loans in an equivalent amount and, to the extent so financed, the Borrower’s obligation to make such payment shall be discharged and replaced by the resulting Revolving Borrowing of Base Rate Loans. If the Borrower fails to make such payment when due, the Administrative Agent shall notify each Revolving Lender of the applicable L/C Disbursement, the payment then due from the Borrower in respect thereof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such Revolving Lender’s Applicable Revolving Percentage thereof (each such notice, a “</w:t>
      </w:r>
      <w:r>
        <w:rPr>
          <w:rFonts w:ascii="Arial" w:cs="Arial" w:eastAsia="Arial" w:hAnsi="Arial"/>
          <w:sz w:val="18"/>
          <w:szCs w:val="18"/>
          <w:u w:val="single" w:color="auto"/>
          <w:color w:val="auto"/>
        </w:rPr>
        <w:t>Non-Reimbursement Notice</w:t>
      </w:r>
      <w:r>
        <w:rPr>
          <w:rFonts w:ascii="Arial" w:cs="Arial" w:eastAsia="Arial" w:hAnsi="Arial"/>
          <w:sz w:val="18"/>
          <w:szCs w:val="18"/>
          <w:color w:val="auto"/>
        </w:rPr>
        <w:t xml:space="preserve">”). Promptly upon receipt of any Non-Reimbursement Notice, each Revolving Lender shall pay to the Administrative Agent its Applicable Revolving Percentage of the Unreimbursed Amount pursuant to </w:t>
      </w:r>
      <w:r>
        <w:rPr>
          <w:rFonts w:ascii="Arial" w:cs="Arial" w:eastAsia="Arial" w:hAnsi="Arial"/>
          <w:sz w:val="18"/>
          <w:szCs w:val="18"/>
          <w:u w:val="single" w:color="auto"/>
          <w:color w:val="auto"/>
        </w:rPr>
        <w:t>Section 2.03(e)(ii)</w:t>
      </w:r>
      <w:r>
        <w:rPr>
          <w:rFonts w:ascii="Arial" w:cs="Arial" w:eastAsia="Arial" w:hAnsi="Arial"/>
          <w:sz w:val="18"/>
          <w:szCs w:val="18"/>
          <w:color w:val="auto"/>
        </w:rPr>
        <w:t xml:space="preserve">, subject to the amount of the unutilized portion of the Revolving Facility. Any notice given by an L/C Issuer or the Administrative Agent pursuant to this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may be given by telephone if promptly confirmed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4" w:name="page255"/>
    <w:bookmarkEnd w:id="254"/>
    <w:p>
      <w:pPr>
        <w:ind w:left="20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lack of such a prompt confirmation shall not affect the conclusiveness or binding effect of such notice.</w:t>
      </w:r>
    </w:p>
    <w:p>
      <w:pPr>
        <w:spacing w:after="0" w:line="177" w:lineRule="exact"/>
        <w:rPr>
          <w:sz w:val="20"/>
          <w:szCs w:val="20"/>
          <w:color w:val="auto"/>
        </w:rPr>
      </w:pPr>
    </w:p>
    <w:p>
      <w:pPr>
        <w:jc w:val="both"/>
        <w:ind w:left="200" w:firstLine="644"/>
        <w:spacing w:after="0" w:line="269" w:lineRule="auto"/>
        <w:tabs>
          <w:tab w:leader="none" w:pos="1496"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shall be absolute, unconditional and irrevocable, and shall be performed strictly in accordance with the terms of this Agreement under any and all circumstances whatsoever and irrespective of:</w:t>
      </w:r>
    </w:p>
    <w:p>
      <w:pPr>
        <w:spacing w:after="0" w:line="169" w:lineRule="exact"/>
        <w:rPr>
          <w:rFonts w:ascii="Arial" w:cs="Arial" w:eastAsia="Arial" w:hAnsi="Arial"/>
          <w:sz w:val="19"/>
          <w:szCs w:val="19"/>
          <w:color w:val="auto"/>
        </w:rPr>
      </w:pPr>
    </w:p>
    <w:p>
      <w:pPr>
        <w:ind w:left="840" w:right="20" w:firstLine="652"/>
        <w:spacing w:after="0" w:line="260" w:lineRule="auto"/>
        <w:tabs>
          <w:tab w:leader="none" w:pos="213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any other Loan Document or any Letter of Credit, or any term or provision herein or therein;</w:t>
      </w:r>
    </w:p>
    <w:p>
      <w:pPr>
        <w:spacing w:after="0" w:line="176" w:lineRule="exact"/>
        <w:rPr>
          <w:rFonts w:ascii="Arial" w:cs="Arial" w:eastAsia="Arial" w:hAnsi="Arial"/>
          <w:sz w:val="20"/>
          <w:szCs w:val="20"/>
          <w:color w:val="auto"/>
        </w:rPr>
      </w:pPr>
    </w:p>
    <w:p>
      <w:pPr>
        <w:jc w:val="both"/>
        <w:ind w:left="840" w:right="20" w:firstLine="652"/>
        <w:spacing w:after="0" w:line="278" w:lineRule="auto"/>
        <w:tabs>
          <w:tab w:leader="none" w:pos="213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64" w:lineRule="exact"/>
        <w:rPr>
          <w:rFonts w:ascii="Arial" w:cs="Arial" w:eastAsia="Arial" w:hAnsi="Arial"/>
          <w:sz w:val="18"/>
          <w:szCs w:val="18"/>
          <w:color w:val="auto"/>
        </w:rPr>
      </w:pPr>
    </w:p>
    <w:p>
      <w:pPr>
        <w:jc w:val="both"/>
        <w:ind w:left="840" w:firstLine="652"/>
        <w:spacing w:after="0" w:line="263" w:lineRule="auto"/>
        <w:tabs>
          <w:tab w:leader="none" w:pos="2136"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76"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waiver by the applicable L/C Issuer of any requirement that exists for such L/C Issuer’s protection and not the protection of the Borrower or any waiver by the applicable L/C Issuer which does not in fact materially prejudice the Borrower;</w:t>
      </w:r>
    </w:p>
    <w:p>
      <w:pPr>
        <w:spacing w:after="0" w:line="185" w:lineRule="exact"/>
        <w:rPr>
          <w:rFonts w:ascii="Arial" w:cs="Arial" w:eastAsia="Arial" w:hAnsi="Arial"/>
          <w:sz w:val="20"/>
          <w:szCs w:val="20"/>
          <w:color w:val="auto"/>
        </w:rPr>
      </w:pPr>
    </w:p>
    <w:p>
      <w:pPr>
        <w:ind w:left="840" w:firstLine="652"/>
        <w:spacing w:after="0" w:line="260" w:lineRule="auto"/>
        <w:tabs>
          <w:tab w:leader="none" w:pos="213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91" w:lineRule="exact"/>
        <w:rPr>
          <w:rFonts w:ascii="Arial" w:cs="Arial" w:eastAsia="Arial" w:hAnsi="Arial"/>
          <w:sz w:val="20"/>
          <w:szCs w:val="20"/>
          <w:color w:val="auto"/>
        </w:rPr>
      </w:pPr>
    </w:p>
    <w:p>
      <w:pPr>
        <w:jc w:val="both"/>
        <w:ind w:left="840" w:firstLine="652"/>
        <w:spacing w:after="0" w:line="259" w:lineRule="auto"/>
        <w:tabs>
          <w:tab w:leader="none" w:pos="213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payment by the appliable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8"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any other event or circumstance, whether or not similar to any of the foregoing, that might, but for the provisions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constitute a legal or equitable discharge of, or provide a right of setoff against, the Borrower’s obligations hereunder.</w:t>
      </w:r>
    </w:p>
    <w:p>
      <w:pPr>
        <w:spacing w:after="0" w:line="185" w:lineRule="exact"/>
        <w:rPr>
          <w:rFonts w:ascii="Arial" w:cs="Arial" w:eastAsia="Arial" w:hAnsi="Arial"/>
          <w:sz w:val="20"/>
          <w:szCs w:val="20"/>
          <w:color w:val="auto"/>
        </w:rPr>
      </w:pPr>
    </w:p>
    <w:p>
      <w:pPr>
        <w:ind w:left="200" w:firstLine="644"/>
        <w:spacing w:after="0" w:line="260" w:lineRule="auto"/>
        <w:tabs>
          <w:tab w:leader="none" w:pos="1496"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Examination</w:t>
      </w:r>
      <w:r>
        <w:rPr>
          <w:rFonts w:ascii="Arial" w:cs="Arial" w:eastAsia="Arial" w:hAnsi="Arial"/>
          <w:sz w:val="20"/>
          <w:szCs w:val="20"/>
          <w:color w:val="auto"/>
        </w:rPr>
        <w:t>. The Borrower shall promptly examine a copy of each Letter of Credit and each amendment thereto that is delivered to it and, in the event of any claim of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5" w:name="page256"/>
    <w:bookmarkEnd w:id="255"/>
    <w:p>
      <w:pPr>
        <w:jc w:val="both"/>
        <w:ind w:left="200"/>
        <w:spacing w:after="0" w:line="250" w:lineRule="auto"/>
        <w:rPr>
          <w:sz w:val="20"/>
          <w:szCs w:val="20"/>
          <w:color w:val="auto"/>
        </w:rPr>
      </w:pPr>
      <w:r>
        <w:rPr>
          <w:rFonts w:ascii="Arial" w:cs="Arial" w:eastAsia="Arial" w:hAnsi="Arial"/>
          <w:sz w:val="20"/>
          <w:szCs w:val="20"/>
          <w:color w:val="auto"/>
        </w:rPr>
        <w:t>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w:t>
      </w:r>
    </w:p>
    <w:p>
      <w:pPr>
        <w:spacing w:after="0" w:line="186" w:lineRule="exact"/>
        <w:rPr>
          <w:sz w:val="20"/>
          <w:szCs w:val="20"/>
          <w:color w:val="auto"/>
        </w:rPr>
      </w:pPr>
    </w:p>
    <w:p>
      <w:pPr>
        <w:jc w:val="both"/>
        <w:ind w:left="200" w:firstLine="644"/>
        <w:spacing w:after="0" w:line="269" w:lineRule="auto"/>
        <w:tabs>
          <w:tab w:leader="none" w:pos="149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None of the Administrative Agent, any Lender, any L/C Issuer, or any of their respective Related Parties shall have any liability or responsibility by reason of or in connection with the issuance or transfer of any Letter of Credit by any L/C Issuer or any payment or failure to make any payment thereunder (irrespective of any of the circumstances referred to in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shall not be construed to excuse an L/C Issuer from liability to the Borrower to the extent of any direct damages (as opposed to consequential damages, claims in respect of which are hereby waived by the Borrower to the extent permitted by applicable Law) suffered by the Borrower that are (x) caused by such L/C Issuer’s failure to exercise care when determining whether drafts and other documents presented under a Letter of Credit comply with the terms thereof, or (y) determined by a court of competent jurisdiction by final and nonappealable judgment to have resulted from the gross negligence, willful misconduct or bad faith of such L/C Issuer. The parties hereto expressly agree that, in the absence of gross negligence, willful misconduct or bad faith on the part of an L/C Issuer (as finally determined by a court of competent jurisdiction), such L/C Issuer shall be deemed to have exercised care in each such determination, and that:</w:t>
      </w:r>
    </w:p>
    <w:p>
      <w:pPr>
        <w:spacing w:after="0" w:line="176" w:lineRule="exact"/>
        <w:rPr>
          <w:rFonts w:ascii="Arial" w:cs="Arial" w:eastAsia="Arial" w:hAnsi="Arial"/>
          <w:sz w:val="18"/>
          <w:szCs w:val="18"/>
          <w:color w:val="auto"/>
        </w:rPr>
      </w:pPr>
    </w:p>
    <w:p>
      <w:pPr>
        <w:jc w:val="both"/>
        <w:ind w:left="840" w:firstLine="652"/>
        <w:spacing w:after="0" w:line="250" w:lineRule="auto"/>
        <w:tabs>
          <w:tab w:leader="none" w:pos="213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such L/C Issuer may replace a purportedly lost, stolen, or destroyed original Letter of Credit or missing amendment thereto with a certified true copy marked as such or waive a requirement for its presentation;</w:t>
      </w:r>
    </w:p>
    <w:p>
      <w:pPr>
        <w:spacing w:after="0" w:line="185" w:lineRule="exact"/>
        <w:rPr>
          <w:rFonts w:ascii="Arial" w:cs="Arial" w:eastAsia="Arial" w:hAnsi="Arial"/>
          <w:sz w:val="20"/>
          <w:szCs w:val="20"/>
          <w:color w:val="auto"/>
        </w:rPr>
      </w:pPr>
    </w:p>
    <w:p>
      <w:pPr>
        <w:jc w:val="both"/>
        <w:ind w:left="840" w:firstLine="652"/>
        <w:spacing w:after="0" w:line="260" w:lineRule="auto"/>
        <w:tabs>
          <w:tab w:leader="none" w:pos="2136" w:val="left"/>
        </w:tabs>
        <w:numPr>
          <w:ilvl w:val="1"/>
          <w:numId w:val="205"/>
        </w:numPr>
        <w:rPr>
          <w:rFonts w:ascii="Arial" w:cs="Arial" w:eastAsia="Arial" w:hAnsi="Arial"/>
          <w:sz w:val="19"/>
          <w:szCs w:val="19"/>
          <w:color w:val="auto"/>
        </w:rPr>
      </w:pPr>
      <w:r>
        <w:rPr>
          <w:rFonts w:ascii="Arial" w:cs="Arial" w:eastAsia="Arial" w:hAnsi="Arial"/>
          <w:sz w:val="19"/>
          <w:szCs w:val="19"/>
          <w:color w:val="auto"/>
        </w:rPr>
        <w:t>such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0"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such L/C Issuer shall have the right, in its sole discretion, to decline to accept such documents and to make such payment if such documents are not in strict compliance with the terms of such Letter of Credit; and</w:t>
      </w:r>
    </w:p>
    <w:p>
      <w:pPr>
        <w:spacing w:after="0" w:line="185"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this sentence shall establish the standard of care to be exercised by such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91" w:lineRule="exact"/>
        <w:rPr>
          <w:sz w:val="20"/>
          <w:szCs w:val="20"/>
          <w:color w:val="auto"/>
        </w:rPr>
      </w:pPr>
    </w:p>
    <w:p>
      <w:pPr>
        <w:jc w:val="both"/>
        <w:ind w:left="200" w:firstLine="648"/>
        <w:spacing w:after="0" w:line="276" w:lineRule="auto"/>
        <w:rPr>
          <w:sz w:val="20"/>
          <w:szCs w:val="20"/>
          <w:color w:val="auto"/>
        </w:rPr>
      </w:pPr>
      <w:r>
        <w:rPr>
          <w:rFonts w:ascii="Arial" w:cs="Arial" w:eastAsia="Arial" w:hAnsi="Arial"/>
          <w:sz w:val="18"/>
          <w:szCs w:val="18"/>
          <w:color w:val="auto"/>
        </w:rPr>
        <w:t>Without limiting the foregoing, none of the Administrative Agent, any Lender, any L/C Issuer, or any of their respective Related Parties shall have any liability or responsibility by reason of (A) any presentation that includes forged or fraudulent documents or that is otherwise affected by the fraudulent, bad faith, or illegal conduct of the beneficiary or other Person, (B) such L/C Issuer declining to take-up documents and make payment, (C) against documents that are fraudulent, forged, or for other reasons by which that it is entitled not to honor, (D) following the Borrower’s waiver of discrepancies with respect to such documents or request for honor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6" w:name="page257"/>
    <w:bookmarkEnd w:id="256"/>
    <w:p>
      <w:pPr>
        <w:ind w:left="200"/>
        <w:spacing w:after="0" w:line="260" w:lineRule="auto"/>
        <w:rPr>
          <w:sz w:val="20"/>
          <w:szCs w:val="20"/>
          <w:color w:val="auto"/>
        </w:rPr>
      </w:pPr>
      <w:r>
        <w:rPr>
          <w:rFonts w:ascii="Arial" w:cs="Arial" w:eastAsia="Arial" w:hAnsi="Arial"/>
          <w:sz w:val="20"/>
          <w:szCs w:val="20"/>
          <w:color w:val="auto"/>
        </w:rPr>
        <w:t>documents, or (E) such L/C Issuer retaining proceeds of a Letter of Credit based on an apparently applicable attachment order, blocking regulation, or third-party claim notified to such L/C Issuer.</w:t>
      </w:r>
    </w:p>
    <w:p>
      <w:pPr>
        <w:spacing w:after="0" w:line="177" w:lineRule="exact"/>
        <w:rPr>
          <w:sz w:val="20"/>
          <w:szCs w:val="20"/>
          <w:color w:val="auto"/>
        </w:rPr>
      </w:pPr>
    </w:p>
    <w:p>
      <w:pPr>
        <w:jc w:val="both"/>
        <w:ind w:left="200" w:firstLine="644"/>
        <w:spacing w:after="0" w:line="271" w:lineRule="auto"/>
        <w:tabs>
          <w:tab w:leader="none" w:pos="149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applicable L/C Issuer and the Borrower when a Letter of Credit is issued by it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Borrower for, and each L/C Issuer’s rights and remedies against the Borrower shall not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the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9"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Each L/C Issuer shall act on behalf of the Lenders with respect to any Letters of Credit issued by it and the documents associated therewith, and each L/C Issuer shall have all of the benefits and immunities (i)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L/C Issuer with respect to such acts or omissions, and (ii) as additionally provided herein with respect to such L/C Issuer.</w:t>
      </w:r>
    </w:p>
    <w:p>
      <w:pPr>
        <w:spacing w:after="0" w:line="192" w:lineRule="exact"/>
        <w:rPr>
          <w:rFonts w:ascii="Arial" w:cs="Arial" w:eastAsia="Arial" w:hAnsi="Arial"/>
          <w:sz w:val="20"/>
          <w:szCs w:val="20"/>
          <w:color w:val="auto"/>
        </w:rPr>
      </w:pPr>
    </w:p>
    <w:p>
      <w:pPr>
        <w:jc w:val="both"/>
        <w:ind w:left="200" w:firstLine="644"/>
        <w:spacing w:after="0" w:line="245" w:lineRule="auto"/>
        <w:tabs>
          <w:tab w:leader="none" w:pos="149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Lender in accordance with its Applicable Revolving Percentage a Letter of Credit fee (the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Fee</w:t>
      </w:r>
      <w:r>
        <w:rPr>
          <w:rFonts w:ascii="Arial" w:cs="Arial" w:eastAsia="Arial" w:hAnsi="Arial"/>
          <w:sz w:val="19"/>
          <w:szCs w:val="19"/>
          <w:color w:val="auto"/>
        </w:rPr>
        <w:t xml:space="preserve">”) (i) for each commercial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maximum stated amount of such Letter of Credit and (ii) for each standby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For purposes of computing the daily amount available to be drawn under any standby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(A) payable on the seventh (7</w:t>
      </w:r>
      <w:r>
        <w:rPr>
          <w:rFonts w:ascii="Arial" w:cs="Arial" w:eastAsia="Arial" w:hAnsi="Arial"/>
          <w:sz w:val="28"/>
          <w:szCs w:val="28"/>
          <w:color w:val="auto"/>
          <w:vertAlign w:val="superscript"/>
        </w:rPr>
        <w:t>th</w:t>
      </w:r>
      <w:r>
        <w:rPr>
          <w:rFonts w:ascii="Arial" w:cs="Arial" w:eastAsia="Arial" w:hAnsi="Arial"/>
          <w:sz w:val="19"/>
          <w:szCs w:val="19"/>
          <w:color w:val="auto"/>
        </w:rPr>
        <w:t>) Business Day following the end of each March, June, September and December, commencing with the first such date to occur after the issuance of such Letter of Credit and (B)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200" w:lineRule="exact"/>
        <w:rPr>
          <w:rFonts w:ascii="Arial" w:cs="Arial" w:eastAsia="Arial" w:hAnsi="Arial"/>
          <w:sz w:val="19"/>
          <w:szCs w:val="19"/>
          <w:color w:val="auto"/>
        </w:rPr>
      </w:pPr>
    </w:p>
    <w:p>
      <w:pPr>
        <w:jc w:val="both"/>
        <w:ind w:left="200" w:firstLine="644"/>
        <w:spacing w:after="0" w:line="274" w:lineRule="auto"/>
        <w:tabs>
          <w:tab w:leader="none" w:pos="149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Issuers</w:t>
      </w:r>
      <w:r>
        <w:rPr>
          <w:rFonts w:ascii="Arial" w:cs="Arial" w:eastAsia="Arial" w:hAnsi="Arial"/>
          <w:sz w:val="18"/>
          <w:szCs w:val="18"/>
          <w:color w:val="auto"/>
        </w:rPr>
        <w:t xml:space="preserve">. The Borrower shall pay directly to each L/C Issuer, for its own account, a fronting fee (i) with respect to each commercial Letter of Credit, equal to the rate per annum equal to the percentage separately agreed upon between the Borrower and such L/C Issuer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maximum stated amount of such Letter of Credit, and payable upon the issuance thereof, (ii) with respect to any amendment of a commercial Letter of Credit increasing the amount of such Letter of Credit, at a rate separately agreed between the Borrower and such L/C Issuer, computed on the amount of such increase, and payable upon the effectiveness of such amendment, and (iii) with respect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7" w:name="page258"/>
    <w:bookmarkEnd w:id="257"/>
    <w:p>
      <w:pPr>
        <w:jc w:val="both"/>
        <w:ind w:left="200"/>
        <w:spacing w:after="0" w:line="259" w:lineRule="auto"/>
        <w:rPr>
          <w:sz w:val="20"/>
          <w:szCs w:val="20"/>
          <w:color w:val="auto"/>
        </w:rPr>
      </w:pPr>
      <w:r>
        <w:rPr>
          <w:rFonts w:ascii="Arial" w:cs="Arial" w:eastAsia="Arial" w:hAnsi="Arial"/>
          <w:sz w:val="18"/>
          <w:szCs w:val="18"/>
          <w:color w:val="auto"/>
        </w:rPr>
        <w:t>standby Letter of Credit, at the rate per annum equal to the percentage separately agreed upon between the Borrower and such L/C Issuer, computed on the daily amount available to be drawn under such Letter of Credit on a quarterly basis in arrears. Such fronting fee shall be due and payable no later than the tenth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end of each March, June, September and December in the most recently-ended quarterly period (or portion thereof, in the case of the first payment), commencing with the first such date to occur after the issuance of such Letter of Credit, on the Revolving Facility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4" w:lineRule="exact"/>
        <w:rPr>
          <w:sz w:val="20"/>
          <w:szCs w:val="20"/>
          <w:color w:val="auto"/>
        </w:rPr>
      </w:pPr>
    </w:p>
    <w:p>
      <w:pPr>
        <w:jc w:val="both"/>
        <w:ind w:left="200" w:firstLine="644"/>
        <w:spacing w:after="0" w:line="257" w:lineRule="auto"/>
        <w:tabs>
          <w:tab w:leader="none" w:pos="1496"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L/C Issuer shall, within the time allowed by applicable Laws or the specific terms of the Letter of Credit following its receipt thereof, examine all documents purporting to represent a demand for payment under such Letter of Credit. Each L/C Issuer shall promptly after such examination notify the Administrative Agent and the Borrower in writing of such demand for payment if such L/C Issuer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failure to give or delay in giving such notice shall not relieve the Borrower of its obligation to reimburse such L/C Issuer and the Revolving Lenders with respect to any such L/C Disbursement.</w:t>
      </w:r>
    </w:p>
    <w:p>
      <w:pPr>
        <w:spacing w:after="0" w:line="184" w:lineRule="exact"/>
        <w:rPr>
          <w:rFonts w:ascii="Arial" w:cs="Arial" w:eastAsia="Arial" w:hAnsi="Arial"/>
          <w:sz w:val="19"/>
          <w:szCs w:val="19"/>
          <w:color w:val="auto"/>
        </w:rPr>
      </w:pPr>
    </w:p>
    <w:p>
      <w:pPr>
        <w:jc w:val="both"/>
        <w:ind w:left="200" w:firstLine="644"/>
        <w:spacing w:after="0" w:line="256" w:lineRule="auto"/>
        <w:tabs>
          <w:tab w:leader="none" w:pos="1496"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L/C Issuer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Borrower fails to reimburse such L/C Disbursement when due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2.03(f)</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shall apply. Interest accrued pursuant to this </w:t>
      </w:r>
      <w:r>
        <w:rPr>
          <w:rFonts w:ascii="Arial" w:cs="Arial" w:eastAsia="Arial" w:hAnsi="Arial"/>
          <w:sz w:val="19"/>
          <w:szCs w:val="19"/>
          <w:u w:val="single" w:color="auto"/>
          <w:color w:val="auto"/>
        </w:rPr>
        <w:t>Section 2.03(o)</w:t>
      </w:r>
      <w:r>
        <w:rPr>
          <w:rFonts w:ascii="Arial" w:cs="Arial" w:eastAsia="Arial" w:hAnsi="Arial"/>
          <w:sz w:val="19"/>
          <w:szCs w:val="19"/>
          <w:color w:val="auto"/>
        </w:rPr>
        <w:t xml:space="preserve"> shall be for account of the applicable L/C Issuer, except that interest accrued on and after the date of payment by any Revolving Lender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to reimburse such L/C Issuer shall be for account of such Revolving Lender to the extent of such payment.</w:t>
      </w:r>
    </w:p>
    <w:p>
      <w:pPr>
        <w:spacing w:after="0" w:line="184" w:lineRule="exact"/>
        <w:rPr>
          <w:rFonts w:ascii="Arial" w:cs="Arial" w:eastAsia="Arial" w:hAnsi="Arial"/>
          <w:sz w:val="19"/>
          <w:szCs w:val="19"/>
          <w:color w:val="auto"/>
        </w:rPr>
      </w:pPr>
    </w:p>
    <w:p>
      <w:pPr>
        <w:jc w:val="both"/>
        <w:ind w:left="200" w:firstLine="644"/>
        <w:spacing w:after="0" w:line="271" w:lineRule="auto"/>
        <w:tabs>
          <w:tab w:leader="none" w:pos="149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Replacement of an L/C Issuer</w:t>
      </w:r>
      <w:r>
        <w:rPr>
          <w:rFonts w:ascii="Arial" w:cs="Arial" w:eastAsia="Arial" w:hAnsi="Arial"/>
          <w:sz w:val="18"/>
          <w:szCs w:val="18"/>
          <w:color w:val="auto"/>
        </w:rPr>
        <w:t>. An L/C Issuer may be replaced at any time by written agreement among the Borrower, the Administrative Agent, the replaced L/C Issuer and the successor L/C Issuer. The Administrative Agent shall notify the Revolving Lenders of any such replacement of an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Issuers, or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69" w:lineRule="exact"/>
        <w:rPr>
          <w:rFonts w:ascii="Arial" w:cs="Arial" w:eastAsia="Arial" w:hAnsi="Arial"/>
          <w:sz w:val="18"/>
          <w:szCs w:val="18"/>
          <w:color w:val="auto"/>
        </w:rPr>
      </w:pPr>
    </w:p>
    <w:p>
      <w:pPr>
        <w:ind w:left="1500" w:hanging="656"/>
        <w:spacing w:after="0"/>
        <w:tabs>
          <w:tab w:leader="none" w:pos="1500"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Cash Collateralization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8" w:name="page259"/>
    <w:bookmarkEnd w:id="258"/>
    <w:p>
      <w:pPr>
        <w:jc w:val="both"/>
        <w:ind w:left="840" w:firstLine="652"/>
        <w:spacing w:after="0" w:line="269" w:lineRule="auto"/>
        <w:tabs>
          <w:tab w:leader="none" w:pos="213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any Event of Default shall occur and be continuing, on the Business Day that the Borrower receives notice from the Administrative Agent or the Required Revolving Lenders (or, if the maturity of the Revolving Loans has been accelerated, Revolving Lenders with L/C Obligations representing at least fifty percent (50%) of the total L/C Obligations) demanding the deposit of Cash Collateral pursuant to this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the Borrower shall immediately deposit into an account established and maintained on the books and records of the Administrative Agent an amount in cash equal to the Minimum Collateral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obligation to deposit such Cash Collateral shall become effective immediately, and such deposit shall become immediately due and payable, without demand or other notice of any kind, upon the occurrence of any Event of Default described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Such deposit shall be held by the Administrative Agent as collateral for the payment and performance of the obligations of the Borrower under this Agreement. In addition, if any L/C Obligations remain outstanding after the expiration date specified in </w:t>
      </w:r>
      <w:r>
        <w:rPr>
          <w:rFonts w:ascii="Arial" w:cs="Arial" w:eastAsia="Arial" w:hAnsi="Arial"/>
          <w:sz w:val="18"/>
          <w:szCs w:val="18"/>
          <w:u w:val="single" w:color="auto"/>
          <w:color w:val="auto"/>
        </w:rPr>
        <w:t>Section 2.03(d)</w:t>
      </w:r>
      <w:r>
        <w:rPr>
          <w:rFonts w:ascii="Arial" w:cs="Arial" w:eastAsia="Arial" w:hAnsi="Arial"/>
          <w:sz w:val="18"/>
          <w:szCs w:val="18"/>
          <w:color w:val="auto"/>
        </w:rPr>
        <w:t>, the Borrower shall immediately deposit into an account established and maintained on the books and records of the Administrative Agent an amount in cash equal to the Minimum Collateral Amount as collateral for such L/C Obligations.</w:t>
      </w:r>
    </w:p>
    <w:p>
      <w:pPr>
        <w:spacing w:after="0" w:line="181" w:lineRule="exact"/>
        <w:rPr>
          <w:rFonts w:ascii="Arial" w:cs="Arial" w:eastAsia="Arial" w:hAnsi="Arial"/>
          <w:sz w:val="18"/>
          <w:szCs w:val="18"/>
          <w:color w:val="auto"/>
        </w:rPr>
      </w:pPr>
    </w:p>
    <w:p>
      <w:pPr>
        <w:jc w:val="both"/>
        <w:ind w:left="840" w:firstLine="652"/>
        <w:spacing w:after="0" w:line="269" w:lineRule="auto"/>
        <w:tabs>
          <w:tab w:leader="none" w:pos="213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exclusive dominion and control, including the exclusive right of withdrawal, over any Cash Collateral deposited pursuant to this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accounts into which such Cash Collateral is deposited. Cash Collateral deposited pursuant to this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shall be applied by the Administrative Agent to reimburse the applicable L/C Issuers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Revolving Loans has been accelerated (but subject to the consent of Revolving Lenders with L/C Obligations representing at least fifty percent (50%)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78"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a Subsidiary inures to the benefit of the Borrower, and that the Borrower’s business derives substantial benefits from the business of such Subsidiary.</w:t>
      </w:r>
    </w:p>
    <w:p>
      <w:pPr>
        <w:spacing w:after="0" w:line="195" w:lineRule="exact"/>
        <w:rPr>
          <w:rFonts w:ascii="Arial" w:cs="Arial" w:eastAsia="Arial" w:hAnsi="Arial"/>
          <w:sz w:val="20"/>
          <w:szCs w:val="20"/>
          <w:color w:val="auto"/>
        </w:rPr>
      </w:pPr>
    </w:p>
    <w:p>
      <w:pPr>
        <w:jc w:val="both"/>
        <w:ind w:left="200" w:firstLine="644"/>
        <w:spacing w:after="0" w:line="259" w:lineRule="auto"/>
        <w:tabs>
          <w:tab w:leader="none" w:pos="1496"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Additional L/C Issuers</w:t>
      </w:r>
      <w:r>
        <w:rPr>
          <w:rFonts w:ascii="Arial" w:cs="Arial" w:eastAsia="Arial" w:hAnsi="Arial"/>
          <w:sz w:val="19"/>
          <w:szCs w:val="19"/>
          <w:color w:val="auto"/>
        </w:rPr>
        <w:t xml:space="preserve">. Any Lender may become an L/C Issuer upon receipt by the Administrative Agent of a fully executed Notice of Additional L/C Issuer which shall be signed by the Borrower, the Administrative Agent and such Lender. Each Lender that becomes an L/C Issuer pursuant to this </w:t>
      </w:r>
      <w:r>
        <w:rPr>
          <w:rFonts w:ascii="Arial" w:cs="Arial" w:eastAsia="Arial" w:hAnsi="Arial"/>
          <w:sz w:val="19"/>
          <w:szCs w:val="19"/>
          <w:u w:val="single" w:color="auto"/>
          <w:color w:val="auto"/>
        </w:rPr>
        <w:t>Section 2.03(s)</w:t>
      </w:r>
      <w:r>
        <w:rPr>
          <w:rFonts w:ascii="Arial" w:cs="Arial" w:eastAsia="Arial" w:hAnsi="Arial"/>
          <w:sz w:val="19"/>
          <w:szCs w:val="19"/>
          <w:color w:val="auto"/>
        </w:rPr>
        <w:t xml:space="preserve">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59" w:name="page260"/>
    <w:bookmarkEnd w:id="259"/>
    <w:p>
      <w:pPr>
        <w:jc w:val="both"/>
        <w:ind w:left="660" w:firstLine="644"/>
        <w:spacing w:after="0" w:line="270" w:lineRule="auto"/>
        <w:tabs>
          <w:tab w:leader="none" w:pos="195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L/C Issuer Reports</w:t>
      </w:r>
      <w:r>
        <w:rPr>
          <w:rFonts w:ascii="Arial" w:cs="Arial" w:eastAsia="Arial" w:hAnsi="Arial"/>
          <w:sz w:val="18"/>
          <w:szCs w:val="18"/>
          <w:color w:val="auto"/>
        </w:rPr>
        <w:t>. Unless otherwise agreed by the Administrative Agent, each L/C Issuer shall: (i) prior to the time that such L/C Issuer amends, renews, increases, or extends a Letter of Credit, notify the Administrative Agent of the date of such amendment, renewal, increase, or extension and the stated amount of the applicable Letter of Credit after giving effect to such amendment, renewal, increase, or extension; (ii) on each Business Day on which such L/C Issuer makes a payment pursuant to a Letter of Credit, notify the Administrative Agent of the date and amount of such payment; (iii) on any Business Day on which the Borrower fails to reimburse a payment made pursuant to a Letter of Credit required to be reimbursed to such L/C Issuer on such day, notify the Administrative Agent of the date of such failure and the amount of such payment; (iv) on any Business Day on which any Letter of Credit issued by such L/C Issuer expires or is cancelled, notify the Administrative Agent of the date of such expiration or cancellation; and (v) for so long as any Letter of Credit issued by such L/C issuer is outstanding, deliver to the Administrative Agent, within five (5) Business Days after the beginning of each calendar month, a report (in form and substance satisfactory to the Administrative Agent) with respect to each Letter of Credit issued by such L/C Issuer.</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The Swingline</w:t>
      </w:r>
      <w:r>
        <w:rPr>
          <w:rFonts w:ascii="Arial" w:cs="Arial" w:eastAsia="Arial" w:hAnsi="Arial"/>
          <w:sz w:val="18"/>
          <w:szCs w:val="18"/>
          <w:color w:val="auto"/>
        </w:rPr>
        <w:t xml:space="preserve">. Subject to the terms and conditions set forth herein, the Swingline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to the Borrower (each such loan, a “</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after giving effect to any Swingline Loan, (A) the Total Revolving Outstandings shall not exceed the Revolving Facility, (B) the Revolving Exposure of any Revolving Lender shall not exceed such Lender’s Revolving Commitment, and (C) the aggregate amount of all Swingline Loans outstanding shall not exceed the Swingline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Swingline Loans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Swingline Loans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Swingline Loans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Swingline Loan.</w:t>
      </w:r>
    </w:p>
    <w:p>
      <w:pPr>
        <w:spacing w:after="0" w:line="173" w:lineRule="exact"/>
        <w:rPr>
          <w:rFonts w:ascii="Arial" w:cs="Arial" w:eastAsia="Arial" w:hAnsi="Arial"/>
          <w:sz w:val="18"/>
          <w:szCs w:val="18"/>
          <w:color w:val="auto"/>
        </w:rPr>
      </w:pPr>
    </w:p>
    <w:p>
      <w:pPr>
        <w:jc w:val="both"/>
        <w:ind w:left="660" w:firstLine="644"/>
        <w:spacing w:after="0" w:line="241"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Borrowing Procedures</w:t>
      </w:r>
      <w:r>
        <w:rPr>
          <w:rFonts w:ascii="Arial" w:cs="Arial" w:eastAsia="Arial" w:hAnsi="Arial"/>
          <w:sz w:val="20"/>
          <w:szCs w:val="20"/>
          <w:color w:val="auto"/>
        </w:rPr>
        <w:t xml:space="preserve">. Each Swingline Borrowing shall be made upon the Borrower’s irrevocable notice to the Swingline Lender and the Administrative Agent, which may be given by telephone or a Swingline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any telephonic notice must be confirmed promptly by delivery to the Swingline Lender and the Administrative Agent of a Swingline Loan Notice. Each such Swingline Loan Notice must be received by the Swingline Lender and the Administrative Agent not later than 10:00 a.m. on the requested borrowing date, and shall specify (i) the amount to be borrowed, which shall be a minimum of $100,000, and (ii) the requested date of the Swingline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0" w:name="page261"/>
    <w:bookmarkEnd w:id="260"/>
    <w:p>
      <w:pPr>
        <w:jc w:val="both"/>
        <w:ind w:left="200"/>
        <w:spacing w:after="0" w:line="257" w:lineRule="auto"/>
        <w:rPr>
          <w:sz w:val="20"/>
          <w:szCs w:val="20"/>
          <w:color w:val="auto"/>
        </w:rPr>
      </w:pPr>
      <w:r>
        <w:rPr>
          <w:rFonts w:ascii="Arial" w:cs="Arial" w:eastAsia="Arial" w:hAnsi="Arial"/>
          <w:sz w:val="19"/>
          <w:szCs w:val="19"/>
          <w:color w:val="auto"/>
        </w:rPr>
        <w:t xml:space="preserve">Lender has received notice (by telephone or in writing) from the Administrative Agent (including at the request of any Revolving Lender) prior to 11:00 a.m. on the date of the proposed Swingline Borrowing (A) directing the Swingline Lender not to make such Swingline Loan as a result of the limitations set forth in the proviso to the second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p>
      <w:pPr>
        <w:spacing w:after="0" w:line="185" w:lineRule="exact"/>
        <w:rPr>
          <w:sz w:val="20"/>
          <w:szCs w:val="20"/>
          <w:color w:val="auto"/>
        </w:rPr>
      </w:pPr>
    </w:p>
    <w:p>
      <w:pPr>
        <w:ind w:left="1500" w:hanging="656"/>
        <w:spacing w:after="0"/>
        <w:tabs>
          <w:tab w:leader="none" w:pos="150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4" w:lineRule="auto"/>
        <w:tabs>
          <w:tab w:leader="none" w:pos="2136"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The Swingline Lender at any time in its sole discretion may request, on behalf of the Borrower (which hereby irrevocably authorizes the Swingline Lender to so request on its behalf), that each Revolving Lender make a Revolving Loan that is a Base Rate Loan in an amount equal to such Revolving Lender’s Applicable Revolving Percentage of the amount of Swingline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for the account of the Swingline Lender at the Administrative Agent’s Office not later than 10:00 a.m.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Lender that so makes funds available shall be deemed to have made a Revolving Loan that is a Base Rate Loan to the Borrower in such amount. The Administrative Agent shall remit the funds so received to the Swingline Lender.</w:t>
      </w:r>
    </w:p>
    <w:p>
      <w:pPr>
        <w:spacing w:after="0" w:line="188" w:lineRule="exact"/>
        <w:rPr>
          <w:rFonts w:ascii="Arial" w:cs="Arial" w:eastAsia="Arial" w:hAnsi="Arial"/>
          <w:sz w:val="19"/>
          <w:szCs w:val="19"/>
          <w:color w:val="auto"/>
        </w:rPr>
      </w:pPr>
    </w:p>
    <w:p>
      <w:pPr>
        <w:jc w:val="both"/>
        <w:ind w:left="840" w:firstLine="652"/>
        <w:spacing w:after="0" w:line="243" w:lineRule="auto"/>
        <w:tabs>
          <w:tab w:leader="none" w:pos="2136" w:val="left"/>
        </w:tabs>
        <w:numPr>
          <w:ilvl w:val="1"/>
          <w:numId w:val="212"/>
        </w:numPr>
        <w:rPr>
          <w:rFonts w:ascii="Arial" w:cs="Arial" w:eastAsia="Arial" w:hAnsi="Arial"/>
          <w:sz w:val="20"/>
          <w:szCs w:val="20"/>
          <w:color w:val="auto"/>
        </w:rPr>
      </w:pPr>
      <w:r>
        <w:rPr>
          <w:rFonts w:ascii="Arial" w:cs="Arial" w:eastAsia="Arial" w:hAnsi="Arial"/>
          <w:sz w:val="20"/>
          <w:szCs w:val="20"/>
          <w:color w:val="auto"/>
        </w:rPr>
        <w:t xml:space="preserve">If for any reason any Swingline Loan cannot be refinanced by such a Revolving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(including the failure to satisfy the conditions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192" w:lineRule="exact"/>
        <w:rPr>
          <w:rFonts w:ascii="Arial" w:cs="Arial" w:eastAsia="Arial" w:hAnsi="Arial"/>
          <w:sz w:val="20"/>
          <w:szCs w:val="20"/>
          <w:color w:val="auto"/>
        </w:rPr>
      </w:pPr>
    </w:p>
    <w:p>
      <w:pPr>
        <w:jc w:val="both"/>
        <w:ind w:left="840" w:firstLine="652"/>
        <w:spacing w:after="0" w:line="255" w:lineRule="auto"/>
        <w:tabs>
          <w:tab w:leader="none" w:pos="2136"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61" w:name="page262"/>
    <w:bookmarkEnd w:id="261"/>
    <w:p>
      <w:pPr>
        <w:jc w:val="both"/>
        <w:ind w:left="1300"/>
        <w:spacing w:after="0" w:line="269" w:lineRule="auto"/>
        <w:rPr>
          <w:sz w:val="20"/>
          <w:szCs w:val="20"/>
          <w:color w:val="auto"/>
        </w:rPr>
      </w:pPr>
      <w:r>
        <w:rPr>
          <w:rFonts w:ascii="Arial" w:cs="Arial" w:eastAsia="Arial" w:hAnsi="Arial"/>
          <w:sz w:val="19"/>
          <w:szCs w:val="19"/>
          <w:color w:val="auto"/>
        </w:rPr>
        <w:t xml:space="preserve">Revolving Borrowing or funded participation in the relevant Swingline Loan, as the case may be. A certificate of the Swingline Lender submitted to any Lender (through the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70" w:lineRule="exact"/>
        <w:rPr>
          <w:sz w:val="20"/>
          <w:szCs w:val="20"/>
          <w:color w:val="auto"/>
        </w:rPr>
      </w:pPr>
    </w:p>
    <w:p>
      <w:pPr>
        <w:jc w:val="both"/>
        <w:ind w:left="1300" w:firstLine="652"/>
        <w:spacing w:after="0" w:line="255" w:lineRule="auto"/>
        <w:tabs>
          <w:tab w:leader="none" w:pos="2596"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Revolving Loans or to purchase and fund risk participations in Swingline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each Revolving Lender’s obligation to make Revolving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89" w:lineRule="exact"/>
        <w:rPr>
          <w:rFonts w:ascii="Arial" w:cs="Arial" w:eastAsia="Arial" w:hAnsi="Arial"/>
          <w:sz w:val="19"/>
          <w:szCs w:val="19"/>
          <w:color w:val="auto"/>
        </w:rPr>
      </w:pPr>
    </w:p>
    <w:p>
      <w:pPr>
        <w:ind w:left="1960" w:hanging="656"/>
        <w:spacing w:after="0"/>
        <w:tabs>
          <w:tab w:leader="none" w:pos="1960"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191" w:lineRule="exact"/>
        <w:rPr>
          <w:rFonts w:ascii="Arial" w:cs="Arial" w:eastAsia="Arial" w:hAnsi="Arial"/>
          <w:sz w:val="20"/>
          <w:szCs w:val="20"/>
          <w:color w:val="auto"/>
        </w:rPr>
      </w:pPr>
    </w:p>
    <w:p>
      <w:pPr>
        <w:jc w:val="both"/>
        <w:ind w:left="1300" w:firstLine="652"/>
        <w:spacing w:after="0" w:line="273" w:lineRule="auto"/>
        <w:tabs>
          <w:tab w:leader="none" w:pos="259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Swingline Lender in its discretion), each Revolving Lender shall pay to the Swingline Lender its Applicable Revolving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Rate. The Administrative Agent will make such demand upon the request of the Swingline Lender. The obligations of the Lenders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survive the Facility Termination Date and the termination of this Agreement.</w:t>
      </w:r>
    </w:p>
    <w:p>
      <w:pPr>
        <w:spacing w:after="0" w:line="168"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Swingline Lender</w:t>
      </w:r>
      <w:r>
        <w:rPr>
          <w:rFonts w:ascii="Arial" w:cs="Arial" w:eastAsia="Arial" w:hAnsi="Arial"/>
          <w:sz w:val="20"/>
          <w:szCs w:val="20"/>
          <w:color w:val="auto"/>
        </w:rPr>
        <w:t xml:space="preserve">. The Swingline Lender shall be responsible for invoicing the Borrower for interest on the Swingline Loans. Until each Revolving Lender funds its Base Rate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94"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Borrower shall make all payments of principal and interest in respect of the Swingline Loans directly to the Swingline Lender.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960" w:hanging="656"/>
        <w:spacing w:after="0"/>
        <w:tabs>
          <w:tab w:leader="none" w:pos="196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2" w:name="page263"/>
    <w:bookmarkEnd w:id="262"/>
    <w:p>
      <w:pPr>
        <w:jc w:val="both"/>
        <w:ind w:left="840" w:firstLine="652"/>
        <w:spacing w:after="0" w:line="268" w:lineRule="auto"/>
        <w:tabs>
          <w:tab w:leader="none" w:pos="213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pursuant to delivery to the Administrative Agent of a Notice of Loan Prepayment, at any time or from time to time voluntarily prepay Term Loans and/or Revolving Loans in whole or in part without premium or penalty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unless otherwise agreed by the Administrative Agent: (A) such notice must be received by the Administrative Agent not later than 10:00 a.m. (1) three (3) Business Days prior to any date of prepayment of Eurodollar Rate Loans, and (2) on the date of prepayment of Base Rate Loans; (B) any prepayment of Eurodollar Rate Loans shall be in a principal amount of $5,000,000 or a whole multiple of $1,000,000 in excess thereof (or, if less, the entire principal amount thereof then outstanding); and (C)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as directed by the Borrower (or, if no such direction is provided by the Borrower, such prepayment shall be applied to all then-existing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with respect to each then-existing Term Facility, to the principal repayment installments thereof in inverse order of maturity).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such prepayments shall be paid to the Lenders in accordance with their respective Applicable Percentages in respect of each of the relevant Facilities.</w:t>
      </w:r>
    </w:p>
    <w:p>
      <w:pPr>
        <w:spacing w:after="0" w:line="176" w:lineRule="exact"/>
        <w:rPr>
          <w:rFonts w:ascii="Arial" w:cs="Arial" w:eastAsia="Arial" w:hAnsi="Arial"/>
          <w:sz w:val="18"/>
          <w:szCs w:val="18"/>
          <w:color w:val="auto"/>
        </w:rPr>
      </w:pPr>
    </w:p>
    <w:p>
      <w:pPr>
        <w:jc w:val="both"/>
        <w:ind w:left="840" w:firstLine="652"/>
        <w:spacing w:after="0" w:line="269" w:lineRule="auto"/>
        <w:tabs>
          <w:tab w:leader="none" w:pos="213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unless otherwise agreed by the Swingline Lender, (A) such notice must be received by the Swingline Lender and the Administrative Agent not later than 10:00 a.m. on the date of the prepayment, and</w:t>
      </w:r>
    </w:p>
    <w:p>
      <w:pPr>
        <w:spacing w:after="0" w:line="3" w:lineRule="exact"/>
        <w:rPr>
          <w:rFonts w:ascii="Arial" w:cs="Arial" w:eastAsia="Arial" w:hAnsi="Arial"/>
          <w:sz w:val="18"/>
          <w:szCs w:val="18"/>
          <w:color w:val="auto"/>
        </w:rPr>
      </w:pPr>
    </w:p>
    <w:p>
      <w:pPr>
        <w:jc w:val="both"/>
        <w:ind w:left="840" w:firstLine="4"/>
        <w:spacing w:after="0"/>
        <w:tabs>
          <w:tab w:leader="none" w:pos="118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98" w:lineRule="exact"/>
        <w:rPr>
          <w:sz w:val="20"/>
          <w:szCs w:val="20"/>
          <w:color w:val="auto"/>
        </w:rPr>
      </w:pPr>
    </w:p>
    <w:p>
      <w:pPr>
        <w:ind w:left="1500" w:hanging="656"/>
        <w:spacing w:after="0"/>
        <w:tabs>
          <w:tab w:leader="none" w:pos="150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76" w:lineRule="auto"/>
        <w:tabs>
          <w:tab w:leader="none" w:pos="2136"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 xml:space="preserve">. The Borrower shall prepay the Loans as provided in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in an aggregate amount equal to one hundred percent (100%) of the Net Cash Proceeds received by any Loan Party or any Subsidiary from all Dispositions (other than Permitted Transfers) and all Involuntary Dispositions, within three (3) Business Days of the date of such Disposition or such Involuntary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the Borrower shall not be required to prepay the Loans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until the Net Cash Proceeds received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63" w:name="page264"/>
    <w:bookmarkEnd w:id="263"/>
    <w:p>
      <w:pPr>
        <w:jc w:val="both"/>
        <w:ind w:left="1300"/>
        <w:spacing w:after="0" w:line="270" w:lineRule="auto"/>
        <w:rPr>
          <w:sz w:val="20"/>
          <w:szCs w:val="20"/>
          <w:color w:val="auto"/>
        </w:rPr>
      </w:pPr>
      <w:r>
        <w:rPr>
          <w:rFonts w:ascii="Arial" w:cs="Arial" w:eastAsia="Arial" w:hAnsi="Arial"/>
          <w:sz w:val="18"/>
          <w:szCs w:val="18"/>
          <w:color w:val="auto"/>
        </w:rPr>
        <w:t xml:space="preserve">and its Subsidiaries in connection with all Dispositions (other than Permitted Transfers) or Involuntary Dispositions in any fiscal year of the Borrower is equal to or exceeds $10,000,000; and (B) such Net Cash Proceeds shall not be required to be so applied if, at the election of the Borrower (as notified by the Borrower to the Administrative Agent on or prior to the date of such Disposition or such Involuntary Disposition), so long as no Event of Default shall have occurred at the time of such Disposition or such Involuntary Disposition or at the time of such reinvestment, such Loan Party or such Subsidiary reinvests all or any portion of such Net Cash Proceeds in Eligible Assets within one hundred eighty (180) days of the date of such Disposition or such Involuntary Disposition (or to the extent such Loan Party or such Subsidiary commits within such one hundred eighty (180)-day period to make such reinvestment, within one hundred eighty (180) days after such one hundred eighty (180)-day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such Net Cash Proceeds shall have not been so reinvested by the end of such period(s), such Net Cash Proceeds shall be immediately applied to prepay the Loans as provided in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176" w:lineRule="exact"/>
        <w:rPr>
          <w:sz w:val="20"/>
          <w:szCs w:val="20"/>
          <w:color w:val="auto"/>
        </w:rPr>
      </w:pPr>
    </w:p>
    <w:p>
      <w:pPr>
        <w:jc w:val="both"/>
        <w:ind w:left="1300" w:firstLine="652"/>
        <w:spacing w:after="0" w:line="269" w:lineRule="auto"/>
        <w:tabs>
          <w:tab w:leader="none" w:pos="2596"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Debt Issuance</w:t>
      </w:r>
      <w:r>
        <w:rPr>
          <w:rFonts w:ascii="Arial" w:cs="Arial" w:eastAsia="Arial" w:hAnsi="Arial"/>
          <w:sz w:val="19"/>
          <w:szCs w:val="19"/>
          <w:color w:val="auto"/>
        </w:rPr>
        <w:t xml:space="preserve">. Promptly upon the receipt by any Loan Party or any Subsidiary of the Net Cash Proceeds of any Debt Issuance, the Borrower shall prepay the Loans as provided in </w:t>
      </w:r>
      <w:r>
        <w:rPr>
          <w:rFonts w:ascii="Arial" w:cs="Arial" w:eastAsia="Arial" w:hAnsi="Arial"/>
          <w:sz w:val="19"/>
          <w:szCs w:val="19"/>
          <w:u w:val="single" w:color="auto"/>
          <w:color w:val="auto"/>
        </w:rPr>
        <w:t>Section 2.05(b)(iii)</w:t>
      </w:r>
      <w:r>
        <w:rPr>
          <w:rFonts w:ascii="Arial" w:cs="Arial" w:eastAsia="Arial" w:hAnsi="Arial"/>
          <w:sz w:val="19"/>
          <w:szCs w:val="19"/>
          <w:color w:val="auto"/>
        </w:rPr>
        <w:t xml:space="preserve"> in an aggregate amount equal to one hundred percent (100%) of such Net Cash Proceeds.</w:t>
      </w:r>
    </w:p>
    <w:p>
      <w:pPr>
        <w:spacing w:after="0" w:line="169" w:lineRule="exact"/>
        <w:rPr>
          <w:rFonts w:ascii="Arial" w:cs="Arial" w:eastAsia="Arial" w:hAnsi="Arial"/>
          <w:sz w:val="19"/>
          <w:szCs w:val="19"/>
          <w:color w:val="auto"/>
        </w:rPr>
      </w:pPr>
    </w:p>
    <w:p>
      <w:pPr>
        <w:jc w:val="both"/>
        <w:ind w:left="1300" w:firstLine="652"/>
        <w:spacing w:after="0" w:line="243" w:lineRule="auto"/>
        <w:tabs>
          <w:tab w:leader="none" w:pos="2596"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Application of Payments</w:t>
      </w:r>
      <w:r>
        <w:rPr>
          <w:rFonts w:ascii="Arial" w:cs="Arial" w:eastAsia="Arial" w:hAnsi="Arial"/>
          <w:sz w:val="20"/>
          <w:szCs w:val="20"/>
          <w:color w:val="auto"/>
        </w:rPr>
        <w:t xml:space="preserve">. Each prepayment required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2.05(b)(ii)</w:t>
      </w:r>
      <w:r>
        <w:rPr>
          <w:rFonts w:ascii="Arial" w:cs="Arial" w:eastAsia="Arial" w:hAnsi="Arial"/>
          <w:sz w:val="20"/>
          <w:szCs w:val="20"/>
          <w:color w:val="auto"/>
        </w:rPr>
        <w:t xml:space="preserve"> shall be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principal repayment installments of the then-existing Term A Loans in inverse order of maturity,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outstanding Swingline Loans, and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the outstanding Revolving Loans (without a corresponding permanent reduction of the Revolving Facility). Subject to </w:t>
      </w:r>
      <w:r>
        <w:rPr>
          <w:rFonts w:ascii="Arial" w:cs="Arial" w:eastAsia="Arial" w:hAnsi="Arial"/>
          <w:sz w:val="20"/>
          <w:szCs w:val="20"/>
          <w:u w:val="single" w:color="auto"/>
          <w:color w:val="auto"/>
        </w:rPr>
        <w:t>Section 2.15</w:t>
      </w:r>
      <w:r>
        <w:rPr>
          <w:rFonts w:ascii="Arial" w:cs="Arial" w:eastAsia="Arial" w:hAnsi="Arial"/>
          <w:sz w:val="20"/>
          <w:szCs w:val="20"/>
          <w:color w:val="auto"/>
        </w:rPr>
        <w:t>, such prepayments shall be paid to the Lenders in accordance with their respective Applicable Percentages in respect of the relevant Facilities.</w:t>
      </w:r>
    </w:p>
    <w:p>
      <w:pPr>
        <w:spacing w:after="0" w:line="195" w:lineRule="exact"/>
        <w:rPr>
          <w:rFonts w:ascii="Arial" w:cs="Arial" w:eastAsia="Arial" w:hAnsi="Arial"/>
          <w:sz w:val="20"/>
          <w:szCs w:val="20"/>
          <w:color w:val="auto"/>
        </w:rPr>
      </w:pPr>
    </w:p>
    <w:p>
      <w:pPr>
        <w:jc w:val="both"/>
        <w:ind w:left="1300" w:firstLine="652"/>
        <w:spacing w:after="0" w:line="257" w:lineRule="auto"/>
        <w:tabs>
          <w:tab w:leader="none" w:pos="2596"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Revolving Outstandings</w:t>
      </w:r>
      <w:r>
        <w:rPr>
          <w:rFonts w:ascii="Arial" w:cs="Arial" w:eastAsia="Arial" w:hAnsi="Arial"/>
          <w:sz w:val="19"/>
          <w:szCs w:val="19"/>
          <w:color w:val="auto"/>
        </w:rPr>
        <w:t xml:space="preserve">. If for any reason the Total Revolving Outstandings at any time exceed the Revolving Facility at such time, the Borrower shall immediately prepay Revolving Loans, Swingline Loans and Unreimbursed Amounts (together with all accrued but unpaid interest thereon)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Borrower shall not be required to Cash Collateralize the L/C Obligations pursuant to this </w:t>
      </w:r>
      <w:r>
        <w:rPr>
          <w:rFonts w:ascii="Arial" w:cs="Arial" w:eastAsia="Arial" w:hAnsi="Arial"/>
          <w:sz w:val="19"/>
          <w:szCs w:val="19"/>
          <w:u w:val="single" w:color="auto"/>
          <w:color w:val="auto"/>
        </w:rPr>
        <w:t>Section 2.05(b)(iv)</w:t>
      </w:r>
      <w:r>
        <w:rPr>
          <w:rFonts w:ascii="Arial" w:cs="Arial" w:eastAsia="Arial" w:hAnsi="Arial"/>
          <w:sz w:val="19"/>
          <w:szCs w:val="19"/>
          <w:color w:val="auto"/>
        </w:rPr>
        <w:t xml:space="preserve"> unless, after the prepayment of the Revolving Loans and Swingline Loans, the Total Revolving Outstandings at such time exceed the Revolving Facility at such time.</w:t>
      </w:r>
    </w:p>
    <w:p>
      <w:pPr>
        <w:spacing w:after="0" w:line="185" w:lineRule="exact"/>
        <w:rPr>
          <w:sz w:val="20"/>
          <w:szCs w:val="20"/>
          <w:color w:val="auto"/>
        </w:rPr>
      </w:pPr>
    </w:p>
    <w:p>
      <w:pPr>
        <w:jc w:val="both"/>
        <w:ind w:left="660" w:firstLine="648"/>
        <w:spacing w:after="0" w:line="328" w:lineRule="auto"/>
        <w:rPr>
          <w:sz w:val="20"/>
          <w:szCs w:val="20"/>
          <w:color w:val="auto"/>
        </w:rPr>
      </w:pPr>
      <w:r>
        <w:rPr>
          <w:rFonts w:ascii="Arial" w:cs="Arial" w:eastAsia="Arial" w:hAnsi="Arial"/>
          <w:sz w:val="16"/>
          <w:szCs w:val="16"/>
          <w:color w:val="auto"/>
        </w:rPr>
        <w:t xml:space="preserve">Within the parameters of the applications set forth above, prepayments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first to Base Rate Loans and then to Eurodollar Rate Loans in direct order of Interest Period maturities. All prepayments under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but otherwise without premium or penalty, and shall be accompanied by interest on the principal amount prepaid through the date of prepayment.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4" w:lineRule="auto"/>
        <w:tabs>
          <w:tab w:leader="none" w:pos="1956"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unless otherwise agreed by the Administrative Agent, (i) any such notice shall be received by the Administrative Agent not later than 10:00 a.m. five (5) Business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4" w:name="page265"/>
    <w:bookmarkEnd w:id="264"/>
    <w:p>
      <w:pPr>
        <w:jc w:val="both"/>
        <w:ind w:left="660"/>
        <w:spacing w:after="0" w:line="274" w:lineRule="auto"/>
        <w:rPr>
          <w:sz w:val="20"/>
          <w:szCs w:val="20"/>
          <w:color w:val="auto"/>
        </w:rPr>
      </w:pPr>
      <w:r>
        <w:rPr>
          <w:rFonts w:ascii="Arial" w:cs="Arial" w:eastAsia="Arial" w:hAnsi="Arial"/>
          <w:sz w:val="18"/>
          <w:szCs w:val="18"/>
          <w:color w:val="auto"/>
        </w:rPr>
        <w:t>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Swingline Sublimit.</w:t>
      </w:r>
    </w:p>
    <w:p>
      <w:pPr>
        <w:spacing w:after="0" w:line="168" w:lineRule="exact"/>
        <w:rPr>
          <w:sz w:val="20"/>
          <w:szCs w:val="20"/>
          <w:color w:val="auto"/>
        </w:rPr>
      </w:pPr>
    </w:p>
    <w:p>
      <w:pPr>
        <w:ind w:left="1960" w:hanging="656"/>
        <w:spacing w:after="0"/>
        <w:tabs>
          <w:tab w:leader="none" w:pos="1960"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aggregate Term A Commitments shall be automatically and permanently reduced to zero upon the Term A Borrowing to occur on the Closing Date. The Revolving Facility shall automatically terminate on the Revolving Facility Maturity Date.</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221"/>
        </w:numPr>
        <w:rPr>
          <w:rFonts w:ascii="Arial" w:cs="Arial" w:eastAsia="Arial" w:hAnsi="Arial"/>
          <w:sz w:val="20"/>
          <w:szCs w:val="20"/>
          <w:color w:val="auto"/>
        </w:rPr>
      </w:pPr>
      <w:r>
        <w:rPr>
          <w:rFonts w:ascii="Arial" w:cs="Arial" w:eastAsia="Arial" w:hAnsi="Arial"/>
          <w:sz w:val="20"/>
          <w:szCs w:val="20"/>
          <w:color w:val="auto"/>
        </w:rPr>
        <w:t xml:space="preserve">If after giving effect to any reduction or termination of Revolving Facility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the Letter of Credit Sublimit or the Swingline Sublimit at such time exceeds the Revolving Facility at such time, the Letter of Credit Sublimit or the Swingline Sublimit, as the case may be, shall be automatically reduced by the amount of such excess.</w:t>
      </w:r>
    </w:p>
    <w:p>
      <w:pPr>
        <w:spacing w:after="0" w:line="191" w:lineRule="exact"/>
        <w:rPr>
          <w:rFonts w:ascii="Arial" w:cs="Arial" w:eastAsia="Arial" w:hAnsi="Arial"/>
          <w:sz w:val="20"/>
          <w:szCs w:val="20"/>
          <w:color w:val="auto"/>
        </w:rPr>
      </w:pPr>
    </w:p>
    <w:p>
      <w:pPr>
        <w:jc w:val="both"/>
        <w:ind w:left="660" w:firstLine="644"/>
        <w:spacing w:after="0" w:line="259" w:lineRule="auto"/>
        <w:tabs>
          <w:tab w:leader="none" w:pos="1956"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the Letter of Credit Sublimit, the Swingline Sublimit or the Revolving Facility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Upon any reduction of the Revolving Facility,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Term A Loans</w:t>
      </w:r>
      <w:r>
        <w:rPr>
          <w:rFonts w:ascii="Arial" w:cs="Arial" w:eastAsia="Arial" w:hAnsi="Arial"/>
          <w:sz w:val="20"/>
          <w:szCs w:val="20"/>
          <w:color w:val="auto"/>
        </w:rPr>
        <w:t xml:space="preserve">. The Borrower shall repay to the Term A Lenders the outstanding principal amount of the Term A Loans in installments on the last Business Day of each March, June, September and December (commencing on the last Business Day of June 2021) and on the Term A Facility Maturity Date, in each case, in the respective amounts set forth in the table below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20" w:type="dxa"/>
            <w:vAlign w:val="bottom"/>
            <w:tcBorders>
              <w:right w:val="single" w:sz="8" w:color="auto"/>
            </w:tcBorders>
          </w:tcPr>
          <w:p>
            <w:pPr>
              <w:spacing w:after="0"/>
              <w:rPr>
                <w:sz w:val="19"/>
                <w:szCs w:val="19"/>
                <w:color w:val="auto"/>
              </w:rPr>
            </w:pPr>
          </w:p>
        </w:tc>
        <w:tc>
          <w:tcPr>
            <w:tcW w:w="3260" w:type="dxa"/>
            <w:vAlign w:val="bottom"/>
            <w:tcBorders>
              <w:top w:val="single" w:sz="8" w:color="auto"/>
            </w:tcBorders>
            <w:shd w:val="clear" w:color="auto" w:fill="D9D9D9"/>
          </w:tcPr>
          <w:p>
            <w:pPr>
              <w:spacing w:after="0"/>
              <w:rPr>
                <w:sz w:val="19"/>
                <w:szCs w:val="19"/>
                <w:color w:val="auto"/>
              </w:rPr>
            </w:pPr>
          </w:p>
        </w:tc>
        <w:tc>
          <w:tcPr>
            <w:tcW w:w="760" w:type="dxa"/>
            <w:vAlign w:val="bottom"/>
            <w:tcBorders>
              <w:top w:val="single" w:sz="8" w:color="auto"/>
              <w:right w:val="single" w:sz="8" w:color="auto"/>
            </w:tcBorders>
            <w:shd w:val="clear" w:color="auto" w:fill="D9D9D9"/>
          </w:tcPr>
          <w:p>
            <w:pPr>
              <w:spacing w:after="0"/>
              <w:rPr>
                <w:sz w:val="19"/>
                <w:szCs w:val="19"/>
                <w:color w:val="auto"/>
              </w:rPr>
            </w:pPr>
          </w:p>
        </w:tc>
        <w:tc>
          <w:tcPr>
            <w:tcW w:w="3880" w:type="dxa"/>
            <w:vAlign w:val="bottom"/>
            <w:tcBorders>
              <w:top w:val="single" w:sz="8" w:color="auto"/>
              <w:right w:val="single" w:sz="8" w:color="auto"/>
            </w:tcBorders>
            <w:shd w:val="clear" w:color="auto" w:fill="D9D9D9"/>
          </w:tcPr>
          <w:p>
            <w:pPr>
              <w:jc w:val="center"/>
              <w:spacing w:after="0" w:line="227" w:lineRule="exact"/>
              <w:rPr>
                <w:sz w:val="20"/>
                <w:szCs w:val="20"/>
                <w:color w:val="auto"/>
              </w:rPr>
            </w:pPr>
            <w:r>
              <w:rPr>
                <w:rFonts w:ascii="Arial" w:cs="Arial" w:eastAsia="Arial" w:hAnsi="Arial"/>
                <w:sz w:val="20"/>
                <w:szCs w:val="20"/>
                <w:color w:val="auto"/>
                <w:w w:val="92"/>
              </w:rPr>
              <w:t>Principal Amortization Payment</w:t>
            </w:r>
          </w:p>
        </w:tc>
        <w:tc>
          <w:tcPr>
            <w:tcW w:w="1000" w:type="dxa"/>
            <w:vAlign w:val="bottom"/>
          </w:tcPr>
          <w:p>
            <w:pPr>
              <w:spacing w:after="0"/>
              <w:rPr>
                <w:sz w:val="19"/>
                <w:szCs w:val="19"/>
                <w:color w:val="auto"/>
              </w:rPr>
            </w:pPr>
          </w:p>
        </w:tc>
      </w:tr>
      <w:tr>
        <w:trPr>
          <w:trHeight w:val="229"/>
        </w:trPr>
        <w:tc>
          <w:tcPr>
            <w:tcW w:w="1020" w:type="dxa"/>
            <w:vAlign w:val="bottom"/>
            <w:tcBorders>
              <w:right w:val="single" w:sz="8" w:color="auto"/>
            </w:tcBorders>
          </w:tcPr>
          <w:p>
            <w:pPr>
              <w:spacing w:after="0"/>
              <w:rPr>
                <w:sz w:val="19"/>
                <w:szCs w:val="19"/>
                <w:color w:val="auto"/>
              </w:rPr>
            </w:pPr>
          </w:p>
        </w:tc>
        <w:tc>
          <w:tcPr>
            <w:tcW w:w="3260" w:type="dxa"/>
            <w:vAlign w:val="bottom"/>
            <w:shd w:val="clear" w:color="auto" w:fill="D9D9D9"/>
          </w:tcPr>
          <w:p>
            <w:pPr>
              <w:jc w:val="center"/>
              <w:ind w:left="641"/>
              <w:spacing w:after="0"/>
              <w:rPr>
                <w:sz w:val="20"/>
                <w:szCs w:val="20"/>
                <w:color w:val="auto"/>
              </w:rPr>
            </w:pPr>
            <w:r>
              <w:rPr>
                <w:rFonts w:ascii="Arial" w:cs="Arial" w:eastAsia="Arial" w:hAnsi="Arial"/>
                <w:sz w:val="20"/>
                <w:szCs w:val="20"/>
                <w:color w:val="auto"/>
                <w:w w:val="87"/>
              </w:rPr>
              <w:t>Payment Dates</w:t>
            </w:r>
          </w:p>
        </w:tc>
        <w:tc>
          <w:tcPr>
            <w:tcW w:w="760" w:type="dxa"/>
            <w:vAlign w:val="bottom"/>
            <w:tcBorders>
              <w:right w:val="single" w:sz="8" w:color="auto"/>
            </w:tcBorders>
            <w:shd w:val="clear" w:color="auto" w:fill="D9D9D9"/>
          </w:tcPr>
          <w:p>
            <w:pPr>
              <w:spacing w:after="0"/>
              <w:rPr>
                <w:sz w:val="19"/>
                <w:szCs w:val="19"/>
                <w:color w:val="auto"/>
              </w:rPr>
            </w:pPr>
          </w:p>
        </w:tc>
        <w:tc>
          <w:tcPr>
            <w:tcW w:w="38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2"/>
              </w:rPr>
              <w:t>(% of Principal Amount of Term A Loans</w:t>
            </w:r>
          </w:p>
        </w:tc>
        <w:tc>
          <w:tcPr>
            <w:tcW w:w="1000" w:type="dxa"/>
            <w:vAlign w:val="bottom"/>
          </w:tcPr>
          <w:p>
            <w:pPr>
              <w:spacing w:after="0"/>
              <w:rPr>
                <w:sz w:val="19"/>
                <w:szCs w:val="19"/>
                <w:color w:val="auto"/>
              </w:rPr>
            </w:pPr>
          </w:p>
        </w:tc>
      </w:tr>
      <w:tr>
        <w:trPr>
          <w:trHeight w:val="292"/>
        </w:trPr>
        <w:tc>
          <w:tcPr>
            <w:tcW w:w="1020" w:type="dxa"/>
            <w:vAlign w:val="bottom"/>
            <w:tcBorders>
              <w:right w:val="single" w:sz="8" w:color="auto"/>
            </w:tcBorders>
          </w:tcPr>
          <w:p>
            <w:pPr>
              <w:spacing w:after="0"/>
              <w:rPr>
                <w:sz w:val="24"/>
                <w:szCs w:val="24"/>
                <w:color w:val="auto"/>
              </w:rPr>
            </w:pPr>
          </w:p>
        </w:tc>
        <w:tc>
          <w:tcPr>
            <w:tcW w:w="3260" w:type="dxa"/>
            <w:vAlign w:val="bottom"/>
            <w:tcBorders>
              <w:bottom w:val="single" w:sz="8" w:color="D9D9D9"/>
            </w:tcBorders>
            <w:shd w:val="clear" w:color="auto" w:fill="D9D9D9"/>
          </w:tcPr>
          <w:p>
            <w:pPr>
              <w:spacing w:after="0"/>
              <w:rPr>
                <w:sz w:val="24"/>
                <w:szCs w:val="24"/>
                <w:color w:val="auto"/>
              </w:rPr>
            </w:pPr>
          </w:p>
        </w:tc>
        <w:tc>
          <w:tcPr>
            <w:tcW w:w="760" w:type="dxa"/>
            <w:vAlign w:val="bottom"/>
            <w:tcBorders>
              <w:bottom w:val="single" w:sz="8" w:color="D9D9D9"/>
              <w:right w:val="single" w:sz="8" w:color="auto"/>
            </w:tcBorders>
            <w:shd w:val="clear" w:color="auto" w:fill="D9D9D9"/>
          </w:tcPr>
          <w:p>
            <w:pPr>
              <w:spacing w:after="0"/>
              <w:rPr>
                <w:sz w:val="24"/>
                <w:szCs w:val="24"/>
                <w:color w:val="auto"/>
              </w:rPr>
            </w:pPr>
          </w:p>
        </w:tc>
        <w:tc>
          <w:tcPr>
            <w:tcW w:w="38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0"/>
              </w:rPr>
              <w:t>Advanced on the Closing Date)</w:t>
            </w:r>
          </w:p>
        </w:tc>
        <w:tc>
          <w:tcPr>
            <w:tcW w:w="1000" w:type="dxa"/>
            <w:vAlign w:val="bottom"/>
          </w:tcPr>
          <w:p>
            <w:pPr>
              <w:spacing w:after="0"/>
              <w:rPr>
                <w:sz w:val="24"/>
                <w:szCs w:val="24"/>
                <w:color w:val="auto"/>
              </w:rPr>
            </w:pPr>
          </w:p>
        </w:tc>
      </w:tr>
      <w:tr>
        <w:trPr>
          <w:trHeight w:val="257"/>
        </w:trPr>
        <w:tc>
          <w:tcPr>
            <w:tcW w:w="1020" w:type="dxa"/>
            <w:vAlign w:val="bottom"/>
            <w:tcBorders>
              <w:right w:val="single" w:sz="8" w:color="auto"/>
            </w:tcBorders>
          </w:tcPr>
          <w:p>
            <w:pPr>
              <w:spacing w:after="0"/>
              <w:rPr>
                <w:sz w:val="22"/>
                <w:szCs w:val="22"/>
                <w:color w:val="auto"/>
              </w:rPr>
            </w:pPr>
          </w:p>
        </w:tc>
        <w:tc>
          <w:tcPr>
            <w:tcW w:w="3260" w:type="dxa"/>
            <w:vAlign w:val="bottom"/>
            <w:tcBorders>
              <w:top w:val="single" w:sz="8" w:color="auto"/>
              <w:bottom w:val="single" w:sz="8" w:color="auto"/>
            </w:tcBorders>
          </w:tcPr>
          <w:p>
            <w:pPr>
              <w:jc w:val="center"/>
              <w:ind w:left="641"/>
              <w:spacing w:after="0"/>
              <w:rPr>
                <w:sz w:val="20"/>
                <w:szCs w:val="20"/>
                <w:color w:val="auto"/>
              </w:rPr>
            </w:pPr>
            <w:r>
              <w:rPr>
                <w:rFonts w:ascii="Arial" w:cs="Arial" w:eastAsia="Arial" w:hAnsi="Arial"/>
                <w:sz w:val="20"/>
                <w:szCs w:val="20"/>
                <w:color w:val="auto"/>
                <w:w w:val="84"/>
              </w:rPr>
              <w:t>June, 2021</w:t>
            </w:r>
          </w:p>
        </w:tc>
        <w:tc>
          <w:tcPr>
            <w:tcW w:w="760" w:type="dxa"/>
            <w:vAlign w:val="bottom"/>
            <w:tcBorders>
              <w:top w:val="single" w:sz="8" w:color="auto"/>
              <w:bottom w:val="single" w:sz="8" w:color="auto"/>
              <w:right w:val="single" w:sz="8" w:color="auto"/>
            </w:tcBorders>
          </w:tcPr>
          <w:p>
            <w:pPr>
              <w:spacing w:after="0"/>
              <w:rPr>
                <w:sz w:val="22"/>
                <w:szCs w:val="22"/>
                <w:color w:val="auto"/>
              </w:rPr>
            </w:pP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000" w:type="dxa"/>
            <w:vAlign w:val="bottom"/>
          </w:tcPr>
          <w:p>
            <w:pPr>
              <w:spacing w:after="0"/>
              <w:rPr>
                <w:sz w:val="22"/>
                <w:szCs w:val="22"/>
                <w:color w:val="auto"/>
              </w:rPr>
            </w:pPr>
          </w:p>
        </w:tc>
      </w:tr>
      <w:tr>
        <w:trPr>
          <w:trHeight w:val="263"/>
        </w:trPr>
        <w:tc>
          <w:tcPr>
            <w:tcW w:w="1020" w:type="dxa"/>
            <w:vAlign w:val="bottom"/>
            <w:tcBorders>
              <w:right w:val="single" w:sz="8" w:color="auto"/>
            </w:tcBorders>
          </w:tcPr>
          <w:p>
            <w:pPr>
              <w:spacing w:after="0"/>
              <w:rPr>
                <w:sz w:val="22"/>
                <w:szCs w:val="22"/>
                <w:color w:val="auto"/>
              </w:rPr>
            </w:pPr>
          </w:p>
        </w:tc>
        <w:tc>
          <w:tcPr>
            <w:tcW w:w="3260" w:type="dxa"/>
            <w:vAlign w:val="bottom"/>
            <w:tcBorders>
              <w:bottom w:val="single" w:sz="8" w:color="auto"/>
            </w:tcBorders>
          </w:tcPr>
          <w:p>
            <w:pPr>
              <w:jc w:val="center"/>
              <w:ind w:left="641"/>
              <w:spacing w:after="0"/>
              <w:rPr>
                <w:sz w:val="20"/>
                <w:szCs w:val="20"/>
                <w:color w:val="auto"/>
              </w:rPr>
            </w:pPr>
            <w:r>
              <w:rPr>
                <w:rFonts w:ascii="Arial" w:cs="Arial" w:eastAsia="Arial" w:hAnsi="Arial"/>
                <w:sz w:val="20"/>
                <w:szCs w:val="20"/>
                <w:color w:val="auto"/>
                <w:w w:val="86"/>
              </w:rPr>
              <w:t>September, 2021</w:t>
            </w:r>
          </w:p>
        </w:tc>
        <w:tc>
          <w:tcPr>
            <w:tcW w:w="760" w:type="dxa"/>
            <w:vAlign w:val="bottom"/>
            <w:tcBorders>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000" w:type="dxa"/>
            <w:vAlign w:val="bottom"/>
          </w:tcPr>
          <w:p>
            <w:pPr>
              <w:spacing w:after="0"/>
              <w:rPr>
                <w:sz w:val="22"/>
                <w:szCs w:val="22"/>
                <w:color w:val="auto"/>
              </w:rPr>
            </w:pPr>
          </w:p>
        </w:tc>
      </w:tr>
      <w:tr>
        <w:trPr>
          <w:trHeight w:val="263"/>
        </w:trPr>
        <w:tc>
          <w:tcPr>
            <w:tcW w:w="1020" w:type="dxa"/>
            <w:vAlign w:val="bottom"/>
            <w:tcBorders>
              <w:right w:val="single" w:sz="8" w:color="auto"/>
            </w:tcBorders>
          </w:tcPr>
          <w:p>
            <w:pPr>
              <w:spacing w:after="0"/>
              <w:rPr>
                <w:sz w:val="22"/>
                <w:szCs w:val="22"/>
                <w:color w:val="auto"/>
              </w:rPr>
            </w:pPr>
          </w:p>
        </w:tc>
        <w:tc>
          <w:tcPr>
            <w:tcW w:w="3260" w:type="dxa"/>
            <w:vAlign w:val="bottom"/>
            <w:tcBorders>
              <w:bottom w:val="single" w:sz="8" w:color="auto"/>
            </w:tcBorders>
          </w:tcPr>
          <w:p>
            <w:pPr>
              <w:jc w:val="center"/>
              <w:ind w:left="641"/>
              <w:spacing w:after="0"/>
              <w:rPr>
                <w:sz w:val="20"/>
                <w:szCs w:val="20"/>
                <w:color w:val="auto"/>
              </w:rPr>
            </w:pPr>
            <w:r>
              <w:rPr>
                <w:rFonts w:ascii="Arial" w:cs="Arial" w:eastAsia="Arial" w:hAnsi="Arial"/>
                <w:sz w:val="20"/>
                <w:szCs w:val="20"/>
                <w:color w:val="auto"/>
                <w:w w:val="86"/>
              </w:rPr>
              <w:t>December, 2021</w:t>
            </w:r>
          </w:p>
        </w:tc>
        <w:tc>
          <w:tcPr>
            <w:tcW w:w="760" w:type="dxa"/>
            <w:vAlign w:val="bottom"/>
            <w:tcBorders>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000" w:type="dxa"/>
            <w:vAlign w:val="bottom"/>
          </w:tcPr>
          <w:p>
            <w:pPr>
              <w:spacing w:after="0"/>
              <w:rPr>
                <w:sz w:val="22"/>
                <w:szCs w:val="22"/>
                <w:color w:val="auto"/>
              </w:rPr>
            </w:pPr>
          </w:p>
        </w:tc>
      </w:tr>
      <w:tr>
        <w:trPr>
          <w:trHeight w:val="264"/>
        </w:trPr>
        <w:tc>
          <w:tcPr>
            <w:tcW w:w="1020" w:type="dxa"/>
            <w:vAlign w:val="bottom"/>
            <w:tcBorders>
              <w:right w:val="single" w:sz="8" w:color="auto"/>
            </w:tcBorders>
          </w:tcPr>
          <w:p>
            <w:pPr>
              <w:spacing w:after="0"/>
              <w:rPr>
                <w:sz w:val="22"/>
                <w:szCs w:val="22"/>
                <w:color w:val="auto"/>
              </w:rPr>
            </w:pPr>
          </w:p>
        </w:tc>
        <w:tc>
          <w:tcPr>
            <w:tcW w:w="3260" w:type="dxa"/>
            <w:vAlign w:val="bottom"/>
            <w:tcBorders>
              <w:bottom w:val="single" w:sz="8" w:color="auto"/>
            </w:tcBorders>
          </w:tcPr>
          <w:p>
            <w:pPr>
              <w:jc w:val="center"/>
              <w:ind w:left="641"/>
              <w:spacing w:after="0"/>
              <w:rPr>
                <w:sz w:val="20"/>
                <w:szCs w:val="20"/>
                <w:color w:val="auto"/>
              </w:rPr>
            </w:pPr>
            <w:r>
              <w:rPr>
                <w:rFonts w:ascii="Arial" w:cs="Arial" w:eastAsia="Arial" w:hAnsi="Arial"/>
                <w:sz w:val="20"/>
                <w:szCs w:val="20"/>
                <w:color w:val="auto"/>
                <w:w w:val="89"/>
              </w:rPr>
              <w:t>March, 2022</w:t>
            </w:r>
          </w:p>
        </w:tc>
        <w:tc>
          <w:tcPr>
            <w:tcW w:w="760" w:type="dxa"/>
            <w:vAlign w:val="bottom"/>
            <w:tcBorders>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000" w:type="dxa"/>
            <w:vAlign w:val="bottom"/>
          </w:tcPr>
          <w:p>
            <w:pPr>
              <w:spacing w:after="0"/>
              <w:rPr>
                <w:sz w:val="22"/>
                <w:szCs w:val="22"/>
                <w:color w:val="auto"/>
              </w:rPr>
            </w:pPr>
          </w:p>
        </w:tc>
      </w:tr>
      <w:tr>
        <w:trPr>
          <w:trHeight w:val="263"/>
        </w:trPr>
        <w:tc>
          <w:tcPr>
            <w:tcW w:w="1020" w:type="dxa"/>
            <w:vAlign w:val="bottom"/>
            <w:tcBorders>
              <w:right w:val="single" w:sz="8" w:color="auto"/>
            </w:tcBorders>
          </w:tcPr>
          <w:p>
            <w:pPr>
              <w:spacing w:after="0"/>
              <w:rPr>
                <w:sz w:val="22"/>
                <w:szCs w:val="22"/>
                <w:color w:val="auto"/>
              </w:rPr>
            </w:pPr>
          </w:p>
        </w:tc>
        <w:tc>
          <w:tcPr>
            <w:tcW w:w="3260" w:type="dxa"/>
            <w:vAlign w:val="bottom"/>
            <w:tcBorders>
              <w:bottom w:val="single" w:sz="8" w:color="auto"/>
            </w:tcBorders>
          </w:tcPr>
          <w:p>
            <w:pPr>
              <w:jc w:val="center"/>
              <w:ind w:left="641"/>
              <w:spacing w:after="0"/>
              <w:rPr>
                <w:sz w:val="20"/>
                <w:szCs w:val="20"/>
                <w:color w:val="auto"/>
              </w:rPr>
            </w:pPr>
            <w:r>
              <w:rPr>
                <w:rFonts w:ascii="Arial" w:cs="Arial" w:eastAsia="Arial" w:hAnsi="Arial"/>
                <w:sz w:val="20"/>
                <w:szCs w:val="20"/>
                <w:color w:val="auto"/>
                <w:w w:val="84"/>
              </w:rPr>
              <w:t>June, 2022</w:t>
            </w:r>
          </w:p>
        </w:tc>
        <w:tc>
          <w:tcPr>
            <w:tcW w:w="760" w:type="dxa"/>
            <w:vAlign w:val="bottom"/>
            <w:tcBorders>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000" w:type="dxa"/>
            <w:vAlign w:val="bottom"/>
          </w:tcPr>
          <w:p>
            <w:pPr>
              <w:spacing w:after="0"/>
              <w:rPr>
                <w:sz w:val="22"/>
                <w:szCs w:val="22"/>
                <w:color w:val="auto"/>
              </w:rPr>
            </w:pPr>
          </w:p>
        </w:tc>
      </w:tr>
      <w:tr>
        <w:trPr>
          <w:trHeight w:val="665"/>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40" w:type="dxa"/>
            <w:vAlign w:val="bottom"/>
            <w:gridSpan w:val="2"/>
          </w:tcPr>
          <w:p>
            <w:pPr>
              <w:jc w:val="right"/>
              <w:ind w:right="3761"/>
              <w:spacing w:after="0"/>
              <w:rPr>
                <w:sz w:val="20"/>
                <w:szCs w:val="20"/>
                <w:color w:val="auto"/>
              </w:rPr>
            </w:pPr>
            <w:r>
              <w:rPr>
                <w:rFonts w:ascii="Arial" w:cs="Arial" w:eastAsia="Arial" w:hAnsi="Arial"/>
                <w:sz w:val="20"/>
                <w:szCs w:val="20"/>
                <w:color w:val="auto"/>
              </w:rPr>
              <w:t>66</w:t>
            </w:r>
          </w:p>
        </w:tc>
        <w:tc>
          <w:tcPr>
            <w:tcW w:w="1000" w:type="dxa"/>
            <w:vAlign w:val="bottom"/>
          </w:tcPr>
          <w:p>
            <w:pPr>
              <w:spacing w:after="0"/>
              <w:rPr>
                <w:sz w:val="24"/>
                <w:szCs w:val="24"/>
                <w:color w:val="auto"/>
              </w:rPr>
            </w:pPr>
          </w:p>
        </w:tc>
      </w:tr>
      <w:tr>
        <w:trPr>
          <w:trHeight w:val="556"/>
        </w:trPr>
        <w:tc>
          <w:tcPr>
            <w:tcW w:w="10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6" w:right="999" w:bottom="1440" w:gutter="0" w:footer="0" w:header="0"/>
        </w:sectPr>
      </w:pPr>
    </w:p>
    <w:bookmarkStart w:id="265" w:name="page266"/>
    <w:bookmarkEnd w:id="265"/>
    <w:p>
      <w:pPr>
        <w:spacing w:after="0" w:line="1" w:lineRule="exact"/>
        <w:rPr>
          <w:sz w:val="20"/>
          <w:szCs w:val="20"/>
          <w:color w:val="auto"/>
        </w:rPr>
      </w:pPr>
    </w:p>
    <w:tbl>
      <w:tblPr>
        <w:tblLayout w:type="fixed"/>
        <w:tblInd w:w="1010" w:type="dxa"/>
        <w:tblCellMar>
          <w:top w:w="0" w:type="dxa"/>
          <w:left w:w="0" w:type="dxa"/>
          <w:bottom w:w="0" w:type="dxa"/>
          <w:right w:w="0" w:type="dxa"/>
        </w:tblCellMar>
      </w:tblPr>
      <w:tr>
        <w:trPr>
          <w:trHeight w:val="277"/>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September, 2022</w:t>
            </w: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December, 2022</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2023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June, 2023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September, 2023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4"/>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December, 2023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2024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June, 2024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September, 2024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December, 2024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2025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4"/>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June, 2025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September, 2025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December, 2025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r>
      <w:tr>
        <w:trPr>
          <w:trHeight w:val="26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Term A Facility Maturity Date</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Outstanding Principal Balance of Term A Loans</w:t>
            </w:r>
          </w:p>
        </w:tc>
      </w:tr>
    </w:tbl>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final principal repayment installment of the Term A Loans shall be repaid on the Term A Facility Maturity Date and in any event shall be in an amount equal to the aggregate principal amount of all Term A Loans outstanding on such date.</w:t>
      </w:r>
    </w:p>
    <w:p>
      <w:pPr>
        <w:spacing w:after="0" w:line="186" w:lineRule="exact"/>
        <w:rPr>
          <w:sz w:val="20"/>
          <w:szCs w:val="20"/>
          <w:color w:val="auto"/>
        </w:rPr>
      </w:pPr>
    </w:p>
    <w:p>
      <w:pPr>
        <w:ind w:left="660" w:firstLine="644"/>
        <w:spacing w:after="0" w:line="260" w:lineRule="auto"/>
        <w:tabs>
          <w:tab w:leader="none" w:pos="1956"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 shall repay to the Revolving Lenders on the Revolving Facility Maturity Date the aggregate principal amount of all Revolving Loans outstanding on such date.</w:t>
      </w:r>
    </w:p>
    <w:p>
      <w:pPr>
        <w:spacing w:after="0" w:line="176" w:lineRule="exact"/>
        <w:rPr>
          <w:rFonts w:ascii="Arial" w:cs="Arial" w:eastAsia="Arial" w:hAnsi="Arial"/>
          <w:sz w:val="20"/>
          <w:szCs w:val="20"/>
          <w:color w:val="auto"/>
        </w:rPr>
      </w:pPr>
    </w:p>
    <w:p>
      <w:pPr>
        <w:ind w:left="660" w:right="20" w:firstLine="644"/>
        <w:spacing w:after="0" w:line="316" w:lineRule="auto"/>
        <w:tabs>
          <w:tab w:leader="none" w:pos="195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The Borrower shall repay each Swingline Loan on the earlier to occur of (i) the date ten (10) Business Days after such Swingline Loan is made, and (ii) the Revolving Facility Maturity Date.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 and Default Rate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55" w:lineRule="auto"/>
        <w:tabs>
          <w:tab w:leader="none" w:pos="1956"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 each Eurodollar Rate Loan shall bear interest on the outstanding principal amount thereof for each Interest Period from the applicable borrowing date at a rate per annum equal to the Eurodollar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Eurodollar Rate Loans; (ii) each Base Rate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Base Rate Loans; and (iii) each Swingline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Base Rate Loans. Subject to the definition of “Base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89" w:lineRule="exact"/>
        <w:rPr>
          <w:rFonts w:ascii="Arial" w:cs="Arial" w:eastAsia="Arial" w:hAnsi="Arial"/>
          <w:sz w:val="19"/>
          <w:szCs w:val="19"/>
          <w:color w:val="auto"/>
        </w:rPr>
      </w:pPr>
    </w:p>
    <w:p>
      <w:pPr>
        <w:ind w:left="1960" w:hanging="656"/>
        <w:spacing w:after="0"/>
        <w:tabs>
          <w:tab w:leader="none" w:pos="1960"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3" w:right="999" w:bottom="1440" w:gutter="0" w:footer="0" w:header="0"/>
        </w:sectPr>
      </w:pPr>
    </w:p>
    <w:bookmarkStart w:id="266" w:name="page267"/>
    <w:bookmarkEnd w:id="266"/>
    <w:p>
      <w:pPr>
        <w:jc w:val="both"/>
        <w:ind w:left="1300" w:firstLine="652"/>
        <w:spacing w:after="0" w:line="244" w:lineRule="auto"/>
        <w:tabs>
          <w:tab w:leader="none" w:pos="2596" w:val="left"/>
        </w:tabs>
        <w:numPr>
          <w:ilvl w:val="1"/>
          <w:numId w:val="225"/>
        </w:numPr>
        <w:rPr>
          <w:rFonts w:ascii="Arial" w:cs="Arial" w:eastAsia="Arial" w:hAnsi="Arial"/>
          <w:sz w:val="20"/>
          <w:szCs w:val="20"/>
          <w:color w:val="auto"/>
        </w:rPr>
      </w:pPr>
      <w:r>
        <w:rPr>
          <w:rFonts w:ascii="Arial" w:cs="Arial" w:eastAsia="Arial" w:hAnsi="Arial"/>
          <w:sz w:val="20"/>
          <w:szCs w:val="20"/>
          <w:color w:val="auto"/>
        </w:rPr>
        <w:t xml:space="preserve">If (A) any amount of principal of any Loan is not paid when due (without regard to any applicable grace periods), whether at stated maturity, by acceleration or otherwise, or (B) an Event of Default pursuant to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8.01(g)</w:t>
      </w:r>
      <w:r>
        <w:rPr>
          <w:rFonts w:ascii="Arial" w:cs="Arial" w:eastAsia="Arial" w:hAnsi="Arial"/>
          <w:sz w:val="20"/>
          <w:szCs w:val="20"/>
          <w:color w:val="auto"/>
        </w:rPr>
        <w:t xml:space="preserve"> exists, all outstanding Obligations shall thereafter bear interest at a fluctuating interest rate per annum at all times equal to the Default Rate to the fullest extent permitted by applicable Laws.</w:t>
      </w:r>
    </w:p>
    <w:p>
      <w:pPr>
        <w:spacing w:after="0" w:line="194" w:lineRule="exact"/>
        <w:rPr>
          <w:rFonts w:ascii="Arial" w:cs="Arial" w:eastAsia="Arial" w:hAnsi="Arial"/>
          <w:sz w:val="20"/>
          <w:szCs w:val="20"/>
          <w:color w:val="auto"/>
        </w:rPr>
      </w:pPr>
    </w:p>
    <w:p>
      <w:pPr>
        <w:jc w:val="both"/>
        <w:ind w:left="1300" w:firstLine="652"/>
        <w:spacing w:after="0" w:line="244" w:lineRule="auto"/>
        <w:tabs>
          <w:tab w:leader="none" w:pos="2596" w:val="left"/>
        </w:tabs>
        <w:numPr>
          <w:ilvl w:val="1"/>
          <w:numId w:val="225"/>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any Loan Party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94" w:lineRule="exact"/>
        <w:rPr>
          <w:rFonts w:ascii="Arial" w:cs="Arial" w:eastAsia="Arial" w:hAnsi="Arial"/>
          <w:sz w:val="20"/>
          <w:szCs w:val="20"/>
          <w:color w:val="auto"/>
        </w:rPr>
      </w:pPr>
    </w:p>
    <w:p>
      <w:pPr>
        <w:jc w:val="both"/>
        <w:ind w:left="1300" w:firstLine="652"/>
        <w:spacing w:after="0" w:line="269" w:lineRule="auto"/>
        <w:tabs>
          <w:tab w:leader="none" w:pos="2596" w:val="left"/>
        </w:tabs>
        <w:numPr>
          <w:ilvl w:val="1"/>
          <w:numId w:val="225"/>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all outstanding Obligations (including Letter of Credit Fees) shall accrue at a fluctuating interest rate per annum at all times equal to the Default Rate to the fullest extent permitted by applicable Laws.</w:t>
      </w:r>
    </w:p>
    <w:p>
      <w:pPr>
        <w:spacing w:after="0" w:line="169" w:lineRule="exact"/>
        <w:rPr>
          <w:rFonts w:ascii="Arial" w:cs="Arial" w:eastAsia="Arial" w:hAnsi="Arial"/>
          <w:sz w:val="19"/>
          <w:szCs w:val="19"/>
          <w:color w:val="auto"/>
        </w:rPr>
      </w:pPr>
    </w:p>
    <w:p>
      <w:pPr>
        <w:ind w:left="1300" w:right="20" w:firstLine="652"/>
        <w:spacing w:after="0" w:line="260" w:lineRule="auto"/>
        <w:tabs>
          <w:tab w:leader="none" w:pos="2596" w:val="left"/>
        </w:tabs>
        <w:numPr>
          <w:ilvl w:val="1"/>
          <w:numId w:val="225"/>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Interest Payments</w:t>
      </w:r>
      <w:r>
        <w:rPr>
          <w:rFonts w:ascii="Arial" w:cs="Arial" w:eastAsia="Arial" w:hAnsi="Arial"/>
          <w:sz w:val="20"/>
          <w:szCs w:val="20"/>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w:t>
      </w:r>
      <w:r>
        <w:rPr>
          <w:rFonts w:ascii="Arial" w:cs="Arial" w:eastAsia="Arial" w:hAnsi="Arial"/>
          <w:sz w:val="20"/>
          <w:szCs w:val="20"/>
          <w:u w:val="single" w:color="auto"/>
          <w:color w:val="auto"/>
        </w:rPr>
        <w:t>Sections 2.03(l)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shall pay to the Administrative Agent for the account of each Revolving Lender in accordance with its Applicable Revolving Percentage, a commitment fee (the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by which the Revolving Facility exceeds the sum of (i) the Outstanding Amount of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L/C Obligations,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seventh (7</w:t>
      </w:r>
      <w:r>
        <w:rPr>
          <w:rFonts w:ascii="Arial" w:cs="Arial" w:eastAsia="Arial" w:hAnsi="Arial"/>
          <w:sz w:val="26"/>
          <w:szCs w:val="26"/>
          <w:color w:val="auto"/>
          <w:vertAlign w:val="superscript"/>
        </w:rPr>
        <w:t>th</w:t>
      </w:r>
      <w:r>
        <w:rPr>
          <w:rFonts w:ascii="Arial" w:cs="Arial" w:eastAsia="Arial" w:hAnsi="Arial"/>
          <w:sz w:val="18"/>
          <w:szCs w:val="18"/>
          <w:color w:val="auto"/>
        </w:rPr>
        <w:t>) Business Day following the end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7" w:name="page268"/>
    <w:bookmarkEnd w:id="267"/>
    <w:p>
      <w:pPr>
        <w:jc w:val="both"/>
        <w:ind w:left="1300" w:firstLine="652"/>
        <w:spacing w:after="0" w:line="250" w:lineRule="auto"/>
        <w:tabs>
          <w:tab w:leader="none" w:pos="259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Borrower shall pay to the Administrative Agent and BofA Securities, for their own respective accounts, fees in the amounts and at the times specified in the Fee Letter. Such fees shall be fully earned when paid and shall not be refundable for any reason whatsoever.</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2" w:lineRule="auto"/>
        <w:tabs>
          <w:tab w:leader="none" w:pos="195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(1) day. Each determination by the Administrative Agent of an interest rate or fee hereunder shall be conclusive and binding for all purposes, absent manifest error.</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956"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Financial Statement Adjustments or Restatements</w:t>
      </w:r>
      <w:r>
        <w:rPr>
          <w:rFonts w:ascii="Arial" w:cs="Arial" w:eastAsia="Arial" w:hAnsi="Arial"/>
          <w:sz w:val="19"/>
          <w:szCs w:val="19"/>
          <w:color w:val="auto"/>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and fees for such period, the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not limit the rights of the Administrative Agent, any Lender or any L/C Issuer, as the case may be, under any provision of this Agreement to payment of any Obligations hereunder at the Default Rate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Borrower’s obligations under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survive the termination of the Facility Termination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3" w:lineRule="auto"/>
        <w:tabs>
          <w:tab w:leader="none" w:pos="1956"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Maintenance of Accounts</w:t>
      </w:r>
      <w:r>
        <w:rPr>
          <w:rFonts w:ascii="Arial" w:cs="Arial" w:eastAsia="Arial" w:hAnsi="Arial"/>
          <w:sz w:val="18"/>
          <w:szCs w:val="18"/>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8"/>
          <w:szCs w:val="18"/>
          <w:u w:val="single" w:color="auto"/>
          <w:color w:val="auto"/>
        </w:rPr>
        <w:t>Section 11.06(c)</w:t>
      </w:r>
      <w:r>
        <w:rPr>
          <w:rFonts w:ascii="Arial" w:cs="Arial" w:eastAsia="Arial" w:hAnsi="Arial"/>
          <w:sz w:val="18"/>
          <w:szCs w:val="18"/>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8" w:name="page269"/>
    <w:bookmarkEnd w:id="268"/>
    <w:p>
      <w:pPr>
        <w:jc w:val="both"/>
        <w:ind w:left="660"/>
        <w:spacing w:after="0" w:line="244" w:lineRule="auto"/>
        <w:rPr>
          <w:sz w:val="20"/>
          <w:szCs w:val="20"/>
          <w:color w:val="auto"/>
        </w:rPr>
      </w:pPr>
      <w:r>
        <w:rPr>
          <w:rFonts w:ascii="Arial" w:cs="Arial" w:eastAsia="Arial" w:hAnsi="Arial"/>
          <w:sz w:val="20"/>
          <w:szCs w:val="20"/>
          <w:color w:val="auto"/>
        </w:rPr>
        <w:t xml:space="preserve">request of any Lender made through the Administrative Agent, the Borrower shall execute and deliver to such Lender (through the Administrative Agent) a promissory note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Note</w:t>
      </w:r>
      <w:r>
        <w:rPr>
          <w:rFonts w:ascii="Arial" w:cs="Arial" w:eastAsia="Arial" w:hAnsi="Arial"/>
          <w:sz w:val="20"/>
          <w:szCs w:val="20"/>
          <w:color w:val="auto"/>
        </w:rPr>
        <w:t>”),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4" w:lineRule="exact"/>
        <w:rPr>
          <w:sz w:val="20"/>
          <w:szCs w:val="20"/>
          <w:color w:val="auto"/>
        </w:rPr>
      </w:pPr>
    </w:p>
    <w:p>
      <w:pPr>
        <w:jc w:val="both"/>
        <w:ind w:left="660" w:firstLine="644"/>
        <w:spacing w:after="0" w:line="243" w:lineRule="auto"/>
        <w:tabs>
          <w:tab w:leader="none" w:pos="1956"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Maintenance of Records</w:t>
      </w:r>
      <w:r>
        <w:rPr>
          <w:rFonts w:ascii="Arial" w:cs="Arial" w:eastAsia="Arial" w:hAnsi="Arial"/>
          <w:sz w:val="20"/>
          <w:szCs w:val="20"/>
          <w:color w:val="auto"/>
        </w:rPr>
        <w:t xml:space="preserve">. 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0" w:lineRule="auto"/>
        <w:tabs>
          <w:tab w:leader="none" w:pos="195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11:00 a.m.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11:00 a.m. shall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5" w:lineRule="exact"/>
        <w:rPr>
          <w:rFonts w:ascii="Arial" w:cs="Arial" w:eastAsia="Arial" w:hAnsi="Arial"/>
          <w:sz w:val="18"/>
          <w:szCs w:val="18"/>
          <w:color w:val="auto"/>
        </w:rPr>
      </w:pPr>
    </w:p>
    <w:p>
      <w:pPr>
        <w:jc w:val="both"/>
        <w:ind w:left="1300" w:firstLine="4"/>
        <w:spacing w:after="0" w:line="269" w:lineRule="auto"/>
        <w:tabs>
          <w:tab w:leader="none" w:pos="194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Eurodollar Rate Loans (or, in the case of any Borrowing of Base Rate Loans, prior to 9:00 a.m.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Administrative Agent in connection with the foregoing, and (B) in the case of a payment to be made by the Borrower, the interest rate applicable to Base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69" w:name="page270"/>
    <w:bookmarkEnd w:id="269"/>
    <w:p>
      <w:pPr>
        <w:jc w:val="both"/>
        <w:ind w:left="840"/>
        <w:spacing w:after="0" w:line="259" w:lineRule="auto"/>
        <w:rPr>
          <w:sz w:val="20"/>
          <w:szCs w:val="20"/>
          <w:color w:val="auto"/>
        </w:rPr>
      </w:pPr>
      <w:r>
        <w:rPr>
          <w:rFonts w:ascii="Arial" w:cs="Arial" w:eastAsia="Arial" w:hAnsi="Arial"/>
          <w:sz w:val="19"/>
          <w:szCs w:val="19"/>
          <w:color w:val="auto"/>
        </w:rPr>
        <w:t>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8" w:lineRule="exact"/>
        <w:rPr>
          <w:sz w:val="20"/>
          <w:szCs w:val="20"/>
          <w:color w:val="auto"/>
        </w:rPr>
      </w:pPr>
    </w:p>
    <w:p>
      <w:pPr>
        <w:jc w:val="both"/>
        <w:ind w:left="840" w:firstLine="652"/>
        <w:spacing w:after="0" w:line="270" w:lineRule="auto"/>
        <w:tabs>
          <w:tab w:leader="none" w:pos="213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applicable L/C Issuers, as the case may be, the amount due. In such event, if the Borrower has not in fact made such payment, then each of the Appropriate Lenders or the applicable L/C Issuers,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6" w:lineRule="exact"/>
        <w:rPr>
          <w:sz w:val="20"/>
          <w:szCs w:val="20"/>
          <w:color w:val="auto"/>
        </w:rPr>
      </w:pPr>
    </w:p>
    <w:p>
      <w:pPr>
        <w:ind w:left="200" w:firstLine="648"/>
        <w:spacing w:after="0" w:line="260"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shall be conclusive, absent manifest error.</w:t>
      </w:r>
    </w:p>
    <w:p>
      <w:pPr>
        <w:spacing w:after="0" w:line="177" w:lineRule="exact"/>
        <w:rPr>
          <w:sz w:val="20"/>
          <w:szCs w:val="20"/>
          <w:color w:val="auto"/>
        </w:rPr>
      </w:pPr>
    </w:p>
    <w:p>
      <w:pPr>
        <w:jc w:val="both"/>
        <w:ind w:left="200" w:firstLine="644"/>
        <w:spacing w:after="0" w:line="243" w:lineRule="auto"/>
        <w:tabs>
          <w:tab w:leader="none" w:pos="1496"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5"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Term Loans and Revolving Loans, to fund participations in Letters of Credit and Swingline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left="200" w:firstLine="644"/>
        <w:spacing w:after="0" w:line="250" w:lineRule="auto"/>
        <w:tabs>
          <w:tab w:leader="none" w:pos="1496"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Pro Rata Treatment</w:t>
      </w:r>
      <w:r>
        <w:rPr>
          <w:rFonts w:ascii="Arial" w:cs="Arial" w:eastAsia="Arial" w:hAnsi="Arial"/>
          <w:sz w:val="20"/>
          <w:szCs w:val="20"/>
          <w:color w:val="auto"/>
        </w:rPr>
        <w:t xml:space="preserve">. Except to the extent otherwise provided herein: (i) each Borrowing (other than Swingline Borrowings) shall be made from the Appropriate Lenders, each payment of fees under </w:t>
      </w:r>
      <w:r>
        <w:rPr>
          <w:rFonts w:ascii="Arial" w:cs="Arial" w:eastAsia="Arial" w:hAnsi="Arial"/>
          <w:sz w:val="20"/>
          <w:szCs w:val="20"/>
          <w:u w:val="single" w:color="auto"/>
          <w:color w:val="auto"/>
        </w:rPr>
        <w:t>Section 2.03(l)</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2.03(m)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shall be made for account of the Appropriate Lenders, and each termination or reduction of the amount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0" w:name="page271"/>
    <w:bookmarkEnd w:id="270"/>
    <w:p>
      <w:pPr>
        <w:jc w:val="both"/>
        <w:ind w:left="660"/>
        <w:spacing w:after="0" w:line="273" w:lineRule="auto"/>
        <w:rPr>
          <w:sz w:val="20"/>
          <w:szCs w:val="20"/>
          <w:color w:val="auto"/>
        </w:rPr>
      </w:pPr>
      <w:r>
        <w:rPr>
          <w:rFonts w:ascii="Arial" w:cs="Arial" w:eastAsia="Arial" w:hAnsi="Arial"/>
          <w:sz w:val="18"/>
          <w:szCs w:val="18"/>
          <w:color w:val="auto"/>
        </w:rPr>
        <w:t>shall be applied to the respective Commitments of the Lenders, pro rata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(z)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apply).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71" w:name="page272"/>
    <w:bookmarkEnd w:id="271"/>
    <w:p>
      <w:pPr>
        <w:spacing w:after="0"/>
        <w:tabs>
          <w:tab w:leader="none" w:pos="6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0" w:lineRule="auto"/>
        <w:tabs>
          <w:tab w:leader="none" w:pos="1956" w:val="left"/>
        </w:tabs>
        <w:numPr>
          <w:ilvl w:val="1"/>
          <w:numId w:val="235"/>
        </w:numPr>
        <w:rPr>
          <w:rFonts w:ascii="Arial" w:cs="Arial" w:eastAsia="Arial" w:hAnsi="Arial"/>
          <w:sz w:val="19"/>
          <w:szCs w:val="19"/>
          <w:color w:val="auto"/>
        </w:rPr>
      </w:pPr>
      <w:r>
        <w:rPr>
          <w:rFonts w:ascii="Arial" w:cs="Arial" w:eastAsia="Arial" w:hAnsi="Arial"/>
          <w:sz w:val="19"/>
          <w:szCs w:val="19"/>
          <w:u w:val="single" w:color="auto"/>
          <w:color w:val="auto"/>
        </w:rPr>
        <w:t>Obligation to Cash Collateralize</w:t>
      </w:r>
      <w:r>
        <w:rPr>
          <w:rFonts w:ascii="Arial" w:cs="Arial" w:eastAsia="Arial" w:hAnsi="Arial"/>
          <w:sz w:val="19"/>
          <w:szCs w:val="19"/>
          <w:color w:val="auto"/>
        </w:rPr>
        <w:t>. At any time there shall exist a Defaulting Lender, within one (1) Business Day following the written request of the Administrative Agent or any L/C Issuer (with a copy to the Administrative Agent), the Borrower shall Cash Collateralize the L/C Issuer</w:t>
      </w:r>
      <w:r>
        <w:rPr>
          <w:rFonts w:ascii="Arial" w:cs="Arial" w:eastAsia="Arial" w:hAnsi="Arial"/>
          <w:sz w:val="19"/>
          <w:szCs w:val="19"/>
          <w:b w:val="1"/>
          <w:bCs w:val="1"/>
          <w:color w:val="auto"/>
        </w:rPr>
        <w:t>s</w:t>
      </w:r>
      <w:r>
        <w:rPr>
          <w:rFonts w:ascii="Arial" w:cs="Arial" w:eastAsia="Arial" w:hAnsi="Arial"/>
          <w:sz w:val="19"/>
          <w:szCs w:val="19"/>
          <w:color w:val="auto"/>
        </w:rPr>
        <w:t xml:space="preserve">’ Fronting Exposure with respect to such Defaulting Lender (determined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and any Cash Collateral provided by such Defaulting Lender) in an amount not less than the Minimum Collateral Amount.</w:t>
      </w:r>
    </w:p>
    <w:p>
      <w:pPr>
        <w:spacing w:after="0" w:line="180" w:lineRule="exact"/>
        <w:rPr>
          <w:rFonts w:ascii="Arial" w:cs="Arial" w:eastAsia="Arial" w:hAnsi="Arial"/>
          <w:sz w:val="19"/>
          <w:szCs w:val="19"/>
          <w:color w:val="auto"/>
        </w:rPr>
      </w:pPr>
    </w:p>
    <w:p>
      <w:pPr>
        <w:jc w:val="both"/>
        <w:ind w:left="660" w:firstLine="644"/>
        <w:spacing w:after="0" w:line="269" w:lineRule="auto"/>
        <w:tabs>
          <w:tab w:leader="none" w:pos="1956"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or the applicable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after giving effect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78" w:lineRule="exact"/>
        <w:rPr>
          <w:rFonts w:ascii="Arial" w:cs="Arial" w:eastAsia="Arial" w:hAnsi="Arial"/>
          <w:sz w:val="18"/>
          <w:szCs w:val="18"/>
          <w:color w:val="auto"/>
        </w:rPr>
      </w:pPr>
    </w:p>
    <w:p>
      <w:pPr>
        <w:jc w:val="both"/>
        <w:ind w:left="660" w:firstLine="644"/>
        <w:spacing w:after="0" w:line="243" w:lineRule="auto"/>
        <w:tabs>
          <w:tab w:leader="none" w:pos="1956" w:val="left"/>
        </w:tabs>
        <w:numPr>
          <w:ilvl w:val="1"/>
          <w:numId w:val="235"/>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95"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18"/>
          <w:szCs w:val="18"/>
          <w:u w:val="single" w:color="auto"/>
          <w:color w:val="auto"/>
        </w:rPr>
        <w:t>Section 11.06(b)(vi)</w:t>
      </w:r>
      <w:r>
        <w:rPr>
          <w:rFonts w:ascii="Arial" w:cs="Arial" w:eastAsia="Arial" w:hAnsi="Arial"/>
          <w:sz w:val="18"/>
          <w:szCs w:val="18"/>
          <w:color w:val="auto"/>
        </w:rPr>
        <w:t>)), or</w:t>
      </w:r>
    </w:p>
    <w:p>
      <w:pPr>
        <w:spacing w:after="0" w:line="2" w:lineRule="exact"/>
        <w:rPr>
          <w:rFonts w:ascii="Arial" w:cs="Arial" w:eastAsia="Arial" w:hAnsi="Arial"/>
          <w:sz w:val="18"/>
          <w:szCs w:val="18"/>
          <w:color w:val="auto"/>
        </w:rPr>
      </w:pPr>
    </w:p>
    <w:p>
      <w:pPr>
        <w:jc w:val="both"/>
        <w:ind w:left="660" w:hanging="4"/>
        <w:spacing w:after="0"/>
        <w:tabs>
          <w:tab w:leader="none" w:pos="984"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the determination by the Administrative Agent and the applicable L/C Issuers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applicable L/C Issuers may agree that Cash Collateral shall not be released but instead held to support future anticipated Fronting Exposure or other obligations.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0" w:lineRule="auto"/>
        <w:tabs>
          <w:tab w:leader="none" w:pos="1956"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72" w:name="page273"/>
    <w:bookmarkEnd w:id="272"/>
    <w:p>
      <w:pPr>
        <w:jc w:val="both"/>
        <w:ind w:left="840" w:firstLine="652"/>
        <w:spacing w:after="0" w:line="269" w:lineRule="auto"/>
        <w:tabs>
          <w:tab w:leader="none" w:pos="2136"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(A) the definitions of “Required Lenders” and “Required Revolving Lenders,” and (B)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840" w:firstLine="652"/>
        <w:spacing w:after="0" w:line="267" w:lineRule="auto"/>
        <w:tabs>
          <w:tab w:leader="none" w:pos="2136"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any L/C Issuer or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if so determined by the Administrative Agent and the Borrower, to be held in a deposit account and released pro rata in order to (A) satisfy such Defaulting Lender’s potential future funding obligations with respect to Loans under this Agreement, and</w:t>
      </w:r>
    </w:p>
    <w:p>
      <w:pPr>
        <w:spacing w:after="0" w:line="5" w:lineRule="exact"/>
        <w:rPr>
          <w:rFonts w:ascii="Arial" w:cs="Arial" w:eastAsia="Arial" w:hAnsi="Arial"/>
          <w:sz w:val="18"/>
          <w:szCs w:val="18"/>
          <w:color w:val="auto"/>
        </w:rPr>
      </w:pPr>
    </w:p>
    <w:p>
      <w:pPr>
        <w:jc w:val="both"/>
        <w:ind w:left="840" w:firstLine="4"/>
        <w:spacing w:after="0" w:line="267" w:lineRule="auto"/>
        <w:tabs>
          <w:tab w:leader="none" w:pos="117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Issuers or the Swingline Lender as a result of any judgment of a court of competent jurisdiction obtained by any Lender, any L/C Issuer or the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(1) such payment is a payment of the principal amount of any Loans or Unreimbursed Amounts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83" w:lineRule="exact"/>
        <w:rPr>
          <w:rFonts w:ascii="Arial" w:cs="Arial" w:eastAsia="Arial" w:hAnsi="Arial"/>
          <w:sz w:val="18"/>
          <w:szCs w:val="18"/>
          <w:color w:val="auto"/>
        </w:rPr>
      </w:pPr>
    </w:p>
    <w:p>
      <w:pPr>
        <w:ind w:left="2140" w:hanging="648"/>
        <w:spacing w:after="0"/>
        <w:tabs>
          <w:tab w:leader="none" w:pos="2140"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00" w:firstLine="640"/>
        <w:spacing w:after="0" w:line="260" w:lineRule="auto"/>
        <w:tabs>
          <w:tab w:leader="none" w:pos="2796" w:val="left"/>
        </w:tabs>
        <w:numPr>
          <w:ilvl w:val="2"/>
          <w:numId w:val="239"/>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xml:space="preserve">. No Defaulting Lender shall be entitled to receive any portion of the Commitment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3" w:name="page274"/>
    <w:bookmarkEnd w:id="273"/>
    <w:p>
      <w:pPr>
        <w:jc w:val="both"/>
        <w:ind w:left="1500"/>
        <w:spacing w:after="0" w:line="250" w:lineRule="auto"/>
        <w:rPr>
          <w:sz w:val="20"/>
          <w:szCs w:val="20"/>
          <w:color w:val="auto"/>
        </w:rPr>
      </w:pPr>
      <w:r>
        <w:rPr>
          <w:rFonts w:ascii="Arial" w:cs="Arial" w:eastAsia="Arial" w:hAnsi="Arial"/>
          <w:sz w:val="20"/>
          <w:szCs w:val="20"/>
          <w:color w:val="auto"/>
        </w:rPr>
        <w:t>during which that Lender is a Defaulting Lender (and the Borrower shall not be required to pay any portion of the Commitment Fee that otherwise would have been required to have been paid to that Defaulting Lender).</w:t>
      </w:r>
    </w:p>
    <w:p>
      <w:pPr>
        <w:spacing w:after="0" w:line="186" w:lineRule="exact"/>
        <w:rPr>
          <w:sz w:val="20"/>
          <w:szCs w:val="20"/>
          <w:color w:val="auto"/>
        </w:rPr>
      </w:pPr>
    </w:p>
    <w:p>
      <w:pPr>
        <w:jc w:val="both"/>
        <w:ind w:left="1500" w:firstLine="640"/>
        <w:spacing w:after="0" w:line="246" w:lineRule="auto"/>
        <w:tabs>
          <w:tab w:leader="none" w:pos="2796" w:val="left"/>
        </w:tabs>
        <w:numPr>
          <w:ilvl w:val="2"/>
          <w:numId w:val="240"/>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500" w:firstLine="640"/>
        <w:spacing w:after="0" w:line="257" w:lineRule="auto"/>
        <w:tabs>
          <w:tab w:leader="none" w:pos="2796" w:val="left"/>
        </w:tabs>
        <w:numPr>
          <w:ilvl w:val="2"/>
          <w:numId w:val="240"/>
        </w:numPr>
        <w:rPr>
          <w:rFonts w:ascii="Arial" w:cs="Arial" w:eastAsia="Arial" w:hAnsi="Arial"/>
          <w:sz w:val="19"/>
          <w:szCs w:val="19"/>
          <w:color w:val="auto"/>
        </w:rPr>
      </w:pPr>
      <w:r>
        <w:rPr>
          <w:rFonts w:ascii="Arial" w:cs="Arial" w:eastAsia="Arial" w:hAnsi="Arial"/>
          <w:sz w:val="19"/>
          <w:szCs w:val="19"/>
          <w:u w:val="single" w:color="auto"/>
          <w:color w:val="auto"/>
        </w:rPr>
        <w:t>Defaulting Lender Fees</w:t>
      </w:r>
      <w:r>
        <w:rPr>
          <w:rFonts w:ascii="Arial" w:cs="Arial" w:eastAsia="Arial" w:hAnsi="Arial"/>
          <w:sz w:val="19"/>
          <w:szCs w:val="19"/>
          <w:color w:val="auto"/>
        </w:rPr>
        <w:t xml:space="preserve">. With respect to any Letter of Credit Fee not required to be paid to any Defaulting Lender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(2) pay to the applicable L/C Issuer the amount of any such fee otherwise payable to such Defaulting Lender to the extent allocable to such L/C Issuer’s Fronting Exposure to such Defaulting Lender, and (3) not be required to pay the remaining amount of any such fee.</w:t>
      </w:r>
    </w:p>
    <w:p>
      <w:pPr>
        <w:spacing w:after="0" w:line="180" w:lineRule="exact"/>
        <w:rPr>
          <w:rFonts w:ascii="Arial" w:cs="Arial" w:eastAsia="Arial" w:hAnsi="Arial"/>
          <w:sz w:val="19"/>
          <w:szCs w:val="19"/>
          <w:color w:val="auto"/>
        </w:rPr>
      </w:pPr>
    </w:p>
    <w:p>
      <w:pPr>
        <w:jc w:val="both"/>
        <w:ind w:left="840" w:firstLine="652"/>
        <w:spacing w:after="0" w:line="311" w:lineRule="auto"/>
        <w:tabs>
          <w:tab w:leader="none" w:pos="2136"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Revolving Percentages to Reduce Fronting Exposure</w:t>
      </w:r>
      <w:r>
        <w:rPr>
          <w:rFonts w:ascii="Arial" w:cs="Arial" w:eastAsia="Arial" w:hAnsi="Arial"/>
          <w:sz w:val="16"/>
          <w:szCs w:val="16"/>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Arial" w:cs="Arial" w:eastAsia="Arial" w:hAnsi="Arial"/>
          <w:sz w:val="16"/>
          <w:szCs w:val="16"/>
          <w:u w:val="single" w:color="auto"/>
          <w:color w:val="auto"/>
        </w:rPr>
        <w:t>Section 11.20</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74" w:lineRule="exact"/>
        <w:rPr>
          <w:rFonts w:ascii="Arial" w:cs="Arial" w:eastAsia="Arial" w:hAnsi="Arial"/>
          <w:sz w:val="16"/>
          <w:szCs w:val="16"/>
          <w:color w:val="auto"/>
        </w:rPr>
      </w:pPr>
    </w:p>
    <w:p>
      <w:pPr>
        <w:ind w:left="2140" w:hanging="648"/>
        <w:spacing w:after="0"/>
        <w:tabs>
          <w:tab w:leader="none" w:pos="2140"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w:t>
      </w:r>
    </w:p>
    <w:p>
      <w:pPr>
        <w:spacing w:after="0" w:line="38" w:lineRule="exact"/>
        <w:rPr>
          <w:rFonts w:ascii="Arial" w:cs="Arial" w:eastAsia="Arial" w:hAnsi="Arial"/>
          <w:sz w:val="18"/>
          <w:szCs w:val="18"/>
          <w:color w:val="auto"/>
        </w:rPr>
      </w:pPr>
    </w:p>
    <w:p>
      <w:pPr>
        <w:jc w:val="both"/>
        <w:ind w:left="840" w:firstLine="4"/>
        <w:spacing w:after="0" w:line="257" w:lineRule="auto"/>
        <w:tabs>
          <w:tab w:leader="none" w:pos="1195" w:val="left"/>
        </w:tabs>
        <w:numPr>
          <w:ilvl w:val="0"/>
          <w:numId w:val="242"/>
        </w:numPr>
        <w:rPr>
          <w:rFonts w:ascii="Arial" w:cs="Arial" w:eastAsia="Arial" w:hAnsi="Arial"/>
          <w:sz w:val="19"/>
          <w:szCs w:val="19"/>
          <w:u w:val="single" w:color="auto"/>
          <w:color w:val="auto"/>
        </w:rPr>
      </w:pPr>
      <w:r>
        <w:rPr>
          <w:rFonts w:ascii="Arial" w:cs="Arial" w:eastAsia="Arial" w:hAnsi="Arial"/>
          <w:sz w:val="19"/>
          <w:szCs w:val="19"/>
          <w:color w:val="auto"/>
        </w:rPr>
        <w:t xml:space="preserve">above cannot, or can only partially, be effected, the Borrower shall, without prejudice to any right or remedy available to it hereunder or under applicable Law, (A)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Swingline Loans in an amount equal to the Swingline Lender’s Fronting Exposure, and (B)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L/C Issuers’ Fronting Exposure in accordance with the procedures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82" w:lineRule="exact"/>
        <w:rPr>
          <w:sz w:val="20"/>
          <w:szCs w:val="20"/>
          <w:color w:val="auto"/>
        </w:rPr>
      </w:pPr>
    </w:p>
    <w:p>
      <w:pPr>
        <w:jc w:val="both"/>
        <w:ind w:left="200" w:firstLine="644"/>
        <w:spacing w:after="0" w:line="255" w:lineRule="auto"/>
        <w:tabs>
          <w:tab w:leader="none" w:pos="1496"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Lenders in accordance with their Applicable Percentages (without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except to the extent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4" w:name="page275"/>
    <w:bookmarkEnd w:id="274"/>
    <w:p>
      <w:pPr>
        <w:ind w:left="660"/>
        <w:spacing w:after="0" w:line="316" w:lineRule="auto"/>
        <w:rPr>
          <w:sz w:val="20"/>
          <w:szCs w:val="20"/>
          <w:color w:val="auto"/>
        </w:rPr>
      </w:pPr>
      <w:r>
        <w:rPr>
          <w:rFonts w:ascii="Arial" w:cs="Arial" w:eastAsia="Arial" w:hAnsi="Arial"/>
          <w:sz w:val="18"/>
          <w:szCs w:val="18"/>
          <w:color w:val="auto"/>
        </w:rPr>
        <w:t>expressly agreed by the affected parties, no change hereunder from Defaulting Lender to Lender will constitute a waiver or release of any claim of any party hereunder arising from that Lender’s having been a Defaulting Lender.</w:t>
      </w:r>
    </w:p>
    <w:p>
      <w:pPr>
        <w:spacing w:after="0" w:line="130" w:lineRule="exact"/>
        <w:rPr>
          <w:sz w:val="20"/>
          <w:szCs w:val="20"/>
          <w:color w:val="auto"/>
        </w:rPr>
      </w:pPr>
    </w:p>
    <w:p>
      <w:pPr>
        <w:jc w:val="both"/>
        <w:ind w:left="660" w:firstLine="644"/>
        <w:spacing w:after="0" w:line="244" w:lineRule="auto"/>
        <w:tabs>
          <w:tab w:leader="none" w:pos="1956"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Revolving Lender is a Defaulting Lender, (i) the Swingline Lender shall not be required to fund any Swingline Loans unless it is satisfied that it will have no Fronting Exposure after giving effect to such Swingline Loan, and (ii) the L/C Issuers shall not be required to issue, extend, increase, reinstate or renew any Letter of Credit unless it is satisfied that it will have no Fronting Exposure after giving effect thereto.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 and the term “Lender” includes each L/C Issuer.</w:t>
      </w:r>
    </w:p>
    <w:p>
      <w:pPr>
        <w:spacing w:after="0" w:line="176"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6"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2" w:lineRule="auto"/>
        <w:tabs>
          <w:tab w:leader="none" w:pos="259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75" w:name="page276"/>
    <w:bookmarkEnd w:id="275"/>
    <w:p>
      <w:pPr>
        <w:jc w:val="both"/>
        <w:ind w:left="840" w:firstLine="652"/>
        <w:spacing w:after="0" w:line="269" w:lineRule="auto"/>
        <w:tabs>
          <w:tab w:leader="none" w:pos="213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(C)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3.01(d)(ii)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200" w:firstLine="644"/>
        <w:spacing w:after="0" w:line="244" w:lineRule="auto"/>
        <w:tabs>
          <w:tab w:leader="none" w:pos="1496" w:val="left"/>
        </w:tabs>
        <w:numPr>
          <w:ilvl w:val="0"/>
          <w:numId w:val="247"/>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Loan Party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94" w:lineRule="exact"/>
        <w:rPr>
          <w:rFonts w:ascii="Arial" w:cs="Arial" w:eastAsia="Arial" w:hAnsi="Arial"/>
          <w:sz w:val="20"/>
          <w:szCs w:val="20"/>
          <w:color w:val="auto"/>
        </w:rPr>
      </w:pPr>
    </w:p>
    <w:p>
      <w:pPr>
        <w:ind w:left="1500" w:hanging="656"/>
        <w:spacing w:after="0"/>
        <w:tabs>
          <w:tab w:leader="none" w:pos="1500" w:val="left"/>
        </w:tabs>
        <w:numPr>
          <w:ilvl w:val="0"/>
          <w:numId w:val="247"/>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40" w:firstLine="652"/>
        <w:spacing w:after="0" w:line="269" w:lineRule="auto"/>
        <w:tabs>
          <w:tab w:leader="none" w:pos="213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2140" w:hanging="648"/>
        <w:spacing w:after="0"/>
        <w:tabs>
          <w:tab w:leader="none" w:pos="21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Person,</w:t>
      </w:r>
    </w:p>
    <w:p>
      <w:pPr>
        <w:spacing w:after="0" w:line="200" w:lineRule="exact"/>
        <w:rPr>
          <w:sz w:val="20"/>
          <w:szCs w:val="20"/>
          <w:color w:val="auto"/>
        </w:rPr>
      </w:pPr>
    </w:p>
    <w:p>
      <w:pPr>
        <w:jc w:val="both"/>
        <w:ind w:left="1500" w:firstLine="640"/>
        <w:spacing w:after="0" w:line="250" w:lineRule="auto"/>
        <w:tabs>
          <w:tab w:leader="none" w:pos="279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6" w:name="page277"/>
    <w:bookmarkEnd w:id="276"/>
    <w:p>
      <w:pPr>
        <w:ind w:left="1500"/>
        <w:spacing w:after="0" w:line="260" w:lineRule="auto"/>
        <w:rPr>
          <w:sz w:val="20"/>
          <w:szCs w:val="20"/>
          <w:color w:val="auto"/>
        </w:rPr>
      </w:pPr>
      <w:r>
        <w:rPr>
          <w:rFonts w:ascii="Arial" w:cs="Arial" w:eastAsia="Arial" w:hAnsi="Arial"/>
          <w:sz w:val="20"/>
          <w:szCs w:val="20"/>
          <w:color w:val="auto"/>
        </w:rPr>
        <w:t>request of the Borrower or the Administrative Agent), executed copies of IRS Form W-9 certifying that such Lender is exempt from U.S. federal backup withholding tax;</w:t>
      </w:r>
    </w:p>
    <w:p>
      <w:pPr>
        <w:spacing w:after="0" w:line="177" w:lineRule="exact"/>
        <w:rPr>
          <w:sz w:val="20"/>
          <w:szCs w:val="20"/>
          <w:color w:val="auto"/>
        </w:rPr>
      </w:pPr>
    </w:p>
    <w:p>
      <w:pPr>
        <w:jc w:val="both"/>
        <w:ind w:left="1500" w:firstLine="640"/>
        <w:spacing w:after="0" w:line="260" w:lineRule="auto"/>
        <w:tabs>
          <w:tab w:leader="none" w:pos="2796"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rFonts w:ascii="Arial" w:cs="Arial" w:eastAsia="Arial" w:hAnsi="Arial"/>
          <w:sz w:val="19"/>
          <w:szCs w:val="19"/>
          <w:color w:val="auto"/>
        </w:rPr>
      </w:pPr>
    </w:p>
    <w:p>
      <w:pPr>
        <w:jc w:val="both"/>
        <w:ind w:left="2140" w:firstLine="648"/>
        <w:spacing w:after="0" w:line="257" w:lineRule="auto"/>
        <w:tabs>
          <w:tab w:leader="none" w:pos="3436" w:val="left"/>
        </w:tabs>
        <w:numPr>
          <w:ilvl w:val="1"/>
          <w:numId w:val="25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0" w:lineRule="exact"/>
        <w:rPr>
          <w:rFonts w:ascii="Arial" w:cs="Arial" w:eastAsia="Arial" w:hAnsi="Arial"/>
          <w:sz w:val="19"/>
          <w:szCs w:val="19"/>
          <w:color w:val="auto"/>
        </w:rPr>
      </w:pPr>
    </w:p>
    <w:p>
      <w:pPr>
        <w:ind w:left="3440" w:hanging="652"/>
        <w:spacing w:after="0"/>
        <w:tabs>
          <w:tab w:leader="none" w:pos="344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2140" w:firstLine="648"/>
        <w:spacing w:after="0" w:line="269" w:lineRule="auto"/>
        <w:tabs>
          <w:tab w:leader="none" w:pos="3436"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20"/>
          <w:szCs w:val="20"/>
          <w:color w:val="auto"/>
        </w:rPr>
        <w:t>(y) executed copies of IRS Form W-8BEN-E (or W-8BEN, as applicable); or</w:t>
      </w:r>
    </w:p>
    <w:p>
      <w:pPr>
        <w:spacing w:after="0" w:line="199" w:lineRule="exact"/>
        <w:rPr>
          <w:rFonts w:ascii="Arial" w:cs="Arial" w:eastAsia="Arial" w:hAnsi="Arial"/>
          <w:sz w:val="18"/>
          <w:szCs w:val="18"/>
          <w:color w:val="auto"/>
        </w:rPr>
      </w:pPr>
    </w:p>
    <w:p>
      <w:pPr>
        <w:jc w:val="both"/>
        <w:ind w:left="2140" w:firstLine="648"/>
        <w:spacing w:after="0" w:line="273" w:lineRule="auto"/>
        <w:tabs>
          <w:tab w:leader="none" w:pos="3436"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8"/>
          <w:szCs w:val="18"/>
          <w:u w:val="single" w:color="auto"/>
          <w:color w:val="auto"/>
        </w:rPr>
        <w:t>Exhibit J-2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J-3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J-4</w:t>
      </w:r>
      <w:r>
        <w:rPr>
          <w:rFonts w:ascii="Arial" w:cs="Arial" w:eastAsia="Arial" w:hAnsi="Arial"/>
          <w:sz w:val="18"/>
          <w:szCs w:val="18"/>
          <w:color w:val="auto"/>
        </w:rPr>
        <w:t xml:space="preserve"> on behalf of each such direct and indirect partner;</w:t>
      </w:r>
    </w:p>
    <w:p>
      <w:pPr>
        <w:spacing w:after="0" w:line="168" w:lineRule="exact"/>
        <w:rPr>
          <w:rFonts w:ascii="Arial" w:cs="Arial" w:eastAsia="Arial" w:hAnsi="Arial"/>
          <w:sz w:val="18"/>
          <w:szCs w:val="18"/>
          <w:color w:val="auto"/>
        </w:rPr>
      </w:pPr>
    </w:p>
    <w:p>
      <w:pPr>
        <w:jc w:val="both"/>
        <w:ind w:left="1500" w:firstLine="640"/>
        <w:spacing w:after="0" w:line="278" w:lineRule="auto"/>
        <w:tabs>
          <w:tab w:leader="none" w:pos="279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7" w:name="page278"/>
    <w:bookmarkEnd w:id="277"/>
    <w:p>
      <w:pPr>
        <w:jc w:val="both"/>
        <w:ind w:left="1500"/>
        <w:spacing w:after="0" w:line="246" w:lineRule="auto"/>
        <w:rPr>
          <w:sz w:val="20"/>
          <w:szCs w:val="20"/>
          <w:color w:val="auto"/>
        </w:rPr>
      </w:pPr>
      <w:r>
        <w:rPr>
          <w:rFonts w:ascii="Arial" w:cs="Arial" w:eastAsia="Arial" w:hAnsi="Arial"/>
          <w:sz w:val="20"/>
          <w:szCs w:val="20"/>
          <w:color w:val="auto"/>
        </w:rPr>
        <w:t>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1" w:lineRule="exact"/>
        <w:rPr>
          <w:sz w:val="20"/>
          <w:szCs w:val="20"/>
          <w:color w:val="auto"/>
        </w:rPr>
      </w:pPr>
    </w:p>
    <w:p>
      <w:pPr>
        <w:jc w:val="both"/>
        <w:ind w:left="1500" w:firstLine="640"/>
        <w:spacing w:after="0" w:line="241" w:lineRule="auto"/>
        <w:tabs>
          <w:tab w:leader="none" w:pos="2796" w:val="left"/>
        </w:tabs>
        <w:numPr>
          <w:ilvl w:val="2"/>
          <w:numId w:val="251"/>
        </w:numPr>
        <w:rPr>
          <w:rFonts w:ascii="Arial" w:cs="Arial" w:eastAsia="Arial" w:hAnsi="Arial"/>
          <w:sz w:val="20"/>
          <w:szCs w:val="20"/>
          <w:color w:val="auto"/>
        </w:rPr>
      </w:pPr>
      <w:r>
        <w:rPr>
          <w:rFonts w:ascii="Arial" w:cs="Arial" w:eastAsia="Arial" w:hAnsi="Arial"/>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0"/>
          <w:szCs w:val="20"/>
          <w:u w:val="single" w:color="auto"/>
          <w:color w:val="auto"/>
        </w:rPr>
        <w:t>clause (f)(ii)(D)</w:t>
      </w:r>
      <w:r>
        <w:rPr>
          <w:rFonts w:ascii="Arial" w:cs="Arial" w:eastAsia="Arial" w:hAnsi="Arial"/>
          <w:sz w:val="20"/>
          <w:szCs w:val="20"/>
          <w:color w:val="auto"/>
        </w:rPr>
        <w:t>, “FATCA” shall include any amendments made to FATCA after the Closing Date.</w:t>
      </w:r>
    </w:p>
    <w:p>
      <w:pPr>
        <w:spacing w:after="0" w:line="197"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91" w:lineRule="exact"/>
        <w:rPr>
          <w:rFonts w:ascii="Arial" w:cs="Arial" w:eastAsia="Arial" w:hAnsi="Arial"/>
          <w:sz w:val="20"/>
          <w:szCs w:val="20"/>
          <w:color w:val="auto"/>
        </w:rPr>
      </w:pPr>
    </w:p>
    <w:p>
      <w:pPr>
        <w:jc w:val="both"/>
        <w:ind w:left="200" w:firstLine="644"/>
        <w:spacing w:after="0" w:line="253" w:lineRule="auto"/>
        <w:tabs>
          <w:tab w:leader="none" w:pos="1496"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each Loan Party, upon the request of the Recipient, agrees to repay the amount paid over to such Loan Party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in no event will the applicable Recipient be required to pay any amount to such Loan Party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3.01(g)</w:t>
      </w:r>
      <w:r>
        <w:rPr>
          <w:rFonts w:ascii="Arial" w:cs="Arial" w:eastAsia="Arial" w:hAnsi="Arial"/>
          <w:sz w:val="19"/>
          <w:szCs w:val="19"/>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shall not be construed to require any Recipient to make available its tax returns (or any other information relating to its Taxes that it deems confidential) to any Loan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78" w:name="page279"/>
    <w:bookmarkEnd w:id="278"/>
    <w:p>
      <w:pPr>
        <w:jc w:val="both"/>
        <w:ind w:left="660" w:firstLine="644"/>
        <w:spacing w:after="0" w:line="250" w:lineRule="auto"/>
        <w:tabs>
          <w:tab w:leader="none" w:pos="1956"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If any Lender determines that any Law has made it unlawful, or that any Governmental Authority has asserted that it is unlawful, for any Lender or its Lending Office to perform any of its obligations hereunder or to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perform such obligations, to issue, make, maintain, fund or charge interest with respect to any such Credit Extension or to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(ii)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in connection with any request for a Eurodollar Rate Loan or a conversion to or continuation thereof, (i) the Administrative Agent determines that (A) Dollar deposits are not being offered to banks in the London interbank market for the applicable amount and Interest Period of such Eurodollar Rate Loan, or (B)(1) adequate and reasonable means do not exist for determining the Eurodollar Rate for any requested Interest Period with respect to a proposed Eurodollar Rate Loan or in connection with an existing or proposed Base Rate Loan, and</w:t>
      </w:r>
    </w:p>
    <w:p>
      <w:pPr>
        <w:spacing w:after="0" w:line="3" w:lineRule="exact"/>
        <w:rPr>
          <w:rFonts w:ascii="Arial" w:cs="Arial" w:eastAsia="Arial" w:hAnsi="Arial"/>
          <w:sz w:val="18"/>
          <w:szCs w:val="18"/>
          <w:color w:val="auto"/>
        </w:rPr>
      </w:pPr>
    </w:p>
    <w:p>
      <w:pPr>
        <w:jc w:val="both"/>
        <w:ind w:left="660" w:hanging="4"/>
        <w:spacing w:after="0"/>
        <w:tabs>
          <w:tab w:leader="none" w:pos="962"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the circumstances described in </w:t>
      </w:r>
      <w:r>
        <w:rPr>
          <w:rFonts w:ascii="Arial" w:cs="Arial" w:eastAsia="Arial" w:hAnsi="Arial"/>
          <w:sz w:val="20"/>
          <w:szCs w:val="20"/>
          <w:u w:val="single" w:color="auto"/>
          <w:color w:val="auto"/>
        </w:rPr>
        <w:t>Section 3.03(c)(i)</w:t>
      </w:r>
      <w:r>
        <w:rPr>
          <w:rFonts w:ascii="Arial" w:cs="Arial" w:eastAsia="Arial" w:hAnsi="Arial"/>
          <w:sz w:val="20"/>
          <w:szCs w:val="20"/>
          <w:color w:val="auto"/>
        </w:rPr>
        <w:t xml:space="preserve"> do not apply (in each case with respect to this </w:t>
      </w:r>
      <w:r>
        <w:rPr>
          <w:rFonts w:ascii="Arial" w:cs="Arial" w:eastAsia="Arial" w:hAnsi="Arial"/>
          <w:sz w:val="20"/>
          <w:szCs w:val="20"/>
          <w:u w:val="single" w:color="auto"/>
          <w:color w:val="auto"/>
        </w:rPr>
        <w:t>clause (a)(i)</w:t>
      </w:r>
      <w:r>
        <w:rPr>
          <w:rFonts w:ascii="Arial" w:cs="Arial" w:eastAsia="Arial" w:hAnsi="Arial"/>
          <w:sz w:val="20"/>
          <w:szCs w:val="20"/>
          <w:color w:val="auto"/>
        </w:rPr>
        <w:t>, “</w:t>
      </w:r>
      <w:r>
        <w:rPr>
          <w:rFonts w:ascii="Arial" w:cs="Arial" w:eastAsia="Arial" w:hAnsi="Arial"/>
          <w:sz w:val="20"/>
          <w:szCs w:val="20"/>
          <w:u w:val="single" w:color="auto"/>
          <w:color w:val="auto"/>
        </w:rPr>
        <w:t>Impacted Loans</w:t>
      </w:r>
      <w:r>
        <w:rPr>
          <w:rFonts w:ascii="Arial" w:cs="Arial" w:eastAsia="Arial" w:hAnsi="Arial"/>
          <w:sz w:val="20"/>
          <w:szCs w:val="20"/>
          <w:color w:val="auto"/>
        </w:rPr>
        <w:t>”), or (ii) the Administrative Agent or the Required Lenders determine that for any reason Eurodollar Rate for any requested Interest Period with respect to a proposed Eurodollar Rate Loan does not adequately and fairly reflect the cost to the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79" w:name="page280"/>
    <w:bookmarkEnd w:id="279"/>
    <w:p>
      <w:pPr>
        <w:jc w:val="both"/>
        <w:ind w:left="200"/>
        <w:spacing w:after="0" w:line="257" w:lineRule="auto"/>
        <w:rPr>
          <w:sz w:val="20"/>
          <w:szCs w:val="20"/>
          <w:color w:val="auto"/>
        </w:rPr>
      </w:pPr>
      <w:r>
        <w:rPr>
          <w:rFonts w:ascii="Arial" w:cs="Arial" w:eastAsia="Arial" w:hAnsi="Arial"/>
          <w:sz w:val="19"/>
          <w:szCs w:val="19"/>
          <w:color w:val="auto"/>
        </w:rPr>
        <w:t xml:space="preserve">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0" w:lineRule="exact"/>
        <w:rPr>
          <w:sz w:val="20"/>
          <w:szCs w:val="20"/>
          <w:color w:val="auto"/>
        </w:rPr>
      </w:pPr>
    </w:p>
    <w:p>
      <w:pPr>
        <w:jc w:val="both"/>
        <w:ind w:left="200" w:firstLine="644"/>
        <w:spacing w:after="0" w:line="308" w:lineRule="auto"/>
        <w:tabs>
          <w:tab w:leader="none" w:pos="149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Section 3.03(a)(i)</w:t>
      </w:r>
      <w:r>
        <w:rPr>
          <w:rFonts w:ascii="Arial" w:cs="Arial" w:eastAsia="Arial" w:hAnsi="Arial"/>
          <w:sz w:val="16"/>
          <w:szCs w:val="16"/>
          <w:color w:val="auto"/>
        </w:rPr>
        <w:t xml:space="preserve">,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6"/>
          <w:szCs w:val="16"/>
          <w:u w:val="single" w:color="auto"/>
          <w:color w:val="auto"/>
        </w:rPr>
        <w:t>Section 3.03(a)(i)</w:t>
      </w:r>
      <w:r>
        <w:rPr>
          <w:rFonts w:ascii="Arial" w:cs="Arial" w:eastAsia="Arial" w:hAnsi="Arial"/>
          <w:sz w:val="16"/>
          <w:szCs w:val="16"/>
          <w:color w:val="auto"/>
        </w:rPr>
        <w:t>, (ii) the Administrative Agent or the Required Lenders notify the Administrative Agent and the Borrower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379" w:lineRule="exact"/>
        <w:rPr>
          <w:rFonts w:ascii="Arial" w:cs="Arial" w:eastAsia="Arial" w:hAnsi="Arial"/>
          <w:sz w:val="16"/>
          <w:szCs w:val="16"/>
          <w:color w:val="auto"/>
        </w:rPr>
      </w:pPr>
    </w:p>
    <w:p>
      <w:pPr>
        <w:jc w:val="both"/>
        <w:ind w:left="200" w:firstLine="644"/>
        <w:spacing w:after="0" w:line="263" w:lineRule="auto"/>
        <w:tabs>
          <w:tab w:leader="none" w:pos="149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6" w:lineRule="exact"/>
        <w:rPr>
          <w:rFonts w:ascii="Arial" w:cs="Arial" w:eastAsia="Arial" w:hAnsi="Arial"/>
          <w:sz w:val="19"/>
          <w:szCs w:val="19"/>
          <w:color w:val="auto"/>
        </w:rPr>
      </w:pPr>
    </w:p>
    <w:p>
      <w:pPr>
        <w:jc w:val="both"/>
        <w:ind w:left="840" w:right="20" w:firstLine="652"/>
        <w:spacing w:after="0" w:line="269" w:lineRule="auto"/>
        <w:tabs>
          <w:tab w:leader="none" w:pos="2136" w:val="left"/>
        </w:tabs>
        <w:numPr>
          <w:ilvl w:val="1"/>
          <w:numId w:val="257"/>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LIBOR for any Interest Period hereunder or any other tenors of LIBOR, including because the LIBOR Screen Rate is not available or published on a current basis and such circumstances are unlikely to be temporary; or</w:t>
      </w:r>
    </w:p>
    <w:p>
      <w:pPr>
        <w:spacing w:after="0" w:line="169" w:lineRule="exact"/>
        <w:rPr>
          <w:rFonts w:ascii="Arial" w:cs="Arial" w:eastAsia="Arial" w:hAnsi="Arial"/>
          <w:sz w:val="19"/>
          <w:szCs w:val="19"/>
          <w:color w:val="auto"/>
        </w:rPr>
      </w:pPr>
    </w:p>
    <w:p>
      <w:pPr>
        <w:jc w:val="both"/>
        <w:ind w:left="840" w:firstLine="652"/>
        <w:spacing w:after="0" w:line="276" w:lineRule="auto"/>
        <w:tabs>
          <w:tab w:leader="none" w:pos="213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the administrator of the LIBOR Screen Rate or a Governmental Authority having jurisdiction over the Administrative Agent or such administrator has made a public statement identifying a specific date after which LIBOR or the LIBOR Screen Rate shall no longer be made available, or used for determining the interest rate of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64" w:lineRule="exact"/>
        <w:rPr>
          <w:rFonts w:ascii="Arial" w:cs="Arial" w:eastAsia="Arial" w:hAnsi="Arial"/>
          <w:sz w:val="18"/>
          <w:szCs w:val="18"/>
          <w:color w:val="auto"/>
        </w:rPr>
      </w:pPr>
    </w:p>
    <w:p>
      <w:pPr>
        <w:jc w:val="both"/>
        <w:ind w:left="840" w:firstLine="652"/>
        <w:spacing w:after="0" w:line="250" w:lineRule="auto"/>
        <w:tabs>
          <w:tab w:leader="none" w:pos="2136" w:val="left"/>
        </w:tabs>
        <w:numPr>
          <w:ilvl w:val="1"/>
          <w:numId w:val="257"/>
        </w:numPr>
        <w:rPr>
          <w:rFonts w:ascii="Arial" w:cs="Arial" w:eastAsia="Arial" w:hAnsi="Arial"/>
          <w:sz w:val="20"/>
          <w:szCs w:val="20"/>
          <w:color w:val="auto"/>
        </w:rPr>
      </w:pPr>
      <w:r>
        <w:rPr>
          <w:rFonts w:ascii="Arial" w:cs="Arial" w:eastAsia="Arial" w:hAnsi="Arial"/>
          <w:sz w:val="20"/>
          <w:szCs w:val="20"/>
          <w:color w:val="auto"/>
        </w:rPr>
        <w:t>the administrator of the LIBOR Screen Rate or a Governmental Authority having jurisdiction over such administrator has made a public statement announcing that all Interest Periods and other tenors of LIBOR are no longer representative; or</w:t>
      </w:r>
    </w:p>
    <w:p>
      <w:pPr>
        <w:spacing w:after="0" w:line="185"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1"/>
          <w:numId w:val="257"/>
        </w:numPr>
        <w:rPr>
          <w:rFonts w:ascii="Arial" w:cs="Arial" w:eastAsia="Arial" w:hAnsi="Arial"/>
          <w:sz w:val="20"/>
          <w:szCs w:val="20"/>
          <w:color w:val="auto"/>
        </w:rPr>
      </w:pPr>
      <w:r>
        <w:rPr>
          <w:rFonts w:ascii="Arial" w:cs="Arial" w:eastAsia="Arial" w:hAnsi="Arial"/>
          <w:sz w:val="20"/>
          <w:szCs w:val="20"/>
          <w:color w:val="auto"/>
        </w:rPr>
        <w:t xml:space="preserve">syndicated loans currently being executed, or that include language similar to that contained in this </w:t>
      </w:r>
      <w:r>
        <w:rPr>
          <w:rFonts w:ascii="Arial" w:cs="Arial" w:eastAsia="Arial" w:hAnsi="Arial"/>
          <w:sz w:val="20"/>
          <w:szCs w:val="20"/>
          <w:u w:val="single" w:color="auto"/>
          <w:color w:val="auto"/>
        </w:rPr>
        <w:t>Section 3.03</w:t>
      </w:r>
      <w:r>
        <w:rPr>
          <w:rFonts w:ascii="Arial" w:cs="Arial" w:eastAsia="Arial" w:hAnsi="Arial"/>
          <w:sz w:val="20"/>
          <w:szCs w:val="20"/>
          <w:color w:val="auto"/>
        </w:rPr>
        <w:t>, are being executed or amended (as applicable) to incorporate or adopt a new benchmark interest rate to replace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0" w:name="page281"/>
    <w:bookmarkEnd w:id="280"/>
    <w:p>
      <w:pPr>
        <w:jc w:val="both"/>
        <w:ind w:left="200"/>
        <w:spacing w:after="0" w:line="263" w:lineRule="auto"/>
        <w:rPr>
          <w:sz w:val="20"/>
          <w:szCs w:val="20"/>
          <w:color w:val="auto"/>
        </w:rPr>
      </w:pPr>
      <w:r>
        <w:rPr>
          <w:rFonts w:ascii="Arial" w:cs="Arial" w:eastAsia="Arial" w:hAnsi="Arial"/>
          <w:sz w:val="18"/>
          <w:szCs w:val="18"/>
          <w:color w:val="auto"/>
        </w:rPr>
        <w:t xml:space="preserve">then,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on a date and time determined by the Administrative Agent (any such date, a “</w:t>
      </w:r>
      <w:r>
        <w:rPr>
          <w:rFonts w:ascii="Arial" w:cs="Arial" w:eastAsia="Arial" w:hAnsi="Arial"/>
          <w:sz w:val="18"/>
          <w:szCs w:val="18"/>
          <w:u w:val="single" w:color="auto"/>
          <w:color w:val="auto"/>
        </w:rPr>
        <w:t>LIBOR Replacement Date</w:t>
      </w:r>
      <w:r>
        <w:rPr>
          <w:rFonts w:ascii="Arial" w:cs="Arial" w:eastAsia="Arial" w:hAnsi="Arial"/>
          <w:sz w:val="18"/>
          <w:szCs w:val="18"/>
          <w:color w:val="auto"/>
        </w:rPr>
        <w:t xml:space="preserve">”), which date shall be at the end of an Interest Period or on the relevant Interest Payment Date, as applicable, for interest calculated and shall occur within a reasonable period of time after the occurrence of any of the events or circumstances under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and, solely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(any such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and any such rate before giving effect to the Related Adjustment, the “</w:t>
      </w:r>
      <w:r>
        <w:rPr>
          <w:rFonts w:ascii="Arial" w:cs="Arial" w:eastAsia="Arial" w:hAnsi="Arial"/>
          <w:sz w:val="18"/>
          <w:szCs w:val="18"/>
          <w:u w:val="single" w:color="auto"/>
          <w:color w:val="auto"/>
        </w:rPr>
        <w:t>Pre-Adjustment Successor Rate</w:t>
      </w:r>
      <w:r>
        <w:rPr>
          <w:rFonts w:ascii="Arial" w:cs="Arial" w:eastAsia="Arial" w:hAnsi="Arial"/>
          <w:sz w:val="18"/>
          <w:szCs w:val="18"/>
          <w:color w:val="auto"/>
        </w:rPr>
        <w:t xml:space="preserve">”): (x) Term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Related Adjustment; and (y)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Related Adjustment; and in the case of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the Borrower and Administrative Agent may amend this Agreement solely for the purpose of replacing LIBOR under this Agreement and under any other Loan Document in accordance with the definition of “LIBOR Successor Rate” and such amendment will become effective at 5:00 p.m. (New York City time), on the fifth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Administrative Agent shall have notified all Lenders and the Borrower of the occurrence of the circumstances described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unless, prior to such time, Lenders comprising the Required Lenders have delivered to the Administrative Agent written notice that such Required Lenders object to the implementation of a LIBOR Successor Rate pursuant to such clause;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then in effect shall be Term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relevant Related Adjustment. The Administrative Agent will promptly (in one or more notices) notify the Borrower and each Lender of (A) any occurrence of any of the events, periods or circumstances under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(B) a LIBOR Replacement Date, and (C) any LIBOR Successor Rate. Any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to the extent such market practice is not administratively feasible for the Administrative Agent, such LIBOR Successor Rate shall be applied in a manner as otherwise reasonably determined by the Administrative Agent. Notwithstanding anything else herein, if at any time any LIBOR Successor Rate as so determined would otherwise be less than zero, the LIBOR Successor Rate will be deemed to be zero for the purposes of this Agreement and the other Loan Documents. 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any such amendment effected, the Administrative Agent shall post each such amendment implementing such LIBOR Successor Rate Conforming Changes to the Borrower and the Lenders reasonably promptly after such amendment becomes effective. If the events or circumstances of the type described in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through</w:t>
      </w:r>
    </w:p>
    <w:p>
      <w:pPr>
        <w:spacing w:after="0" w:line="20" w:lineRule="exact"/>
        <w:rPr>
          <w:sz w:val="20"/>
          <w:szCs w:val="20"/>
          <w:color w:val="auto"/>
        </w:rPr>
      </w:pPr>
    </w:p>
    <w:p>
      <w:pPr>
        <w:ind w:left="200" w:hanging="4"/>
        <w:spacing w:after="0" w:line="244" w:lineRule="auto"/>
        <w:tabs>
          <w:tab w:leader="none" w:pos="555" w:val="left"/>
        </w:tabs>
        <w:numPr>
          <w:ilvl w:val="0"/>
          <w:numId w:val="258"/>
        </w:numPr>
        <w:rPr>
          <w:rFonts w:ascii="Arial" w:cs="Arial" w:eastAsia="Arial" w:hAnsi="Arial"/>
          <w:sz w:val="20"/>
          <w:szCs w:val="20"/>
          <w:u w:val="single" w:color="auto"/>
          <w:color w:val="auto"/>
        </w:rPr>
      </w:pPr>
      <w:r>
        <w:rPr>
          <w:rFonts w:ascii="Arial" w:cs="Arial" w:eastAsia="Arial" w:hAnsi="Arial"/>
          <w:sz w:val="20"/>
          <w:szCs w:val="20"/>
          <w:color w:val="auto"/>
        </w:rPr>
        <w:t>have occurred with respect to the LIBOR Successor Rate then in effect, then the successor rate thereto shall be determined in accordance with the definition of “LIBOR Successor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1" w:name="page282"/>
    <w:bookmarkEnd w:id="281"/>
    <w:p>
      <w:pPr>
        <w:jc w:val="both"/>
        <w:ind w:left="660" w:firstLine="644"/>
        <w:spacing w:after="0" w:line="262" w:lineRule="auto"/>
        <w:tabs>
          <w:tab w:leader="none" w:pos="195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 after any such determination by the Administrative Agent or receipt by the Administrative Agent of any such notice described under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as applicable, if the Administrative Agent determines that none of the LIBOR Successor Rates is available on or prior to the applicable LIBOR Replacement Date, (ii) if the events or circumstances described in </w:t>
      </w:r>
      <w:r>
        <w:rPr>
          <w:rFonts w:ascii="Arial" w:cs="Arial" w:eastAsia="Arial" w:hAnsi="Arial"/>
          <w:sz w:val="18"/>
          <w:szCs w:val="18"/>
          <w:u w:val="single" w:color="auto"/>
          <w:color w:val="auto"/>
        </w:rPr>
        <w:t>Section 3.03(c)(iv)</w:t>
      </w:r>
      <w:r>
        <w:rPr>
          <w:rFonts w:ascii="Arial" w:cs="Arial" w:eastAsia="Arial" w:hAnsi="Arial"/>
          <w:sz w:val="18"/>
          <w:szCs w:val="18"/>
          <w:color w:val="auto"/>
        </w:rPr>
        <w:t xml:space="preserve"> have occurred but none of the LIBOR Successor Rates is available, or (iii) if the events or circumstances of the type described in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have occurred with respect to the LIBOR Successor Rate then in effect and the Administrative Agent determines that none of the LIBOR Successor Rates is available, then in each case, the Administrative Agent and the Borrower may amend this Agreement solely for the purpose of replacing LIBOR or any then current LIBOR Successor Rate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at the end of any Interest Period, relevant Interest Payment Date or payment period for interest calculated, as applicable, with another alternate benchmark rate giving due consideration to any evolving or then-existing convention for similar Dollar-denominated syndicated credit facilities for such alternative benchmarks and, in each case, including any Related Adjustments and any other mathematical or other adjustments to such benchmark giving due consideration to any evolving or then-existing convention for similar Dollar-denominated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LIBOR Successor Rate. Any such amendment shall become effective at 5:00 p.m. (New York City time) on the fifth (5</w:t>
      </w:r>
      <w:r>
        <w:rPr>
          <w:rFonts w:ascii="Arial" w:cs="Arial" w:eastAsia="Arial" w:hAnsi="Arial"/>
          <w:sz w:val="26"/>
          <w:szCs w:val="26"/>
          <w:color w:val="auto"/>
          <w:vertAlign w:val="superscript"/>
        </w:rPr>
        <w:t>th</w:t>
      </w:r>
      <w:r>
        <w:rPr>
          <w:rFonts w:ascii="Arial" w:cs="Arial" w:eastAsia="Arial" w:hAnsi="Arial"/>
          <w:sz w:val="18"/>
          <w:szCs w:val="18"/>
          <w:color w:val="auto"/>
        </w:rPr>
        <w:t>)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9" w:lineRule="exact"/>
        <w:rPr>
          <w:rFonts w:ascii="Arial" w:cs="Arial" w:eastAsia="Arial" w:hAnsi="Arial"/>
          <w:sz w:val="18"/>
          <w:szCs w:val="18"/>
          <w:color w:val="auto"/>
        </w:rPr>
      </w:pPr>
    </w:p>
    <w:p>
      <w:pPr>
        <w:jc w:val="both"/>
        <w:ind w:left="660" w:firstLine="644"/>
        <w:spacing w:after="0" w:line="270" w:lineRule="auto"/>
        <w:tabs>
          <w:tab w:leader="none" w:pos="195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If, at the end of any Interest Period, relevant Interest Payment Date or payment period for interest calculated, no LIBOR Successor Rate has been determined in accordance with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3.03(d)</w:t>
      </w:r>
      <w:r>
        <w:rPr>
          <w:rFonts w:ascii="Arial" w:cs="Arial" w:eastAsia="Arial" w:hAnsi="Arial"/>
          <w:sz w:val="18"/>
          <w:szCs w:val="18"/>
          <w:color w:val="auto"/>
        </w:rPr>
        <w:t xml:space="preserve"> and the circumstances under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3.03(d)(iii)</w:t>
      </w:r>
      <w:r>
        <w:rPr>
          <w:rFonts w:ascii="Arial" w:cs="Arial" w:eastAsia="Arial" w:hAnsi="Arial"/>
          <w:sz w:val="18"/>
          <w:szCs w:val="18"/>
          <w:color w:val="auto"/>
        </w:rPr>
        <w:t xml:space="preserve"> above exist or the Scheduled Unavailability Date has occurred (as applicable), the Administrative Agent will promptly so notify the Borrower and each Lender. Thereafter, (i) the obligation of the Lenders to make or maintain Eurodollar Rate Loans shall be suspended (to the extent of the affected Eurodollar Rate Loans, Interest Periods, Interest Payment Dates or payment periods), and (ii) the Eurodollar Rate component shall no longer be utilized in determining the Base Rate, until the LIBOR Successor Rate has been determined in accordance with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3.03(d)</w:t>
      </w:r>
      <w:r>
        <w:rPr>
          <w:rFonts w:ascii="Arial" w:cs="Arial" w:eastAsia="Arial" w:hAnsi="Arial"/>
          <w:sz w:val="18"/>
          <w:szCs w:val="18"/>
          <w:color w:val="auto"/>
        </w:rPr>
        <w:t xml:space="preserve">. Upon receipt of such notice, the Borrower may revoke any pending request for a Borrowing of, conversion to or continuation of Eurodollar Rate Loans (to the extent of the affected Eurodollar Rate Loans, Interest Periods, Interest Payment Dates or payment periods) or, failing that, will be deemed to have converted such request into a request for a Borrowing of Base Rate Loans (subject to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 in the amount specified therein.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Costs; Reserves on Eurodollar Rate Loans</w:t>
      </w:r>
      <w:r>
        <w:rPr>
          <w:rFonts w:ascii="Arial" w:cs="Arial" w:eastAsia="Arial" w:hAnsi="Arial"/>
          <w:sz w:val="16"/>
          <w:szCs w:val="16"/>
          <w:color w:val="auto"/>
        </w:rPr>
        <w:t>.</w:t>
      </w:r>
    </w:p>
    <w:p>
      <w:pPr>
        <w:spacing w:after="0" w:line="216" w:lineRule="exact"/>
        <w:rPr>
          <w:sz w:val="20"/>
          <w:szCs w:val="20"/>
          <w:color w:val="auto"/>
        </w:rPr>
      </w:pPr>
    </w:p>
    <w:p>
      <w:pPr>
        <w:ind w:left="1960" w:hanging="656"/>
        <w:spacing w:after="0"/>
        <w:tabs>
          <w:tab w:leader="none" w:pos="1960"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260"/>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3.04(d)</w:t>
      </w:r>
      <w:r>
        <w:rPr>
          <w:rFonts w:ascii="Arial" w:cs="Arial" w:eastAsia="Arial" w:hAnsi="Arial"/>
          <w:sz w:val="20"/>
          <w:szCs w:val="20"/>
          <w:color w:val="auto"/>
        </w:rPr>
        <w:t>) or any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82" w:name="page283"/>
    <w:bookmarkEnd w:id="282"/>
    <w:p>
      <w:pPr>
        <w:jc w:val="both"/>
        <w:ind w:left="840" w:firstLine="652"/>
        <w:spacing w:after="0" w:line="246" w:lineRule="auto"/>
        <w:tabs>
          <w:tab w:leader="none" w:pos="2136" w:val="left"/>
        </w:tabs>
        <w:numPr>
          <w:ilvl w:val="0"/>
          <w:numId w:val="261"/>
        </w:numPr>
        <w:rPr>
          <w:rFonts w:ascii="Arial" w:cs="Arial" w:eastAsia="Arial" w:hAnsi="Arial"/>
          <w:sz w:val="20"/>
          <w:szCs w:val="20"/>
          <w:color w:val="auto"/>
        </w:rPr>
      </w:pPr>
      <w:r>
        <w:rPr>
          <w:rFonts w:ascii="Arial" w:cs="Arial" w:eastAsia="Arial" w:hAnsi="Arial"/>
          <w:sz w:val="20"/>
          <w:szCs w:val="20"/>
          <w:color w:val="auto"/>
        </w:rPr>
        <w:t xml:space="preserve">subject any Recipient to any Taxes (other than (A) Indemnified Taxes, (B) Taxes described in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91"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0"/>
          <w:numId w:val="261"/>
        </w:numPr>
        <w:rPr>
          <w:rFonts w:ascii="Arial" w:cs="Arial" w:eastAsia="Arial" w:hAnsi="Arial"/>
          <w:sz w:val="20"/>
          <w:szCs w:val="20"/>
          <w:color w:val="auto"/>
        </w:rPr>
      </w:pPr>
      <w:r>
        <w:rPr>
          <w:rFonts w:ascii="Arial" w:cs="Arial" w:eastAsia="Arial" w:hAnsi="Arial"/>
          <w:sz w:val="20"/>
          <w:szCs w:val="20"/>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86" w:lineRule="exact"/>
        <w:rPr>
          <w:sz w:val="20"/>
          <w:szCs w:val="20"/>
          <w:color w:val="auto"/>
        </w:rPr>
      </w:pPr>
    </w:p>
    <w:p>
      <w:pPr>
        <w:jc w:val="both"/>
        <w:ind w:left="200"/>
        <w:spacing w:after="0" w:line="257"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0" w:lineRule="exact"/>
        <w:rPr>
          <w:sz w:val="20"/>
          <w:szCs w:val="20"/>
          <w:color w:val="auto"/>
        </w:rPr>
      </w:pPr>
    </w:p>
    <w:p>
      <w:pPr>
        <w:jc w:val="both"/>
        <w:ind w:left="200" w:firstLine="644"/>
        <w:spacing w:after="0" w:line="270" w:lineRule="auto"/>
        <w:tabs>
          <w:tab w:leader="none" w:pos="1496"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L/C Issuer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75" w:lineRule="exact"/>
        <w:rPr>
          <w:rFonts w:ascii="Arial" w:cs="Arial" w:eastAsia="Arial" w:hAnsi="Arial"/>
          <w:sz w:val="18"/>
          <w:szCs w:val="18"/>
          <w:color w:val="auto"/>
        </w:rPr>
      </w:pPr>
    </w:p>
    <w:p>
      <w:pPr>
        <w:jc w:val="both"/>
        <w:ind w:left="200" w:firstLine="644"/>
        <w:spacing w:after="0" w:line="278" w:lineRule="auto"/>
        <w:tabs>
          <w:tab w:leader="none" w:pos="1496"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and delivered to the Borrower shall be conclusive absent manifest error. The Borrower shall pay such Lender or such L/C Issuer, as the case may be, the amount shown as due on any such certificate within ten (10) days after receipt thereof.</w:t>
      </w:r>
    </w:p>
    <w:p>
      <w:pPr>
        <w:spacing w:after="0" w:line="164" w:lineRule="exact"/>
        <w:rPr>
          <w:rFonts w:ascii="Arial" w:cs="Arial" w:eastAsia="Arial" w:hAnsi="Arial"/>
          <w:sz w:val="18"/>
          <w:szCs w:val="18"/>
          <w:color w:val="auto"/>
        </w:rPr>
      </w:pPr>
    </w:p>
    <w:p>
      <w:pPr>
        <w:jc w:val="both"/>
        <w:ind w:left="200" w:firstLine="644"/>
        <w:spacing w:after="0" w:line="272" w:lineRule="auto"/>
        <w:tabs>
          <w:tab w:leader="none" w:pos="1496"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3" w:name="page284"/>
    <w:bookmarkEnd w:id="283"/>
    <w:p>
      <w:pPr>
        <w:jc w:val="both"/>
        <w:ind w:left="660"/>
        <w:spacing w:after="0" w:line="303" w:lineRule="auto"/>
        <w:rPr>
          <w:sz w:val="20"/>
          <w:szCs w:val="20"/>
          <w:color w:val="auto"/>
        </w:rPr>
      </w:pPr>
      <w:r>
        <w:rPr>
          <w:rFonts w:ascii="Arial" w:cs="Arial" w:eastAsia="Arial" w:hAnsi="Arial"/>
          <w:sz w:val="16"/>
          <w:szCs w:val="16"/>
          <w:color w:val="auto"/>
        </w:rPr>
        <w:t xml:space="preserve">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w:t>
      </w:r>
    </w:p>
    <w:p>
      <w:pPr>
        <w:spacing w:after="0" w:line="2" w:lineRule="exact"/>
        <w:rPr>
          <w:sz w:val="20"/>
          <w:szCs w:val="20"/>
          <w:color w:val="auto"/>
        </w:rPr>
      </w:pPr>
    </w:p>
    <w:p>
      <w:pPr>
        <w:ind w:left="1040" w:hanging="384"/>
        <w:spacing w:after="0"/>
        <w:tabs>
          <w:tab w:leader="none" w:pos="10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days from receipt of such notice.</w:t>
      </w:r>
    </w:p>
    <w:p>
      <w:pPr>
        <w:spacing w:after="0" w:line="199" w:lineRule="exact"/>
        <w:rPr>
          <w:rFonts w:ascii="Arial" w:cs="Arial" w:eastAsia="Arial" w:hAnsi="Arial"/>
          <w:sz w:val="20"/>
          <w:szCs w:val="20"/>
          <w:color w:val="auto"/>
        </w:rPr>
      </w:pPr>
    </w:p>
    <w:p>
      <w:pPr>
        <w:jc w:val="both"/>
        <w:ind w:left="660" w:firstLine="644"/>
        <w:spacing w:after="0" w:line="272" w:lineRule="auto"/>
        <w:tabs>
          <w:tab w:leader="none" w:pos="1956"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such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shall not be required to compensate a Lender or an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nine (9)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86" w:lineRule="exact"/>
        <w:rPr>
          <w:sz w:val="20"/>
          <w:szCs w:val="20"/>
          <w:color w:val="auto"/>
        </w:rPr>
      </w:pPr>
    </w:p>
    <w:p>
      <w:pPr>
        <w:jc w:val="both"/>
        <w:ind w:left="660" w:firstLine="644"/>
        <w:spacing w:after="0" w:line="250" w:lineRule="auto"/>
        <w:tabs>
          <w:tab w:leader="none" w:pos="195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Eurodollar Rate Loan on a day other than the last day of the Interest Period for such Loan (whether voluntary, mandatory, automatic, by reason of acceleration, or otherwise);</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Eurodollar Rate Loan on the date or in the amount notified by the Borrower; or</w:t>
      </w:r>
    </w:p>
    <w:p>
      <w:pPr>
        <w:spacing w:after="0" w:line="18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For purposes of calculating amounts payable by the Borrower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Eurodollar Rate Loan made by it at the Eurodollar Rate for such Loan by a matching deposit or other borrowing in the London interbank market for a comparable amount and for a comparable period, whether or not such Eurodollar Rate Loan was in fact so funded.</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265"/>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if any Lender gives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84" w:name="page285"/>
    <w:bookmarkEnd w:id="284"/>
    <w:p>
      <w:pPr>
        <w:jc w:val="both"/>
        <w:ind w:left="660"/>
        <w:spacing w:after="0" w:line="256" w:lineRule="auto"/>
        <w:rPr>
          <w:sz w:val="20"/>
          <w:szCs w:val="20"/>
          <w:color w:val="auto"/>
        </w:rPr>
      </w:pPr>
      <w:r>
        <w:rPr>
          <w:rFonts w:ascii="Arial" w:cs="Arial" w:eastAsia="Arial" w:hAnsi="Arial"/>
          <w:sz w:val="19"/>
          <w:szCs w:val="19"/>
          <w:color w:val="auto"/>
        </w:rPr>
        <w:t xml:space="preserve">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84" w:lineRule="exact"/>
        <w:rPr>
          <w:sz w:val="20"/>
          <w:szCs w:val="20"/>
          <w:color w:val="auto"/>
        </w:rPr>
      </w:pPr>
    </w:p>
    <w:p>
      <w:pPr>
        <w:jc w:val="both"/>
        <w:ind w:left="660" w:firstLine="644"/>
        <w:spacing w:after="0" w:line="244" w:lineRule="auto"/>
        <w:tabs>
          <w:tab w:leader="none" w:pos="1956" w:val="left"/>
        </w:tabs>
        <w:numPr>
          <w:ilvl w:val="0"/>
          <w:numId w:val="266"/>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right="340" w:firstLine="648"/>
        <w:spacing w:after="0" w:line="316"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resignation of the Administrative Agent and the Facility Termination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CONDITIONS PRECEDENT TO CREDIT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effectiveness of this Agreement and the obligation of each L/C Issuer and each Lender to make its initial Credit Extension hereunder are subject to satisfaction (or waiver) of the following conditions precedent:</w:t>
      </w:r>
    </w:p>
    <w:p>
      <w:pPr>
        <w:spacing w:after="0" w:line="177" w:lineRule="exact"/>
        <w:rPr>
          <w:sz w:val="20"/>
          <w:szCs w:val="20"/>
          <w:color w:val="auto"/>
        </w:rPr>
      </w:pPr>
    </w:p>
    <w:p>
      <w:pPr>
        <w:jc w:val="both"/>
        <w:ind w:left="660" w:firstLine="644"/>
        <w:spacing w:after="0" w:line="246" w:lineRule="auto"/>
        <w:tabs>
          <w:tab w:leader="none" w:pos="1956" w:val="left"/>
        </w:tabs>
        <w:numPr>
          <w:ilvl w:val="0"/>
          <w:numId w:val="267"/>
        </w:numPr>
        <w:rPr>
          <w:rFonts w:ascii="Arial" w:cs="Arial" w:eastAsia="Arial" w:hAnsi="Arial"/>
          <w:sz w:val="20"/>
          <w:szCs w:val="20"/>
          <w:color w:val="auto"/>
        </w:rPr>
      </w:pPr>
      <w:r>
        <w:rPr>
          <w:rFonts w:ascii="Arial" w:cs="Arial" w:eastAsia="Arial" w:hAnsi="Arial"/>
          <w:sz w:val="20"/>
          <w:szCs w:val="20"/>
          <w:u w:val="single" w:color="auto"/>
          <w:color w:val="auto"/>
        </w:rPr>
        <w:t>Execution of Credit Agreement; Loan Documents</w:t>
      </w:r>
      <w:r>
        <w:rPr>
          <w:rFonts w:ascii="Arial" w:cs="Arial" w:eastAsia="Arial" w:hAnsi="Arial"/>
          <w:sz w:val="20"/>
          <w:szCs w:val="20"/>
          <w:color w:val="auto"/>
        </w:rPr>
        <w:t>. The Administrative Agent shall have received counterparts of this Agreement and each other Loan Document to be executed and delivered on the Closing Date, in each case each executed (i) by a Responsible Officer of the signing Loan Party, and (ii) in the case of this Agreement, by each Lender.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Organization Documents, Resolutions, Etc.</w:t>
      </w:r>
      <w:r>
        <w:rPr>
          <w:rFonts w:ascii="Arial" w:cs="Arial" w:eastAsia="Arial" w:hAnsi="Arial"/>
          <w:sz w:val="19"/>
          <w:szCs w:val="19"/>
          <w:color w:val="auto"/>
        </w:rPr>
        <w:t xml:space="preserve">  The Administrative Agent shall have received the</w:t>
      </w:r>
    </w:p>
    <w:p>
      <w:pPr>
        <w:spacing w:after="0" w:line="27" w:lineRule="exact"/>
        <w:rPr>
          <w:rFonts w:ascii="Arial" w:cs="Arial" w:eastAsia="Arial" w:hAnsi="Arial"/>
          <w:sz w:val="19"/>
          <w:szCs w:val="19"/>
          <w:color w:val="auto"/>
        </w:rPr>
      </w:pPr>
    </w:p>
    <w:p>
      <w:pPr>
        <w:jc w:val="both"/>
        <w:ind w:left="660"/>
        <w:spacing w:after="0" w:line="270" w:lineRule="auto"/>
        <w:rPr>
          <w:rFonts w:ascii="Arial" w:cs="Arial" w:eastAsia="Arial" w:hAnsi="Arial"/>
          <w:sz w:val="19"/>
          <w:szCs w:val="19"/>
          <w:color w:val="auto"/>
        </w:rPr>
      </w:pPr>
      <w:r>
        <w:rPr>
          <w:rFonts w:ascii="Arial" w:cs="Arial" w:eastAsia="Arial" w:hAnsi="Arial"/>
          <w:sz w:val="18"/>
          <w:szCs w:val="18"/>
          <w:color w:val="auto"/>
        </w:rPr>
        <w:t>following: (i) copies of the Organization Documents of each Loan Party certified to be true and complete as of a recent date by the appropriate Governmental Authority of the jurisdiction of its organization and certified by a Responsible Officer of such Loan Party to be true and correct as of the Closing Date; (ii)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(iii) such documents and certifications as the Administrative Agent may reasonably require to evidence that each Loan Party is duly organized or formed, and is validly existing, in good standing and qualified to engage in business in its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85" w:name="page286"/>
    <w:bookmarkEnd w:id="285"/>
    <w:p>
      <w:pPr>
        <w:jc w:val="both"/>
        <w:ind w:left="200" w:firstLine="644"/>
        <w:spacing w:after="0" w:line="250" w:lineRule="auto"/>
        <w:tabs>
          <w:tab w:leader="none" w:pos="1496" w:val="left"/>
        </w:tabs>
        <w:numPr>
          <w:ilvl w:val="1"/>
          <w:numId w:val="268"/>
        </w:numPr>
        <w:rPr>
          <w:rFonts w:ascii="Arial" w:cs="Arial" w:eastAsia="Arial" w:hAnsi="Arial"/>
          <w:sz w:val="20"/>
          <w:szCs w:val="20"/>
          <w:color w:val="auto"/>
        </w:rPr>
      </w:pPr>
      <w:r>
        <w:rPr>
          <w:rFonts w:ascii="Arial" w:cs="Arial" w:eastAsia="Arial" w:hAnsi="Arial"/>
          <w:sz w:val="20"/>
          <w:szCs w:val="20"/>
          <w:u w:val="single" w:color="auto"/>
          <w:color w:val="auto"/>
        </w:rPr>
        <w:t>Legal Opinions of Counsel</w:t>
      </w:r>
      <w:r>
        <w:rPr>
          <w:rFonts w:ascii="Arial" w:cs="Arial" w:eastAsia="Arial" w:hAnsi="Arial"/>
          <w:sz w:val="20"/>
          <w:szCs w:val="20"/>
          <w:color w:val="auto"/>
        </w:rPr>
        <w:t>. The Administrative Agent shall have received an opinion or opinions of counsel for the Loan Parties, dated the Closing Date and addressed to the Administrative Agent, the L/C Issuers and the Lenders, in form and substance acceptable to the Administrative Agent.</w:t>
      </w:r>
    </w:p>
    <w:p>
      <w:pPr>
        <w:spacing w:after="0" w:line="185" w:lineRule="exact"/>
        <w:rPr>
          <w:rFonts w:ascii="Arial" w:cs="Arial" w:eastAsia="Arial" w:hAnsi="Arial"/>
          <w:sz w:val="20"/>
          <w:szCs w:val="20"/>
          <w:color w:val="auto"/>
        </w:rPr>
      </w:pPr>
    </w:p>
    <w:p>
      <w:pPr>
        <w:ind w:left="1500" w:hanging="656"/>
        <w:spacing w:after="0"/>
        <w:tabs>
          <w:tab w:leader="none" w:pos="150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Administrative Agent and the Arrangers shall have received copies of (i)</w:t>
      </w:r>
    </w:p>
    <w:p>
      <w:pPr>
        <w:spacing w:after="0" w:line="38" w:lineRule="exact"/>
        <w:rPr>
          <w:rFonts w:ascii="Arial" w:cs="Arial" w:eastAsia="Arial" w:hAnsi="Arial"/>
          <w:sz w:val="18"/>
          <w:szCs w:val="18"/>
          <w:color w:val="auto"/>
        </w:rPr>
      </w:pPr>
    </w:p>
    <w:p>
      <w:pPr>
        <w:jc w:val="both"/>
        <w:ind w:left="200" w:hanging="4"/>
        <w:spacing w:after="0" w:line="267" w:lineRule="auto"/>
        <w:tabs>
          <w:tab w:leader="none" w:pos="52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the Audited Financial Statements, and (B) the audited annual Consolidated financial statements of the Borrower and its Subsidiaries for the fiscal years of the Borrower ended April 30, 2018 and April 30, 2019, including, for each such fiscal year of the Borrower, a balance sheet and statements of income, cash flows and stockholder’s equity (including, in each case, all footnotes to the foregoing, setting forth in comparative form the corresponding figures as of the end of, and for, the applicable preceding fiscal year of the Borrower), (ii) audited annual Consolidated financial statements of the Closing Date Acquisition Target and its Subsidiaries for the fiscal years of the Closing Date Acquisition Target ended December 31, 2018 and December 31, 2019, to include in each case a balance sheet and statements of income, cash flows and shareholders’ equity (including all footnotes to the foregoing, all in reasonable detail and setting forth in comparative form the corresponding figures as of the end of, and for, the applicable preceding fiscal year of the Closing Date Acquisition Target), (iii) unaudited Consolidated financial statements of the Borrower and its Subsidiaries for the fiscal quarters of the Borrower ended July 31, 2020 and October 31, 2020, to include in each case a balance sheet and statements of income and cash flows, all in reasonable detail and setting forth in comparative form the corresponding figures as of the end of, and for the corresponding period in, the applicable preceding fiscal year of the Borrower, (iv) unaudited Consolidated financial statements of the Closing Date Acquisition Target and its Subsidiaries for the fiscal quarters of the Closing Date Acquisition Target ended March 31, 2020, June 30, 2020 and September 30, 2020, to include in each case a balance sheet and statements of income and cash flows, all in reasonable detail and setting forth in comparative form the corresponding figures as of the end of, and for the corresponding period in, the applicable preceding fiscal year of the Closing Date Acquisition Target, and (v)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financial statements of the Borrower and its Subsidiaries as of and for the twelve (12)-month period ended on October 31, 2020, to include a balance sheet and statements of income, cash flows and stockholders’ equity, prepared after giving effect to the Transactions as if the Transactions had occurred as of such date (in the case of such balance sheet) or at the beginning of such period (in the case of such other financial statements) (the “</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left="200" w:firstLine="644"/>
        <w:spacing w:after="0" w:line="250" w:lineRule="auto"/>
        <w:tabs>
          <w:tab w:leader="none" w:pos="1496" w:val="left"/>
        </w:tabs>
        <w:numPr>
          <w:ilvl w:val="1"/>
          <w:numId w:val="269"/>
        </w:numPr>
        <w:rPr>
          <w:rFonts w:ascii="Arial" w:cs="Arial" w:eastAsia="Arial" w:hAnsi="Arial"/>
          <w:sz w:val="20"/>
          <w:szCs w:val="20"/>
          <w:color w:val="auto"/>
        </w:rPr>
      </w:pPr>
      <w:r>
        <w:rPr>
          <w:rFonts w:ascii="Arial" w:cs="Arial" w:eastAsia="Arial" w:hAnsi="Arial"/>
          <w:sz w:val="20"/>
          <w:szCs w:val="20"/>
          <w:u w:val="single" w:color="auto"/>
          <w:color w:val="auto"/>
        </w:rPr>
        <w:t>No Company Material Adverse Effect</w:t>
      </w:r>
      <w:r>
        <w:rPr>
          <w:rFonts w:ascii="Arial" w:cs="Arial" w:eastAsia="Arial" w:hAnsi="Arial"/>
          <w:sz w:val="20"/>
          <w:szCs w:val="20"/>
          <w:color w:val="auto"/>
        </w:rPr>
        <w:t>. Since the date of the Closing Date Acquisition Agreement, there shall not have been a “Company Material Adverse Effect” (as defined in the Closing Date Acquisition Agreement (as in effect on January 11, 2021)).</w:t>
      </w:r>
    </w:p>
    <w:p>
      <w:pPr>
        <w:spacing w:after="0" w:line="185" w:lineRule="exact"/>
        <w:rPr>
          <w:rFonts w:ascii="Arial" w:cs="Arial" w:eastAsia="Arial" w:hAnsi="Arial"/>
          <w:sz w:val="20"/>
          <w:szCs w:val="20"/>
          <w:color w:val="auto"/>
        </w:rPr>
      </w:pPr>
    </w:p>
    <w:p>
      <w:pPr>
        <w:ind w:left="1500" w:hanging="656"/>
        <w:spacing w:after="0"/>
        <w:tabs>
          <w:tab w:leader="none" w:pos="1500" w:val="left"/>
        </w:tabs>
        <w:numPr>
          <w:ilvl w:val="1"/>
          <w:numId w:val="269"/>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 Insurance</w:t>
      </w:r>
      <w:r>
        <w:rPr>
          <w:rFonts w:ascii="Arial" w:cs="Arial" w:eastAsia="Arial" w:hAnsi="Arial"/>
          <w:sz w:val="20"/>
          <w:szCs w:val="20"/>
          <w:color w:val="auto"/>
        </w:rPr>
        <w:t>. The Administrative Agent shall have received:</w:t>
      </w:r>
    </w:p>
    <w:p>
      <w:pPr>
        <w:spacing w:after="0" w:line="215" w:lineRule="exact"/>
        <w:rPr>
          <w:rFonts w:ascii="Arial" w:cs="Arial" w:eastAsia="Arial" w:hAnsi="Arial"/>
          <w:sz w:val="20"/>
          <w:szCs w:val="20"/>
          <w:color w:val="auto"/>
        </w:rPr>
      </w:pPr>
    </w:p>
    <w:p>
      <w:pPr>
        <w:jc w:val="both"/>
        <w:ind w:left="840" w:firstLine="652"/>
        <w:spacing w:after="0" w:line="244" w:lineRule="auto"/>
        <w:tabs>
          <w:tab w:leader="none" w:pos="2136" w:val="left"/>
        </w:tabs>
        <w:numPr>
          <w:ilvl w:val="2"/>
          <w:numId w:val="269"/>
        </w:numPr>
        <w:rPr>
          <w:rFonts w:ascii="Arial" w:cs="Arial" w:eastAsia="Arial" w:hAnsi="Arial"/>
          <w:sz w:val="20"/>
          <w:szCs w:val="20"/>
          <w:color w:val="auto"/>
        </w:rPr>
      </w:pPr>
      <w:r>
        <w:rPr>
          <w:rFonts w:ascii="Arial" w:cs="Arial" w:eastAsia="Arial" w:hAnsi="Arial"/>
          <w:sz w:val="20"/>
          <w:szCs w:val="20"/>
          <w:color w:val="auto"/>
        </w:rPr>
        <w:t>(A) searches of UCC filings in the jurisdiction of organization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and judgment searches;</w:t>
      </w:r>
    </w:p>
    <w:p>
      <w:pPr>
        <w:spacing w:after="0" w:line="194"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2"/>
          <w:numId w:val="269"/>
        </w:numPr>
        <w:rPr>
          <w:rFonts w:ascii="Arial" w:cs="Arial" w:eastAsia="Arial" w:hAnsi="Arial"/>
          <w:sz w:val="20"/>
          <w:szCs w:val="20"/>
          <w:color w:val="auto"/>
        </w:rPr>
      </w:pPr>
      <w:r>
        <w:rPr>
          <w:rFonts w:ascii="Arial" w:cs="Arial" w:eastAsia="Arial" w:hAnsi="Arial"/>
          <w:sz w:val="20"/>
          <w:szCs w:val="20"/>
          <w:color w:val="auto"/>
        </w:rPr>
        <w:t>searches of ownership of registered and pending Intellectual Property in the United States Copyright Office and the United States Patent and Trademark Office and duly executed notices of grant of security interest in the form required by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6" w:name="page287"/>
    <w:bookmarkEnd w:id="286"/>
    <w:p>
      <w:pPr>
        <w:ind w:left="840"/>
        <w:spacing w:after="0" w:line="260" w:lineRule="auto"/>
        <w:rPr>
          <w:sz w:val="20"/>
          <w:szCs w:val="20"/>
          <w:color w:val="auto"/>
        </w:rPr>
      </w:pPr>
      <w:r>
        <w:rPr>
          <w:rFonts w:ascii="Arial" w:cs="Arial" w:eastAsia="Arial" w:hAnsi="Arial"/>
          <w:sz w:val="20"/>
          <w:szCs w:val="20"/>
          <w:color w:val="auto"/>
        </w:rPr>
        <w:t>Documents as are necessary to perfect the Administrative Agent’s security interest in such Intellectual Property;</w:t>
      </w:r>
    </w:p>
    <w:p>
      <w:pPr>
        <w:spacing w:after="0" w:line="177" w:lineRule="exact"/>
        <w:rPr>
          <w:sz w:val="20"/>
          <w:szCs w:val="20"/>
          <w:color w:val="auto"/>
        </w:rPr>
      </w:pPr>
    </w:p>
    <w:p>
      <w:pPr>
        <w:jc w:val="both"/>
        <w:ind w:left="840" w:firstLine="652"/>
        <w:spacing w:after="0" w:line="250" w:lineRule="auto"/>
        <w:tabs>
          <w:tab w:leader="none" w:pos="213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completed UCC financing statements for each appropriate jurisdiction as is necessary to perfect the Administrative Agent’s security interest in the Collateral to the extent that a security interest in such Collateral may be perfected by the filing of a UCC financing statement;</w:t>
      </w:r>
    </w:p>
    <w:p>
      <w:pPr>
        <w:spacing w:after="0" w:line="185" w:lineRule="exact"/>
        <w:rPr>
          <w:rFonts w:ascii="Arial" w:cs="Arial" w:eastAsia="Arial" w:hAnsi="Arial"/>
          <w:sz w:val="20"/>
          <w:szCs w:val="20"/>
          <w:color w:val="auto"/>
        </w:rPr>
      </w:pPr>
    </w:p>
    <w:p>
      <w:pPr>
        <w:jc w:val="both"/>
        <w:ind w:left="840" w:firstLine="652"/>
        <w:spacing w:after="0" w:line="282" w:lineRule="auto"/>
        <w:tabs>
          <w:tab w:leader="none" w:pos="213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required to be delivered pursuant to the terms of the Collateral Documents, stock, equity, share or membership certificates and endorsements of, or recordings of, or notations on, such certificates evidencing Equity Interests pledged pursuant to the terms of the Collateral Documents, together with, where applicable, undated stock or transfer powers duly executed in blank;</w:t>
      </w:r>
    </w:p>
    <w:p>
      <w:pPr>
        <w:spacing w:after="0" w:line="161" w:lineRule="exact"/>
        <w:rPr>
          <w:rFonts w:ascii="Arial" w:cs="Arial" w:eastAsia="Arial" w:hAnsi="Arial"/>
          <w:sz w:val="18"/>
          <w:szCs w:val="18"/>
          <w:color w:val="auto"/>
        </w:rPr>
      </w:pPr>
    </w:p>
    <w:p>
      <w:pPr>
        <w:jc w:val="both"/>
        <w:ind w:left="840" w:firstLine="652"/>
        <w:spacing w:after="0" w:line="246" w:lineRule="auto"/>
        <w:tabs>
          <w:tab w:leader="none" w:pos="213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to the extent required to be delivered pursuant to the terms of the Collateral Documents, all instruments, documents and chattel paper in the possession of any of the Loan Parties, together with allonges or assignments as may be necessary to perfect the Administrative Agent’s security interest in the Collateral; and</w:t>
      </w:r>
    </w:p>
    <w:p>
      <w:pPr>
        <w:spacing w:after="0" w:line="191"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copies of insurance certificates and endorsements of insurance evidencing liability, casualty, property, terrorism and business interruption insurance meeting the requirements set forth herein or in the Collateral Documents;</w:t>
      </w:r>
    </w:p>
    <w:p>
      <w:pPr>
        <w:spacing w:after="0" w:line="186" w:lineRule="exact"/>
        <w:rPr>
          <w:sz w:val="20"/>
          <w:szCs w:val="20"/>
          <w:color w:val="auto"/>
        </w:rPr>
      </w:pPr>
    </w:p>
    <w:p>
      <w:pPr>
        <w:jc w:val="both"/>
        <w:ind w:left="200"/>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security interest in any Collateral is not or cannot be provided and/or perfected on the Closing Date (other than (1) the granting of a security interest pursuant to the Collateral Documents, (2) the perfection of the security interest in assets with respect to which a Lien may be perfected by the filing of a UCC financing statement and/or the filing of short-form Intellectual Property notices with the United States Patent and Trademark Office or the United States Copyright Office, and (3) the perfection of the security interest in certificated Equity Interests of any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such certificates that are held by the Closing Date Acquisition Target or the Closing Date Acquisition Target’s existing lenders, such certificates shall only be required to be delivered on the Closing Date to the extent such certificates are received by the Borrower on or prior to the Closing Date after the Borrower’s use of commercially reasonable efforts to obtain such certificates)) after the Borrower’s use of commercially reasonable efforts to do so, then the grant, provision and/or perfection of a security interest in such Collateral shall not constitute a condition precedent to the availability of the Credit Extensions to be made on the Closing Date, but instead shall be required to be delivered within thirty (30) days after the Closing Date (or such longer period of time as may be agreed by the Administrative Agent in its sole discretion) (the provisions of this proviso being referred to herein as the “</w:t>
      </w:r>
      <w:r>
        <w:rPr>
          <w:rFonts w:ascii="Arial" w:cs="Arial" w:eastAsia="Arial" w:hAnsi="Arial"/>
          <w:sz w:val="18"/>
          <w:szCs w:val="18"/>
          <w:u w:val="single" w:color="auto"/>
          <w:color w:val="auto"/>
        </w:rPr>
        <w:t>Limited Conditionality Provision</w:t>
      </w:r>
      <w:r>
        <w:rPr>
          <w:rFonts w:ascii="Arial" w:cs="Arial" w:eastAsia="Arial" w:hAnsi="Arial"/>
          <w:sz w:val="18"/>
          <w:szCs w:val="18"/>
          <w:color w:val="auto"/>
        </w:rPr>
        <w:t>”).</w:t>
      </w:r>
    </w:p>
    <w:p>
      <w:pPr>
        <w:spacing w:after="0" w:line="181" w:lineRule="exact"/>
        <w:rPr>
          <w:sz w:val="20"/>
          <w:szCs w:val="20"/>
          <w:color w:val="auto"/>
        </w:rPr>
      </w:pPr>
    </w:p>
    <w:p>
      <w:pPr>
        <w:jc w:val="both"/>
        <w:ind w:left="200" w:right="20" w:firstLine="644"/>
        <w:spacing w:after="0" w:line="250" w:lineRule="auto"/>
        <w:tabs>
          <w:tab w:leader="none" w:pos="1496"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signed by the chief financial officer of the Borrower certifying that the Borrower and its Subsidiaries, on a Consolidated basis after giving effect to the Transactions, are Solvent.</w:t>
      </w:r>
    </w:p>
    <w:p>
      <w:pPr>
        <w:spacing w:after="0" w:line="185" w:lineRule="exact"/>
        <w:rPr>
          <w:rFonts w:ascii="Arial" w:cs="Arial" w:eastAsia="Arial" w:hAnsi="Arial"/>
          <w:sz w:val="20"/>
          <w:szCs w:val="20"/>
          <w:color w:val="auto"/>
        </w:rPr>
      </w:pPr>
    </w:p>
    <w:p>
      <w:pPr>
        <w:jc w:val="both"/>
        <w:ind w:left="200" w:right="20" w:firstLine="644"/>
        <w:spacing w:after="0" w:line="250" w:lineRule="auto"/>
        <w:tabs>
          <w:tab w:leader="none" w:pos="1496"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signed by a Responsible Officer of the Borrower certifying that the conditions specified in </w:t>
      </w:r>
      <w:r>
        <w:rPr>
          <w:rFonts w:ascii="Arial" w:cs="Arial" w:eastAsia="Arial" w:hAnsi="Arial"/>
          <w:sz w:val="20"/>
          <w:szCs w:val="20"/>
          <w:u w:val="single" w:color="auto"/>
          <w:color w:val="auto"/>
        </w:rPr>
        <w:t>Sections 4.01(e)</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w:t>
      </w:r>
      <w:r>
        <w:rPr>
          <w:rFonts w:ascii="Arial" w:cs="Arial" w:eastAsia="Arial" w:hAnsi="Arial"/>
          <w:sz w:val="20"/>
          <w:szCs w:val="20"/>
          <w:color w:val="auto"/>
        </w:rPr>
        <w:t xml:space="preserve"> have been satisfied.</w:t>
      </w:r>
    </w:p>
    <w:p>
      <w:pPr>
        <w:spacing w:after="0" w:line="185" w:lineRule="exact"/>
        <w:rPr>
          <w:rFonts w:ascii="Arial" w:cs="Arial" w:eastAsia="Arial" w:hAnsi="Arial"/>
          <w:sz w:val="20"/>
          <w:szCs w:val="20"/>
          <w:color w:val="auto"/>
        </w:rPr>
      </w:pPr>
    </w:p>
    <w:p>
      <w:pPr>
        <w:ind w:left="200" w:right="20" w:firstLine="644"/>
        <w:spacing w:after="0" w:line="260" w:lineRule="auto"/>
        <w:tabs>
          <w:tab w:leader="none" w:pos="1496"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Closing Date Acquisition</w:t>
      </w:r>
      <w:r>
        <w:rPr>
          <w:rFonts w:ascii="Arial" w:cs="Arial" w:eastAsia="Arial" w:hAnsi="Arial"/>
          <w:sz w:val="20"/>
          <w:szCs w:val="20"/>
          <w:color w:val="auto"/>
        </w:rPr>
        <w:t>. The Closing Date Acquisition Agreement shall be in full force and effect. The Closing Date Acquisition shall have been consummated, 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7" w:name="page288"/>
    <w:bookmarkEnd w:id="287"/>
    <w:p>
      <w:pPr>
        <w:jc w:val="both"/>
        <w:ind w:left="200"/>
        <w:spacing w:after="0" w:line="269" w:lineRule="auto"/>
        <w:rPr>
          <w:sz w:val="20"/>
          <w:szCs w:val="20"/>
          <w:color w:val="auto"/>
        </w:rPr>
      </w:pPr>
      <w:r>
        <w:rPr>
          <w:rFonts w:ascii="Arial" w:cs="Arial" w:eastAsia="Arial" w:hAnsi="Arial"/>
          <w:sz w:val="18"/>
          <w:szCs w:val="18"/>
          <w:color w:val="auto"/>
        </w:rPr>
        <w:t xml:space="preserve">concurrently with the funding of the Term A Loans on the Closing Date shall be consummated, in all material respects in accordance with the terms of the Closing Date Acquisition Agreement, without giving effect to any modifications or amendments thereto (which, for the avoidance of doubt, shall include any Schedule Supplement (as defined in the Closing Date Acquisition Agreement (as in effect on January 11, 2021))) or consents or waivers thereto or thereunder by the Borrower or any of its Affiliates that are material and adverse to the Lenders (in their respective capacities as such) or the Arrangers (in their respective capacities as such) without the prior consent of the Arrangers (such consent not to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it is understood and agreed that: (i) any reduction of the purchase price in connection with the Closing Date Acquisition shall not be deemed to be material and adverse to the interests of the Lenders and the Arrangers if such reduction of the purchase price shall be allocated to a reduction in the amount of the Term A Facility; (ii) any increase of the purchase price in connection with the Closing Date Acquisition shall not be deemed to be material and adverse to the interests of the Lenders and the Arrangers if such increase of the purchase price is (A) funded with cash on the balance sheet of the Borrower and/or is satisfied by increasing the amount of the Closing Date Equity Contribution, and (B) in an aggregate amount not in excess of $100,000,000; and (iii) any change to the definition of “Company Material Adverse Effect” shall be deemed material and adverse to the Lenders and the Arrangers.</w:t>
      </w:r>
    </w:p>
    <w:p>
      <w:pPr>
        <w:spacing w:after="0" w:line="179" w:lineRule="exact"/>
        <w:rPr>
          <w:sz w:val="20"/>
          <w:szCs w:val="20"/>
          <w:color w:val="auto"/>
        </w:rPr>
      </w:pPr>
    </w:p>
    <w:p>
      <w:pPr>
        <w:jc w:val="both"/>
        <w:ind w:left="200" w:firstLine="644"/>
        <w:spacing w:after="0" w:line="257" w:lineRule="auto"/>
        <w:tabs>
          <w:tab w:leader="none" w:pos="1496"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Borrower and each other Loan Party contained in this Agreement or any other Loan Document, or which are contained in any document furnished at any time under or in connection herewith or therewith, shall be made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it is understood and agreed that only the Specified Representations shall be true and correct in all material respects (or in all respects if already qualified by materiality) on and as of the Closing Date. The Specified Closing Date Acquisition Agreement Representations shall be true and correct in all material respects (or in all respects if already qualified by materiality) on and as of the Closing Date.</w:t>
      </w:r>
    </w:p>
    <w:p>
      <w:pPr>
        <w:spacing w:after="0" w:line="184" w:lineRule="exact"/>
        <w:rPr>
          <w:rFonts w:ascii="Arial" w:cs="Arial" w:eastAsia="Arial" w:hAnsi="Arial"/>
          <w:sz w:val="19"/>
          <w:szCs w:val="19"/>
          <w:color w:val="auto"/>
        </w:rPr>
      </w:pPr>
    </w:p>
    <w:p>
      <w:pPr>
        <w:ind w:left="200" w:firstLine="644"/>
        <w:spacing w:after="0" w:line="260" w:lineRule="auto"/>
        <w:tabs>
          <w:tab w:leader="none" w:pos="1496"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The Closing Date Refinancing shall have been, or substantially concurrently with the funding of the Term A Loans on the Closing Date shall be, consummated.</w:t>
      </w:r>
    </w:p>
    <w:p>
      <w:pPr>
        <w:spacing w:after="0" w:line="176" w:lineRule="exact"/>
        <w:rPr>
          <w:rFonts w:ascii="Arial" w:cs="Arial" w:eastAsia="Arial" w:hAnsi="Arial"/>
          <w:sz w:val="20"/>
          <w:szCs w:val="20"/>
          <w:color w:val="auto"/>
        </w:rPr>
      </w:pPr>
    </w:p>
    <w:p>
      <w:pPr>
        <w:ind w:left="200" w:right="20" w:firstLine="644"/>
        <w:spacing w:after="0" w:line="316" w:lineRule="auto"/>
        <w:tabs>
          <w:tab w:leader="none" w:pos="149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Prior to, or substantially concurrently with, the funding of the Term A Loans on the Closing Date, the Borrower shall have consummated the Closing Date Equity Contribution.</w:t>
      </w:r>
    </w:p>
    <w:p>
      <w:pPr>
        <w:spacing w:after="0" w:line="129" w:lineRule="exact"/>
        <w:rPr>
          <w:rFonts w:ascii="Arial" w:cs="Arial" w:eastAsia="Arial" w:hAnsi="Arial"/>
          <w:sz w:val="18"/>
          <w:szCs w:val="18"/>
          <w:color w:val="auto"/>
        </w:rPr>
      </w:pPr>
    </w:p>
    <w:p>
      <w:pPr>
        <w:jc w:val="both"/>
        <w:ind w:left="200" w:firstLine="644"/>
        <w:spacing w:after="0" w:line="250" w:lineRule="auto"/>
        <w:tabs>
          <w:tab w:leader="none" w:pos="1496"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Loan Notice</w:t>
      </w:r>
      <w:r>
        <w:rPr>
          <w:rFonts w:ascii="Arial" w:cs="Arial" w:eastAsia="Arial" w:hAnsi="Arial"/>
          <w:sz w:val="20"/>
          <w:szCs w:val="20"/>
          <w:color w:val="auto"/>
        </w:rPr>
        <w:t>. The Administrative Agent shall have received a Loan Notice with respect to the Term A Borrowing to be made on the Closing Date and, to the extent any Eurodollar Rate Loans are to be made on the Closing Date, a Funding Indemnity Letter in connection with such Loan Notice.</w:t>
      </w:r>
    </w:p>
    <w:p>
      <w:pPr>
        <w:spacing w:after="0" w:line="185" w:lineRule="exact"/>
        <w:rPr>
          <w:rFonts w:ascii="Arial" w:cs="Arial" w:eastAsia="Arial" w:hAnsi="Arial"/>
          <w:sz w:val="20"/>
          <w:szCs w:val="20"/>
          <w:color w:val="auto"/>
        </w:rPr>
      </w:pPr>
    </w:p>
    <w:p>
      <w:pPr>
        <w:jc w:val="both"/>
        <w:ind w:left="200" w:firstLine="644"/>
        <w:spacing w:after="0" w:line="273" w:lineRule="auto"/>
        <w:tabs>
          <w:tab w:leader="none" w:pos="149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Due Diligence; PATRIOT Act; Beneficial Ownership</w:t>
      </w:r>
      <w:r>
        <w:rPr>
          <w:rFonts w:ascii="Arial" w:cs="Arial" w:eastAsia="Arial" w:hAnsi="Arial"/>
          <w:sz w:val="18"/>
          <w:szCs w:val="18"/>
          <w:color w:val="auto"/>
        </w:rPr>
        <w:t>. At least five (5) Business Days prior to the Closing Date, (i) the Administrative Agent and each Lender shall have received all documentation and other information about the Loan Parties as has been reasonably requested by the Administrative Agent or such Lender at least ten (10) Business Days prior to the Closing Date that is required by regulatory authorities under applicable “know your customer” and anti-money laundering rules and regulations, including the PATRIOT Act, and (ii) if the Borrower qualifies as a “legal entity customer” under the Beneficial Ownership Regulation, the Borrower shall have delivered to the Administrative Agent and each Lender requesting the same at least ten (10) Business Days prior to the Closing Date, a Beneficial Ownership Certification in relation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88" w:name="page289"/>
    <w:bookmarkEnd w:id="288"/>
    <w:p>
      <w:pPr>
        <w:jc w:val="both"/>
        <w:ind w:left="660" w:firstLine="644"/>
        <w:spacing w:after="0" w:line="246" w:lineRule="auto"/>
        <w:tabs>
          <w:tab w:leader="none" w:pos="1956"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Payment of Fees and Expenses</w:t>
      </w:r>
      <w:r>
        <w:rPr>
          <w:rFonts w:ascii="Arial" w:cs="Arial" w:eastAsia="Arial" w:hAnsi="Arial"/>
          <w:sz w:val="20"/>
          <w:szCs w:val="20"/>
          <w:color w:val="auto"/>
        </w:rPr>
        <w:t>. All fees required to be paid on the Closing Date, and all reasonable out-of-pocket expenses required to be paid on the Closing Date, in each case shall have been paid to the extent invoiced at least three (3) Business Days (or such shorter period of time as the Borrower may agree) prior to the Closing Date.</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9.03(c)(vi)</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(or any of its Affiliates) unless the Administrative Agent shall have received notice from such Lender prior to the proposed Closing Date specifying its objection thereto.</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Conditions to all Credit Extensions After the Closing Date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obligation of each Lender and each L/C Issuer to honor any Request for Credit Extension (other than (x) in connection with the Term A Borrowing on the Closing Date, and (y) a Loan Notice requesting only a conversion of Loans to the other Type, or a continuation of Eurodollar Rate Loans) is subject to the following conditions precedent:</w:t>
      </w:r>
    </w:p>
    <w:p>
      <w:pPr>
        <w:spacing w:after="0" w:line="170" w:lineRule="exact"/>
        <w:rPr>
          <w:sz w:val="20"/>
          <w:szCs w:val="20"/>
          <w:color w:val="auto"/>
        </w:rPr>
      </w:pPr>
    </w:p>
    <w:p>
      <w:pPr>
        <w:jc w:val="both"/>
        <w:ind w:left="660" w:firstLine="644"/>
        <w:spacing w:after="0" w:line="271" w:lineRule="auto"/>
        <w:tabs>
          <w:tab w:leader="none" w:pos="195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Borrower and each other Loan Party contained in this Agreement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except to the extent that such representations and warranties specifically refer to an earlier date, in which case they shall be true and correct as of such earlier date,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69"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274"/>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No Default shall exist, or would result from such proposed Credit Extension or from the application of the proceeds thereof.</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274"/>
        </w:numPr>
        <w:rPr>
          <w:rFonts w:ascii="Arial" w:cs="Arial" w:eastAsia="Arial" w:hAnsi="Arial"/>
          <w:sz w:val="20"/>
          <w:szCs w:val="20"/>
          <w:color w:val="auto"/>
        </w:rPr>
      </w:pP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The Administrative Agent and, if applicable, the applicable L/C Issuer or the Swingline Lender, shall have received a Request for Credit Extension in accordance with the requirements hereof.</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Each Request for Credit Extension (other than (x) in connection with the Term A Borrowing on the Closing Date and (y)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89" w:name="page290"/>
    <w:bookmarkEnd w:id="289"/>
    <w:p>
      <w:pPr>
        <w:jc w:val="center"/>
        <w:spacing w:after="0"/>
        <w:rPr>
          <w:sz w:val="20"/>
          <w:szCs w:val="20"/>
          <w:color w:val="auto"/>
        </w:rPr>
      </w:pPr>
      <w:r>
        <w:rPr>
          <w:rFonts w:ascii="Arial" w:cs="Arial" w:eastAsia="Arial" w:hAnsi="Arial"/>
          <w:sz w:val="20"/>
          <w:szCs w:val="20"/>
          <w:color w:val="auto"/>
        </w:rPr>
        <w:t>ARTICLE V</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Loan Party represents and warrants to the Administrative Agent and the Lenders, as of the date made or deemed made, that: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Loan Party and each of its Subsidiaries (a) is duly organized or formed, validly existing and, as applicable and except for the Immaterial Subsidiary, in good standing under the Laws of the jurisdiction of its incorporation or organization,</w:t>
      </w:r>
    </w:p>
    <w:p>
      <w:pPr>
        <w:spacing w:after="0" w:line="1" w:lineRule="exact"/>
        <w:rPr>
          <w:sz w:val="20"/>
          <w:szCs w:val="20"/>
          <w:color w:val="auto"/>
        </w:rPr>
      </w:pPr>
    </w:p>
    <w:p>
      <w:pPr>
        <w:jc w:val="both"/>
        <w:ind w:firstLine="8"/>
        <w:spacing w:after="0" w:line="255" w:lineRule="auto"/>
        <w:tabs>
          <w:tab w:leader="none" w:pos="282"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failure to do so could not reasonably be expected to have a Material Adverse Effect.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w:t>
      </w:r>
    </w:p>
    <w:p>
      <w:pPr>
        <w:spacing w:after="0" w:line="216" w:lineRule="exact"/>
        <w:rPr>
          <w:sz w:val="20"/>
          <w:szCs w:val="20"/>
          <w:color w:val="auto"/>
        </w:rPr>
      </w:pPr>
    </w:p>
    <w:p>
      <w:pPr>
        <w:ind w:left="660" w:firstLine="644"/>
        <w:spacing w:after="0" w:line="385" w:lineRule="auto"/>
        <w:tabs>
          <w:tab w:leader="none" w:pos="195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execution, delivery and performance by each Loan Party of each Loan Document to which such Person is or is to be a party have been duly authorized by all necessary corporate or other organizational action.</w:t>
      </w:r>
    </w:p>
    <w:p>
      <w:pPr>
        <w:spacing w:after="0" w:line="84" w:lineRule="exact"/>
        <w:rPr>
          <w:rFonts w:ascii="Arial" w:cs="Arial" w:eastAsia="Arial" w:hAnsi="Arial"/>
          <w:sz w:val="16"/>
          <w:szCs w:val="16"/>
          <w:color w:val="auto"/>
        </w:rPr>
      </w:pPr>
    </w:p>
    <w:p>
      <w:pPr>
        <w:jc w:val="both"/>
        <w:ind w:left="660" w:firstLine="644"/>
        <w:spacing w:after="0" w:line="272" w:lineRule="auto"/>
        <w:tabs>
          <w:tab w:leader="none" w:pos="195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execution, delivery, and performance by each Loan Party of each Loan Document to which such Person is or is to be a party does not and will not (i) contravene the terms of such Person’s Organization Documents, (ii) conflict with or result in any breach or contravention of, or the creation of any Lien under (other than Liens created pursuant to the Loan Documents in favor of the Administrative Agent),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or (iii) violate any Law; except in each case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to the extent that failure to do so would not, individually or in the aggregate, reasonably be expected to have a Material Adverse Effect.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Loan Document has been duly executed and delivered by each Loan Party that is party thereto. Each Loan Document when so delivered constitutes a legal, valid and binding obligation of each Loan Party that is party thereto, enforceable against each such Loan Party in accordance with its terms, subject to (a) applicable bankruptcy, insolvency, reorganization, moratorium or other laws affecting creditors’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0" w:name="page291"/>
    <w:bookmarkEnd w:id="290"/>
    <w:p>
      <w:pPr>
        <w:jc w:val="both"/>
        <w:spacing w:after="0" w:line="269" w:lineRule="auto"/>
        <w:rPr>
          <w:sz w:val="20"/>
          <w:szCs w:val="20"/>
          <w:color w:val="auto"/>
        </w:rPr>
      </w:pPr>
      <w:r>
        <w:rPr>
          <w:rFonts w:ascii="Arial" w:cs="Arial" w:eastAsia="Arial" w:hAnsi="Arial"/>
          <w:sz w:val="19"/>
          <w:szCs w:val="19"/>
          <w:color w:val="auto"/>
        </w:rPr>
        <w:t>generally and subject to general principles of equity, and (b) solely with respect to the enforcement of any pledge of the Equity Interests in any Foreign Subsidiary or any pledge of intercompany Indebtedness owed by any Foreign Subsidiary, the effect of foreign Laws, rules and regulations as they relate to the enforcement of any such pledge.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5" w:lineRule="auto"/>
        <w:tabs>
          <w:tab w:leader="none" w:pos="1956"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The Audited Financial Statements (i) were prepared in accordance with GAAP consistently applied throughout the period covered thereby, except as otherwise expressly noted therein,</w:t>
      </w:r>
    </w:p>
    <w:p>
      <w:pPr>
        <w:jc w:val="both"/>
        <w:ind w:left="660" w:hanging="4"/>
        <w:spacing w:after="0" w:line="315" w:lineRule="auto"/>
        <w:tabs>
          <w:tab w:leader="none" w:pos="95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fairly present, in all material respects, the financial condition of the Borrower and its Subsidiaries as of the date thereof and their results of operations, cash flows and changes in stockholder’s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40" w:lineRule="exact"/>
        <w:rPr>
          <w:rFonts w:ascii="Arial" w:cs="Arial" w:eastAsia="Arial" w:hAnsi="Arial"/>
          <w:sz w:val="16"/>
          <w:szCs w:val="16"/>
          <w:color w:val="auto"/>
        </w:rPr>
      </w:pPr>
    </w:p>
    <w:p>
      <w:pPr>
        <w:jc w:val="both"/>
        <w:ind w:left="660" w:firstLine="644"/>
        <w:spacing w:after="0" w:line="257" w:lineRule="auto"/>
        <w:tabs>
          <w:tab w:leader="none" w:pos="1956" w:val="left"/>
        </w:tabs>
        <w:numPr>
          <w:ilvl w:val="1"/>
          <w:numId w:val="278"/>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xml:space="preserve">. The unaudited Consolidated balance sheet of the Borrower and its Subsidiaries dated as of October 31, 2020, and the related Consolidated statements of income and cash flows for the fiscal quarter of the Borrower ended October 31, 2020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and cash flows for the period covered thereby, subject,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to the absence of footnotes and to normal year-end audit adjustments.</w:t>
      </w:r>
    </w:p>
    <w:p>
      <w:pPr>
        <w:spacing w:after="0" w:line="184" w:lineRule="exact"/>
        <w:rPr>
          <w:rFonts w:ascii="Arial" w:cs="Arial" w:eastAsia="Arial" w:hAnsi="Arial"/>
          <w:sz w:val="19"/>
          <w:szCs w:val="19"/>
          <w:color w:val="auto"/>
        </w:rPr>
      </w:pPr>
    </w:p>
    <w:p>
      <w:pPr>
        <w:ind w:left="660" w:firstLine="644"/>
        <w:spacing w:after="0" w:line="316" w:lineRule="auto"/>
        <w:tabs>
          <w:tab w:leader="none" w:pos="195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April 30, 2020, there has been no event or circumstance, either individually or in the aggregate, that has had or could reasonably be expected to have a Material Adverse Effect.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There are no actions, suits, proceedings, claims or disputes pending or, to the knowledge of the Loan Parties, threatened or contemplated,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5.07</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Neither any Loan Party nor any Subsidiary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or the other transactions contemplated by this Agreement or any other Loan Document.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5.08</w:t>
      </w:r>
      <w:r>
        <w:rPr>
          <w:sz w:val="20"/>
          <w:szCs w:val="20"/>
          <w:color w:val="auto"/>
        </w:rPr>
        <w:tab/>
      </w:r>
      <w:r>
        <w:rPr>
          <w:rFonts w:ascii="Arial" w:cs="Arial" w:eastAsia="Arial" w:hAnsi="Arial"/>
          <w:sz w:val="18"/>
          <w:szCs w:val="18"/>
          <w:u w:val="single" w:color="auto"/>
          <w:color w:val="auto"/>
        </w:rPr>
        <w:t>Ownership of Property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Loan Party and each of its Subsidiaries has good record and marketable title in fee simple to, or valid leasehold interests in, all real property necessary or used in the ordinary conduct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1" w:name="page292"/>
    <w:bookmarkEnd w:id="291"/>
    <w:p>
      <w:pPr>
        <w:spacing w:after="0" w:line="260" w:lineRule="auto"/>
        <w:rPr>
          <w:sz w:val="20"/>
          <w:szCs w:val="20"/>
          <w:color w:val="auto"/>
        </w:rPr>
      </w:pPr>
      <w:r>
        <w:rPr>
          <w:rFonts w:ascii="Arial" w:cs="Arial" w:eastAsia="Arial" w:hAnsi="Arial"/>
          <w:sz w:val="20"/>
          <w:szCs w:val="20"/>
          <w:color w:val="auto"/>
        </w:rPr>
        <w:t>except for such defects in title as could not, individually or in the aggregate, reasonably be expected to have a Material Adverse Effect.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Except as could not, individually or in the aggregate, reasonably be expected to result in any Material Adverse Effect:</w:t>
      </w:r>
    </w:p>
    <w:p>
      <w:pPr>
        <w:spacing w:after="0" w:line="176" w:lineRule="exact"/>
        <w:rPr>
          <w:rFonts w:ascii="Arial" w:cs="Arial" w:eastAsia="Arial" w:hAnsi="Arial"/>
          <w:sz w:val="20"/>
          <w:szCs w:val="20"/>
          <w:color w:val="auto"/>
        </w:rPr>
      </w:pPr>
    </w:p>
    <w:p>
      <w:pPr>
        <w:jc w:val="both"/>
        <w:ind w:left="1300" w:firstLine="652"/>
        <w:spacing w:after="0" w:line="269" w:lineRule="auto"/>
        <w:tabs>
          <w:tab w:leader="none" w:pos="2596"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 None of the properties currently or formerly owned, leased or operated by any Loan Party or any of its Subsidiaries is listed or formally proposed for listing on the NPL or on the CERCLIS or any analogous foreign, state or local list or is adjacent to any such property; (B) there are no, and to the best knowledge of the Loan Parties and their Subsidiaries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the best of the knowledge of the Loan Parties, on any property formerly owned, leased or operated by any Loan Party or any of its Subsidiaries; (C) there is no and never has been any asbestos or asbestos-containing material on, at or in any property currently owned, leased or operated by any Loan Party or any of its Subsidiaries; (D) Hazardous Materials have not been released on, at, under or from any property currently or formerly owned, leased or operated by any Loan Party or any of its Subsidiaries or any property by or on behalf, or otherwise arising from the operations, of any Loan Party or any of its Subsidiaries; and (E) no Loan Party or any of its Subsidiaries has become subject to any Environmental Liability or knows of any facts or circumstances that could reasonably be expected to give rise to any Environmental Liability.</w:t>
      </w:r>
    </w:p>
    <w:p>
      <w:pPr>
        <w:spacing w:after="0" w:line="178" w:lineRule="exact"/>
        <w:rPr>
          <w:rFonts w:ascii="Arial" w:cs="Arial" w:eastAsia="Arial" w:hAnsi="Arial"/>
          <w:sz w:val="18"/>
          <w:szCs w:val="18"/>
          <w:color w:val="auto"/>
        </w:rPr>
      </w:pPr>
    </w:p>
    <w:p>
      <w:pPr>
        <w:jc w:val="both"/>
        <w:ind w:left="1300" w:firstLine="652"/>
        <w:spacing w:after="0" w:line="242" w:lineRule="auto"/>
        <w:tabs>
          <w:tab w:leader="none" w:pos="2596" w:val="left"/>
        </w:tabs>
        <w:numPr>
          <w:ilvl w:val="1"/>
          <w:numId w:val="279"/>
        </w:numPr>
        <w:rPr>
          <w:rFonts w:ascii="Arial" w:cs="Arial" w:eastAsia="Arial" w:hAnsi="Arial"/>
          <w:sz w:val="20"/>
          <w:szCs w:val="20"/>
          <w:color w:val="auto"/>
        </w:rPr>
      </w:pPr>
      <w:r>
        <w:rPr>
          <w:rFonts w:ascii="Arial" w:cs="Arial" w:eastAsia="Arial" w:hAnsi="Arial"/>
          <w:sz w:val="20"/>
          <w:szCs w:val="20"/>
          <w:color w:val="auto"/>
        </w:rPr>
        <w:t>(A)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(B) all Hazardous Materials generated, used, treated, handled or stored at, or transported to or from, any property currently or formerly owned, leased or operated by any Loan Party or any of its Subsidiaries have been disposed of in a manner which could not reasonably expected to result in liability to any Loan Party or any of its Subsidiaries.</w:t>
      </w:r>
    </w:p>
    <w:p>
      <w:pPr>
        <w:spacing w:after="0" w:line="194" w:lineRule="exact"/>
        <w:rPr>
          <w:rFonts w:ascii="Arial" w:cs="Arial" w:eastAsia="Arial" w:hAnsi="Arial"/>
          <w:sz w:val="20"/>
          <w:szCs w:val="20"/>
          <w:color w:val="auto"/>
        </w:rPr>
      </w:pPr>
    </w:p>
    <w:p>
      <w:pPr>
        <w:jc w:val="both"/>
        <w:ind w:left="1300" w:firstLine="652"/>
        <w:spacing w:after="0" w:line="271" w:lineRule="auto"/>
        <w:tabs>
          <w:tab w:leader="none" w:pos="2596"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requirements proposed for adoption or implementation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2" w:name="page293"/>
    <w:bookmarkEnd w:id="292"/>
    <w:p>
      <w:pPr>
        <w:spacing w:after="0"/>
        <w:tabs>
          <w:tab w:leader="none" w:pos="64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nor is there any tax sharing agreement applicable to the Borrower or any Subsidiary.</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84" w:lineRule="exact"/>
        <w:rPr>
          <w:rFonts w:ascii="Arial" w:cs="Arial" w:eastAsia="Arial" w:hAnsi="Arial"/>
          <w:sz w:val="19"/>
          <w:szCs w:val="19"/>
          <w:color w:val="auto"/>
        </w:rPr>
      </w:pPr>
    </w:p>
    <w:p>
      <w:pPr>
        <w:jc w:val="both"/>
        <w:ind w:left="660" w:firstLine="644"/>
        <w:spacing w:after="0" w:line="244" w:lineRule="auto"/>
        <w:tabs>
          <w:tab w:leader="none" w:pos="195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4"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sixty percent (60%) or higher and no Loan Party nor any ERISA Affiliate knows of any facts or circumstances that could reasonably be expected to cause the funding target attainment percentage for any such plan to drop below sixty percent (60%) as of the most recent valuation date; (iii) no Loan Party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75" w:lineRule="exact"/>
        <w:rPr>
          <w:rFonts w:ascii="Arial" w:cs="Arial" w:eastAsia="Arial" w:hAnsi="Arial"/>
          <w:sz w:val="18"/>
          <w:szCs w:val="18"/>
          <w:color w:val="auto"/>
        </w:rPr>
      </w:pPr>
    </w:p>
    <w:p>
      <w:pPr>
        <w:ind w:left="660" w:right="20" w:firstLine="644"/>
        <w:spacing w:after="0" w:line="260" w:lineRule="auto"/>
        <w:tabs>
          <w:tab w:leader="none" w:pos="195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As of the Closing Date, the Borrower is not and will not be using “plan assets” (within the meaning of Section 3(42) of ERISA or otherwise) of one or more Benefit Plans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3" w:name="page294"/>
    <w:bookmarkEnd w:id="293"/>
    <w:p>
      <w:pPr>
        <w:ind w:left="660" w:right="20"/>
        <w:spacing w:after="0" w:line="260" w:lineRule="auto"/>
        <w:rPr>
          <w:sz w:val="20"/>
          <w:szCs w:val="20"/>
          <w:color w:val="auto"/>
        </w:rPr>
      </w:pPr>
      <w:r>
        <w:rPr>
          <w:rFonts w:ascii="Arial" w:cs="Arial" w:eastAsia="Arial" w:hAnsi="Arial"/>
          <w:sz w:val="20"/>
          <w:szCs w:val="20"/>
          <w:color w:val="auto"/>
        </w:rPr>
        <w:t>respect to the Borrower’s entrance into, participation in, administration of and performance of the Loans, the Letters of Credit, the Commitments or this Agreement.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3" w:lineRule="auto"/>
        <w:tabs>
          <w:tab w:leader="none" w:pos="1956"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Margin Regulations</w:t>
      </w:r>
      <w:r>
        <w:rPr>
          <w:rFonts w:ascii="Arial" w:cs="Arial" w:eastAsia="Arial" w:hAnsi="Arial"/>
          <w:sz w:val="18"/>
          <w:szCs w:val="18"/>
          <w:color w:val="auto"/>
        </w:rPr>
        <w:t xml:space="preserve">. Neither the Borrower nor any Subsidiary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subject to any restriction contained in any agreement or instrument between the Borrower or any Subsidiary and any Lender or any Affiliate of any Lender relating to Indebtedness and within the scope of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will be margin stock.</w:t>
      </w:r>
    </w:p>
    <w:p>
      <w:pPr>
        <w:spacing w:after="0" w:line="168"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Borrower, any Person Controlling the Borrower, or any Subsidiary is or is required to be registered as an “investment company” under the Investment Company Act of 1940.</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Borrower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report, financial statement, certificate or other written information (other than projected financial information and information of a general economic or industry-specific nature)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All projected financial information furnished by or on behalf of any Loan Party to the Administrative Agent or any Lender in connection with the transactions contemplated hereby and the negotiation of this Agreement, or delivered hereunder or under any other Loan Document, has been prepared in good faith based upon assumptions believed to be reasonable at the time such information was furnished. As of the Closing Date, the information included in any Beneficial Ownership Certification delivered to the Administrative Agent or any Lender, if applicable, is true and correct in all respects.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5.16</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and its Subsidiaries, on a Consolidated basis, are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4" w:name="page295"/>
    <w:bookmarkEnd w:id="294"/>
    <w:p>
      <w:pPr>
        <w:spacing w:after="0"/>
        <w:tabs>
          <w:tab w:leader="none" w:pos="64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8"/>
          <w:szCs w:val="18"/>
          <w:u w:val="single" w:color="auto"/>
          <w:color w:val="auto"/>
        </w:rPr>
        <w:t>Sanctions Concerns and Anti-Corruption Laws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Sanctions Concerns</w:t>
      </w:r>
      <w:r>
        <w:rPr>
          <w:rFonts w:ascii="Arial" w:cs="Arial" w:eastAsia="Arial" w:hAnsi="Arial"/>
          <w:sz w:val="19"/>
          <w:szCs w:val="19"/>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is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spacing w:after="0" w:line="180" w:lineRule="exact"/>
        <w:rPr>
          <w:rFonts w:ascii="Arial" w:cs="Arial" w:eastAsia="Arial" w:hAnsi="Arial"/>
          <w:sz w:val="19"/>
          <w:szCs w:val="19"/>
          <w:color w:val="auto"/>
        </w:rPr>
      </w:pPr>
    </w:p>
    <w:p>
      <w:pPr>
        <w:jc w:val="both"/>
        <w:ind w:left="660" w:firstLine="644"/>
        <w:spacing w:after="0" w:line="263" w:lineRule="auto"/>
        <w:tabs>
          <w:tab w:leader="none" w:pos="1956"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Anti-Corruption Laws</w:t>
      </w:r>
      <w:r>
        <w:rPr>
          <w:rFonts w:ascii="Arial" w:cs="Arial" w:eastAsia="Arial" w:hAnsi="Arial"/>
          <w:sz w:val="19"/>
          <w:szCs w:val="19"/>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5.18</w:t>
      </w:r>
      <w:r>
        <w:rPr>
          <w:sz w:val="20"/>
          <w:szCs w:val="20"/>
          <w:color w:val="auto"/>
        </w:rPr>
        <w:tab/>
      </w:r>
      <w:r>
        <w:rPr>
          <w:rFonts w:ascii="Arial" w:cs="Arial" w:eastAsia="Arial" w:hAnsi="Arial"/>
          <w:sz w:val="16"/>
          <w:szCs w:val="16"/>
          <w:u w:val="single" w:color="auto"/>
          <w:color w:val="auto"/>
        </w:rPr>
        <w:t>Subsidiaries; Equity Interests; Loan Parties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Subsidiaries, Joint Ventures, Partnerships and Equity Investments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is a complete and accurate list as of the Closing Date of: (i) all Subsidiaries, joint ventures and partnerships and other equity investments of the Loan Parties; (ii) the number of shares of each class of Equity Interests in each Subsidiary outstanding; (iii) the number and percentage of outstanding shares of each class of Equity Interests owned by the Loan Parties and their Subsidiaries; and (iv) the class or nature of such Equity Interests (i.e. voting, non-voting, preferred, etc.).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except as contemplated in connection with the Loan Documents or as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660" w:firstLine="644"/>
        <w:spacing w:after="0" w:line="260" w:lineRule="auto"/>
        <w:tabs>
          <w:tab w:leader="none" w:pos="1956"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Loan Parties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5.18(b)</w:t>
      </w:r>
      <w:r>
        <w:rPr>
          <w:rFonts w:ascii="Arial" w:cs="Arial" w:eastAsia="Arial" w:hAnsi="Arial"/>
          <w:sz w:val="19"/>
          <w:szCs w:val="19"/>
          <w:color w:val="auto"/>
        </w:rPr>
        <w:t xml:space="preserve"> is a complete and accurate list as of the Closing Date of each Loan Party’s: (i) exact legal name; (ii) any former legal names in the four (4) months prior to the Closing Date, if any; (iii) jurisdiction of its incorporation or organization, as applicable; (iv) address of its chief executive office (and address of its principal place of business if different than its chief executive office address); (v) U.S. federal taxpayer identification number; and (vi) organization identification number, if any.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6"/>
          <w:szCs w:val="16"/>
          <w:u w:val="single" w:color="auto"/>
          <w:color w:val="auto"/>
        </w:rPr>
        <w:t>Collateral Representations</w:t>
      </w:r>
      <w:r>
        <w:rPr>
          <w:rFonts w:ascii="Arial" w:cs="Arial" w:eastAsia="Arial" w:hAnsi="Arial"/>
          <w:sz w:val="16"/>
          <w:szCs w:val="16"/>
          <w:color w:val="auto"/>
        </w:rPr>
        <w:t>.</w:t>
      </w:r>
    </w:p>
    <w:p>
      <w:pPr>
        <w:spacing w:after="0" w:line="216" w:lineRule="exact"/>
        <w:rPr>
          <w:sz w:val="20"/>
          <w:szCs w:val="20"/>
          <w:color w:val="auto"/>
        </w:rPr>
      </w:pPr>
    </w:p>
    <w:p>
      <w:pPr>
        <w:ind w:left="660" w:firstLine="644"/>
        <w:spacing w:after="0" w:line="274" w:lineRule="auto"/>
        <w:tabs>
          <w:tab w:leader="none" w:pos="1956"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The provisions of the Collateral Documents are (and upon delivery of Collateral to the Administrative Agent and/or when appropriate filings or other actions required by the applicable Collateral Documents or by applicable law have been filed or taken, will be)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and other actions completed prior to the Closing Date and as contemplated hereby and by the Collateral Documents, no filing or other action will be necessary to perfect such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5" w:name="page296"/>
    <w:bookmarkEnd w:id="295"/>
    <w:p>
      <w:pPr>
        <w:jc w:val="both"/>
        <w:ind w:left="660" w:firstLine="644"/>
        <w:spacing w:after="0" w:line="270" w:lineRule="auto"/>
        <w:tabs>
          <w:tab w:leader="none" w:pos="195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5.19(b)</w:t>
      </w:r>
      <w:r>
        <w:rPr>
          <w:rFonts w:ascii="Arial" w:cs="Arial" w:eastAsia="Arial" w:hAnsi="Arial"/>
          <w:sz w:val="18"/>
          <w:szCs w:val="18"/>
          <w:color w:val="auto"/>
        </w:rPr>
        <w:t xml:space="preserve">, as of the Closing Date, is a list of all Intellectual Property registered or pending registration with the United States Copyright Office or the United States Patent and Trademark Office (other than Intellectual Property that is expired, abandoned, or lapsed) and owned by each Loan Party as of the Closing Date. Except for such claims and infringements that would not reasonably be expected to have a Material Adverse Effect, no claim has been asserted and is pending by any Person challenging or questioning the use of any Intellectual Property or the validity or effectiveness of any Intellectual Property, nor does any Loan Party know of any such claim, and the use of any Intellectual Property by any Loan Party or any of its Subsidiaries or the granting of a right or a license in respect of any Intellectual Property from any Loan Party or any of its Subsidiaries does not, to the best of any Loan Party’s knowledge, infringe on the rights of any Person. As of the Closing Date, none of the Intellectual Property owned by any of the Loan Parties or any of their Subsidiaries is subject to any licensing agreement or similar arrangement (other than non-exclusive outbound licenses entered into in the ordinary course of business) except as set forth on </w:t>
      </w:r>
      <w:r>
        <w:rPr>
          <w:rFonts w:ascii="Arial" w:cs="Arial" w:eastAsia="Arial" w:hAnsi="Arial"/>
          <w:sz w:val="18"/>
          <w:szCs w:val="18"/>
          <w:u w:val="single" w:color="auto"/>
          <w:color w:val="auto"/>
        </w:rPr>
        <w:t>Schedule 5.19(b)</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firstLine="644"/>
        <w:spacing w:after="0" w:line="243" w:lineRule="auto"/>
        <w:tabs>
          <w:tab w:leader="none" w:pos="1956" w:val="left"/>
        </w:tabs>
        <w:numPr>
          <w:ilvl w:val="0"/>
          <w:numId w:val="285"/>
        </w:numPr>
        <w:rPr>
          <w:rFonts w:ascii="Arial" w:cs="Arial" w:eastAsia="Arial" w:hAnsi="Arial"/>
          <w:sz w:val="20"/>
          <w:szCs w:val="20"/>
          <w:color w:val="auto"/>
        </w:rPr>
      </w:pPr>
      <w:r>
        <w:rPr>
          <w:rFonts w:ascii="Arial" w:cs="Arial" w:eastAsia="Arial" w:hAnsi="Arial"/>
          <w:sz w:val="20"/>
          <w:szCs w:val="20"/>
          <w:u w:val="single" w:color="auto"/>
          <w:color w:val="auto"/>
        </w:rPr>
        <w:t>Deposit Accounts and Securities Accounts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5.19(c)</w:t>
      </w:r>
      <w:r>
        <w:rPr>
          <w:rFonts w:ascii="Arial" w:cs="Arial" w:eastAsia="Arial" w:hAnsi="Arial"/>
          <w:sz w:val="20"/>
          <w:szCs w:val="20"/>
          <w:color w:val="auto"/>
        </w:rPr>
        <w:t>, as of the Closing Date, is a description of all deposit accounts and all securities accounts of the Loan Parties, including the name of (i) the applicable Loan Party, (ii) in the case of a deposit account, the depository institution and balance (as of January 31, 2021) held in such deposit account and whether such account is an Excluded Account, and (iii) in the case of a securities account, the securities intermediary or issuer and the market value (as of January 31, 2021) held in such securities account, as applicable.</w:t>
      </w:r>
    </w:p>
    <w:p>
      <w:pPr>
        <w:spacing w:after="0" w:line="19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285"/>
        </w:numPr>
        <w:rPr>
          <w:rFonts w:ascii="Arial" w:cs="Arial" w:eastAsia="Arial" w:hAnsi="Arial"/>
          <w:sz w:val="20"/>
          <w:szCs w:val="20"/>
          <w:color w:val="auto"/>
        </w:rPr>
      </w:pP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5.19(d)</w:t>
      </w:r>
      <w:r>
        <w:rPr>
          <w:rFonts w:ascii="Arial" w:cs="Arial" w:eastAsia="Arial" w:hAnsi="Arial"/>
          <w:sz w:val="20"/>
          <w:szCs w:val="20"/>
          <w:color w:val="auto"/>
        </w:rPr>
        <w:t>, as of the Closing Date, is a list of all real property located in the United States that is owned or leased by any Loan Party (in each case, including (i) the name of the Loan Party owning (or leasing) such property, (ii) the property address, and (iii) the city, county, state and zip code which such property is located).</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5.20</w:t>
      </w:r>
      <w:r>
        <w:rPr>
          <w:sz w:val="20"/>
          <w:szCs w:val="20"/>
          <w:color w:val="auto"/>
        </w:rPr>
        <w:tab/>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Loan Party is an Affected Financial Institution.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6"/>
          <w:szCs w:val="16"/>
          <w:u w:val="single" w:color="auto"/>
          <w:color w:val="auto"/>
        </w:rPr>
        <w:t>Covered Entities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Loan Party is a Covered Entity.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shall deliver to the Administrative Agent (for further distribution to each Lender), in form and detail satisfactory to the Administrative Agent:</w:t>
      </w:r>
    </w:p>
    <w:p>
      <w:pPr>
        <w:spacing w:after="0" w:line="177" w:lineRule="exact"/>
        <w:rPr>
          <w:sz w:val="20"/>
          <w:szCs w:val="20"/>
          <w:color w:val="auto"/>
        </w:rPr>
      </w:pPr>
    </w:p>
    <w:p>
      <w:pPr>
        <w:jc w:val="both"/>
        <w:ind w:left="660" w:firstLine="644"/>
        <w:spacing w:after="0" w:line="250" w:lineRule="auto"/>
        <w:tabs>
          <w:tab w:leader="none" w:pos="1956" w:val="left"/>
        </w:tabs>
        <w:numPr>
          <w:ilvl w:val="0"/>
          <w:numId w:val="286"/>
        </w:numPr>
        <w:rPr>
          <w:rFonts w:ascii="Arial" w:cs="Arial" w:eastAsia="Arial" w:hAnsi="Arial"/>
          <w:sz w:val="20"/>
          <w:szCs w:val="20"/>
          <w:color w:val="auto"/>
        </w:rPr>
      </w:pP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As soon as available, but in any event within ninety (90) days after the end of each fiscal year of the Borrower (or, if earlier, fifteen (15) days after the date required to be filed with the SEC (without giving effect to any extension permitted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6" w:name="page297"/>
    <w:bookmarkEnd w:id="296"/>
    <w:p>
      <w:pPr>
        <w:jc w:val="both"/>
        <w:ind w:left="660"/>
        <w:spacing w:after="0" w:line="257" w:lineRule="auto"/>
        <w:rPr>
          <w:sz w:val="20"/>
          <w:szCs w:val="20"/>
          <w:color w:val="auto"/>
        </w:rPr>
      </w:pPr>
      <w:r>
        <w:rPr>
          <w:rFonts w:ascii="Arial" w:cs="Arial" w:eastAsia="Arial" w:hAnsi="Arial"/>
          <w:sz w:val="19"/>
          <w:szCs w:val="19"/>
          <w:color w:val="auto"/>
        </w:rPr>
        <w:t>SEC)), commencing with the fiscal year ending April 31, 2021, a Consolidated balance sheet of the Borrower and its Subsidiaries as at the end of such fiscal year, and the related Consolidated statements of income,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80" w:lineRule="exact"/>
        <w:rPr>
          <w:sz w:val="20"/>
          <w:szCs w:val="20"/>
          <w:color w:val="auto"/>
        </w:rPr>
      </w:pPr>
    </w:p>
    <w:p>
      <w:pPr>
        <w:jc w:val="both"/>
        <w:ind w:left="660" w:firstLine="644"/>
        <w:spacing w:after="0" w:line="308" w:lineRule="auto"/>
        <w:tabs>
          <w:tab w:leader="none" w:pos="1956"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but in any event within forty-five (45) days after the end of each of the first three (3) fiscal quarters of each fiscal year of the Borrower (or, if earlier, five (5) days after the date required to be filed with the SEC, (without giving effect to any extension permitted by the SEC)), commencing with the fiscal quarter of the Borrower ending July 31, 2021, a Consolidated balance sheet of the Borrower and its Subsidiaries as at the end of such fiscal quarter, and the related Consolidated statements of income or operations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 treasurer or controller who is a Responsible Officer of the Borrower as fairly presenting the financial condition, results of operations and cash flows of the Borrower and its Subsidiaries, subject only to normal year-end audit adjustments and the absence of footnotes.</w:t>
      </w:r>
    </w:p>
    <w:p>
      <w:pPr>
        <w:spacing w:after="0" w:line="379" w:lineRule="exact"/>
        <w:rPr>
          <w:rFonts w:ascii="Arial" w:cs="Arial" w:eastAsia="Arial" w:hAnsi="Arial"/>
          <w:sz w:val="16"/>
          <w:szCs w:val="16"/>
          <w:color w:val="auto"/>
        </w:rPr>
      </w:pPr>
    </w:p>
    <w:p>
      <w:pPr>
        <w:jc w:val="both"/>
        <w:ind w:left="660" w:firstLine="644"/>
        <w:spacing w:after="0" w:line="246" w:lineRule="auto"/>
        <w:tabs>
          <w:tab w:leader="none" w:pos="1956" w:val="left"/>
        </w:tabs>
        <w:numPr>
          <w:ilvl w:val="0"/>
          <w:numId w:val="287"/>
        </w:numPr>
        <w:rPr>
          <w:rFonts w:ascii="Arial" w:cs="Arial" w:eastAsia="Arial" w:hAnsi="Arial"/>
          <w:sz w:val="20"/>
          <w:szCs w:val="20"/>
          <w:color w:val="auto"/>
        </w:rPr>
      </w:pPr>
      <w:r>
        <w:rPr>
          <w:rFonts w:ascii="Arial" w:cs="Arial" w:eastAsia="Arial" w:hAnsi="Arial"/>
          <w:sz w:val="20"/>
          <w:szCs w:val="20"/>
          <w:u w:val="single" w:color="auto"/>
          <w:color w:val="auto"/>
        </w:rPr>
        <w:t>Budget and Projections</w:t>
      </w:r>
      <w:r>
        <w:rPr>
          <w:rFonts w:ascii="Arial" w:cs="Arial" w:eastAsia="Arial" w:hAnsi="Arial"/>
          <w:sz w:val="20"/>
          <w:szCs w:val="20"/>
          <w:color w:val="auto"/>
        </w:rPr>
        <w:t>. As soon as available, but in any event no later than ninety (90) days after the beginning of each fiscal year of the Borrower, projections and a budget for the Borrower and its Subsidiaries on a Consolidated basis (including a balance sheet and related statements of income and cash flows), on a quarterly basis for such fiscal year.</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but the foregoing shall not be in derogation of the obligation of the Borrower to furnish the information and materials described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at the times specified therein.</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Each Loan Party shall, and shall cause each of its Subsidiaries to, deliver to the Administrative Agent (for further distribution to each Lender), in form and detail satisfactory to the Administrative Agent:</w:t>
      </w:r>
    </w:p>
    <w:p>
      <w:pPr>
        <w:spacing w:after="0" w:line="177" w:lineRule="exact"/>
        <w:rPr>
          <w:sz w:val="20"/>
          <w:szCs w:val="20"/>
          <w:color w:val="auto"/>
        </w:rPr>
      </w:pPr>
    </w:p>
    <w:p>
      <w:pPr>
        <w:jc w:val="both"/>
        <w:ind w:left="660" w:firstLine="644"/>
        <w:spacing w:after="0" w:line="255" w:lineRule="auto"/>
        <w:tabs>
          <w:tab w:leader="none" w:pos="1956"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 a duly completed Compliance Certificate signed by the chief executive officer, chief financial officer, treasurer or controller which is a Responsible Officer of the Borrower, including (A) a certification that no Default has occurred and is continuing (or, if a Default has occurred and is continuing, describing the nature and status of each such Default and actions that have been taken or are proposed to be taken to cure such Default), (B)(1) a certification of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including financial covenant calculations for the period covered by the Compliance Certificate and (2) a calculation of the Available Amount as of the date of such Compliance Certificate, (C) a listing of (1) all applications with the United States Patent and Trademark Office or the United States Copyright Office by any Loan Party, if any, for any Intellectual Property made since the date of the most recent prior Compliance Certificate (or, in the case of the first Compliance Certificate delivered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7" w:name="page298"/>
    <w:bookmarkEnd w:id="297"/>
    <w:p>
      <w:pPr>
        <w:jc w:val="both"/>
        <w:ind w:left="200"/>
        <w:spacing w:after="0" w:line="254" w:lineRule="auto"/>
        <w:rPr>
          <w:sz w:val="20"/>
          <w:szCs w:val="20"/>
          <w:color w:val="auto"/>
        </w:rPr>
      </w:pPr>
      <w:r>
        <w:rPr>
          <w:rFonts w:ascii="Arial" w:cs="Arial" w:eastAsia="Arial" w:hAnsi="Arial"/>
          <w:sz w:val="19"/>
          <w:szCs w:val="19"/>
          <w:color w:val="auto"/>
        </w:rPr>
        <w:t xml:space="preserve">Closing Date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the Closing Date), (2) all issuances of registrations or letters on existing applications with the United States Patent and Trademark Office or the United States Copyright Office by any Loan Party, if any, for any Intellectual Property received since the date of the most recent prior Compliance Certificate (or, in the case of the first Compliance Certificate delivered after the Closing Date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the Closing Date), and (3) all licenses relating to any Intellectual Property registered with the United States Patent and Trademark Office or the United States Copyright Office entered into by any Loan Party since the date of the most recent prior Compliance Certificate (or, in the case of the first Compliance Certificate delivered after the Closing Date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the Closing Date), and (D) concurrently with the delivery of the financial statements referred to in </w:t>
      </w:r>
      <w:r>
        <w:rPr>
          <w:rFonts w:ascii="Arial" w:cs="Arial" w:eastAsia="Arial" w:hAnsi="Arial"/>
          <w:sz w:val="19"/>
          <w:szCs w:val="19"/>
          <w:u w:val="single" w:color="auto"/>
          <w:color w:val="auto"/>
        </w:rPr>
        <w:t>Section 6.01(a)</w:t>
      </w:r>
      <w:r>
        <w:rPr>
          <w:rFonts w:ascii="Arial" w:cs="Arial" w:eastAsia="Arial" w:hAnsi="Arial"/>
          <w:sz w:val="19"/>
          <w:szCs w:val="19"/>
          <w:color w:val="auto"/>
        </w:rPr>
        <w:t>, updated evidence of insurance for any insurance coverage of any Loan Party that was renewed, replaced or modified during the period covered by such Compliance Certificate, and (ii) a copy of management’s discussion and analysis with respect to such financial statements.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92" w:lineRule="exact"/>
        <w:rPr>
          <w:sz w:val="20"/>
          <w:szCs w:val="20"/>
          <w:color w:val="auto"/>
        </w:rPr>
      </w:pPr>
    </w:p>
    <w:p>
      <w:pPr>
        <w:jc w:val="both"/>
        <w:ind w:left="200" w:firstLine="644"/>
        <w:spacing w:after="0" w:line="244" w:lineRule="auto"/>
        <w:tabs>
          <w:tab w:leader="none" w:pos="1496"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Audit Reports; Management Letters; Recommendations</w:t>
      </w:r>
      <w:r>
        <w:rPr>
          <w:rFonts w:ascii="Arial" w:cs="Arial" w:eastAsia="Arial" w:hAnsi="Arial"/>
          <w:sz w:val="20"/>
          <w:szCs w:val="20"/>
          <w:color w:val="auto"/>
        </w:rPr>
        <w:t>. 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94"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Annual Reports; Etc.</w:t>
      </w:r>
      <w:r>
        <w:rPr>
          <w:rFonts w:ascii="Arial" w:cs="Arial" w:eastAsia="Arial" w:hAnsi="Arial"/>
          <w:sz w:val="20"/>
          <w:szCs w:val="20"/>
          <w:color w:val="auto"/>
        </w:rPr>
        <w:t xml:space="preserve"> Promptly after the same are sent or filed, copies of each annual report, proxy or financial statement or other report or communication sent to the stockholders of any Loan Party, and copies of all annual, regular, periodic and special reports and registration statements which any Loan Party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95" w:lineRule="exact"/>
        <w:rPr>
          <w:rFonts w:ascii="Arial" w:cs="Arial" w:eastAsia="Arial" w:hAnsi="Arial"/>
          <w:sz w:val="20"/>
          <w:szCs w:val="20"/>
          <w:color w:val="auto"/>
        </w:rPr>
      </w:pPr>
    </w:p>
    <w:p>
      <w:pPr>
        <w:jc w:val="both"/>
        <w:ind w:left="200" w:firstLine="644"/>
        <w:spacing w:after="0" w:line="260" w:lineRule="auto"/>
        <w:tabs>
          <w:tab w:leader="none" w:pos="1496"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t>Debt Securities Statements and Reports</w:t>
      </w:r>
      <w:r>
        <w:rPr>
          <w:rFonts w:ascii="Arial" w:cs="Arial" w:eastAsia="Arial" w:hAnsi="Arial"/>
          <w:sz w:val="19"/>
          <w:szCs w:val="19"/>
          <w:color w:val="auto"/>
        </w:rPr>
        <w:t xml:space="preserve">. Promptly after the furnishing thereof, copies of any statement or report furnished to any holder of debt securities of any Loan Party or of any of its Subsidiaries pursuant to the terms of any indenture, loan or credit or similar agreement governing Indebtedness with in an aggregate principal amount in excess of the Threshold Amount and not otherwise required to be furnished to the Lenders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200" w:firstLine="644"/>
        <w:spacing w:after="0" w:line="282" w:lineRule="auto"/>
        <w:tabs>
          <w:tab w:leader="none" w:pos="1496"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SEC Notices</w:t>
      </w:r>
      <w:r>
        <w:rPr>
          <w:rFonts w:ascii="Arial" w:cs="Arial" w:eastAsia="Arial" w:hAnsi="Arial"/>
          <w:sz w:val="18"/>
          <w:szCs w:val="18"/>
          <w:color w:val="auto"/>
        </w:rPr>
        <w:t>. Promptly, and in any event within five (5) Business Days after receipt thereof by any Loan Party or any Subsidiary,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w:t>
      </w:r>
    </w:p>
    <w:p>
      <w:pPr>
        <w:spacing w:after="0" w:line="161" w:lineRule="exact"/>
        <w:rPr>
          <w:rFonts w:ascii="Arial" w:cs="Arial" w:eastAsia="Arial" w:hAnsi="Arial"/>
          <w:sz w:val="18"/>
          <w:szCs w:val="18"/>
          <w:color w:val="auto"/>
        </w:rPr>
      </w:pPr>
    </w:p>
    <w:p>
      <w:pPr>
        <w:jc w:val="both"/>
        <w:ind w:left="200" w:firstLine="644"/>
        <w:spacing w:after="0" w:line="246" w:lineRule="auto"/>
        <w:tabs>
          <w:tab w:leader="none" w:pos="1496"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Anti-Money-Laundering; Beneficial Ownership Regulation</w:t>
      </w:r>
      <w:r>
        <w:rPr>
          <w:rFonts w:ascii="Arial" w:cs="Arial" w:eastAsia="Arial" w:hAnsi="Arial"/>
          <w:sz w:val="20"/>
          <w:szCs w:val="20"/>
          <w:color w:val="auto"/>
        </w:rPr>
        <w:t>. Promptly following any request therefor, information and documentation reasonably requested by the Administrative Agent or any Lender for purposes of compliance with applicable “know your customer” and anti-money-laundering rules and regulations, including the PATRIOT Act.</w:t>
      </w:r>
    </w:p>
    <w:p>
      <w:pPr>
        <w:spacing w:after="0" w:line="191" w:lineRule="exact"/>
        <w:rPr>
          <w:rFonts w:ascii="Arial" w:cs="Arial" w:eastAsia="Arial" w:hAnsi="Arial"/>
          <w:sz w:val="20"/>
          <w:szCs w:val="20"/>
          <w:color w:val="auto"/>
        </w:rPr>
      </w:pPr>
    </w:p>
    <w:p>
      <w:pPr>
        <w:ind w:left="200" w:firstLine="644"/>
        <w:spacing w:after="0" w:line="260" w:lineRule="auto"/>
        <w:tabs>
          <w:tab w:leader="none" w:pos="1496"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Beneficial Ownership</w:t>
      </w:r>
      <w:r>
        <w:rPr>
          <w:rFonts w:ascii="Arial" w:cs="Arial" w:eastAsia="Arial" w:hAnsi="Arial"/>
          <w:sz w:val="20"/>
          <w:szCs w:val="20"/>
          <w:color w:val="auto"/>
        </w:rPr>
        <w:t>. To the extent the Borrower qualifies as a “legal entity customer” under the Beneficial Ownership Regulation, an updated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298" w:name="page299"/>
    <w:bookmarkEnd w:id="298"/>
    <w:p>
      <w:pPr>
        <w:jc w:val="both"/>
        <w:ind w:left="660"/>
        <w:spacing w:after="0" w:line="250" w:lineRule="auto"/>
        <w:rPr>
          <w:sz w:val="20"/>
          <w:szCs w:val="20"/>
          <w:color w:val="auto"/>
        </w:rPr>
      </w:pPr>
      <w:r>
        <w:rPr>
          <w:rFonts w:ascii="Arial" w:cs="Arial" w:eastAsia="Arial" w:hAnsi="Arial"/>
          <w:sz w:val="20"/>
          <w:szCs w:val="20"/>
          <w:color w:val="auto"/>
        </w:rPr>
        <w:t>Certification promptly following any change in the information provided in any Beneficial Ownership Certification delivered to the Administrative Agent or any Lender in relation to the Borrower that would result in a change to the list of beneficial owners identified in such certification.</w:t>
      </w:r>
    </w:p>
    <w:p>
      <w:pPr>
        <w:spacing w:after="0" w:line="186" w:lineRule="exact"/>
        <w:rPr>
          <w:sz w:val="20"/>
          <w:szCs w:val="20"/>
          <w:color w:val="auto"/>
        </w:rPr>
      </w:pPr>
    </w:p>
    <w:p>
      <w:pPr>
        <w:jc w:val="both"/>
        <w:ind w:left="660" w:firstLine="644"/>
        <w:spacing w:after="0" w:line="269" w:lineRule="auto"/>
        <w:tabs>
          <w:tab w:leader="none" w:pos="1956"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Additional Information</w:t>
      </w:r>
      <w:r>
        <w:rPr>
          <w:rFonts w:ascii="Arial" w:cs="Arial" w:eastAsia="Arial" w:hAnsi="Arial"/>
          <w:sz w:val="19"/>
          <w:szCs w:val="19"/>
          <w:color w:val="auto"/>
        </w:rPr>
        <w:t>. Promptly, such additional information regarding the business, financial, legal or corporate affairs of any Loan Party or any Subsidiary, or compliance with the terms of the Loan Documents, as the Administrative Agent or any Lender may from time to time reasonably request.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1.01(a)</w:t>
      </w:r>
      <w:r>
        <w:rPr>
          <w:rFonts w:ascii="Arial" w:cs="Arial" w:eastAsia="Arial" w:hAnsi="Arial"/>
          <w:sz w:val="19"/>
          <w:szCs w:val="19"/>
          <w:color w:val="auto"/>
        </w:rPr>
        <w:t xml:space="preserve">, or (b)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 the Borrower shall deliver paper copies of such documents to the Administrative Agent or any Lender upon its reasonable request to the Borrower to deliver such paper copies until a written request to cease delivering paper copies is given by the Administrative Agent or such Lender, and (ii) the Borrower shall notify the Administrative Agent and each Lender (by e-mail transmission) of the posting of any such documents and, to the extent reasonably requested by the Administrative Agent,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Borrower hereby acknowledges that (a) the Administrative Agent and/or an Affiliate thereof may, but shall not be obligated to, make available to the Lenders and the L/C Issuers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any Affiliate thereof, each Arranger, each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(iii) all Borrower Materials marked “PUBLIC” are permitted to be made available through a portion of the Platform designated “Public Side Information,” and (iv) the Administrative Agent and any Affiliate thereof and each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299" w:name="page300"/>
    <w:bookmarkEnd w:id="299"/>
    <w:p>
      <w:pPr>
        <w:spacing w:after="0"/>
        <w:tabs>
          <w:tab w:leader="none" w:pos="64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Loan Party shall, and shall cause each of its Subsidiaries to, promptly, but in any event within two (2) Business Days, notify the Administrative Agent (and, upon receipt of any such notice, the Administrative Agent shall notify each Lender) of:</w:t>
      </w:r>
    </w:p>
    <w:p>
      <w:pPr>
        <w:spacing w:after="0" w:line="186" w:lineRule="exact"/>
        <w:rPr>
          <w:sz w:val="20"/>
          <w:szCs w:val="20"/>
          <w:color w:val="auto"/>
        </w:rPr>
      </w:pPr>
    </w:p>
    <w:p>
      <w:pPr>
        <w:ind w:left="1960" w:hanging="656"/>
        <w:spacing w:after="0"/>
        <w:tabs>
          <w:tab w:leader="none" w:pos="19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matter that has resulted or could reasonably be expected to result in a Material Adverse Effect;</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occurrence of any ERISA Event;</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xml:space="preserve">any material change in accounting policies or financial reporting practices by any Loan Party or any Subsidiary, including any determination by the Borrower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left="660" w:right="20" w:firstLine="644"/>
        <w:spacing w:after="0" w:line="250" w:lineRule="auto"/>
        <w:tabs>
          <w:tab w:leader="none" w:pos="1956"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xml:space="preserve">any (i) occurrence of any Disposition or Involuntary Disposition for which a mandatory prepayment is required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or (ii) Debt Issuance for which a mandatory prepayment is required pursuant to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Payment of Obligations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Loan Party shall, and shall cause each of its Subsidiaries to,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(other than Permitted Liens), and (c) all Indebtedness, as and when due and payable, but subject to any subordination provisions contained in any instrument or agreement evidencing such Indebtedness; except, in any case, to the extent the failure to pay or discharge the same could not reasonably be expected, individually or in the aggregate, to have a Material Adverse Effect.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Preservation of Existence, Etc.</w:t>
      </w:r>
    </w:p>
    <w:p>
      <w:pPr>
        <w:spacing w:after="0" w:line="216" w:lineRule="exact"/>
        <w:rPr>
          <w:sz w:val="20"/>
          <w:szCs w:val="20"/>
          <w:color w:val="auto"/>
        </w:rPr>
      </w:pPr>
    </w:p>
    <w:p>
      <w:pPr>
        <w:jc w:val="both"/>
        <w:ind w:left="660" w:firstLine="644"/>
        <w:spacing w:after="0" w:line="291" w:lineRule="auto"/>
        <w:tabs>
          <w:tab w:leader="none" w:pos="195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Each Loan Party shall, and shall cause each of its Subsidiaries to, preserve, renew and maintain in full force and effect its legal existence and, except with respect to the Immaterial Subsidiary,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Each Loan Party shall, and shall cause each of its Subsidiaries to, 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0" w:name="page301"/>
    <w:bookmarkEnd w:id="300"/>
    <w:p>
      <w:pPr>
        <w:jc w:val="both"/>
        <w:ind w:left="660" w:firstLine="644"/>
        <w:spacing w:after="0" w:line="250" w:lineRule="auto"/>
        <w:tabs>
          <w:tab w:leader="none" w:pos="195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Each Loan Party shall, and shall cause each of its Subsidiaries to, preserve or renew all of its registered Intellectual Property, the non-preservation of which could reasonably be expected to have a Material Adverse Effect.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Each Loan Party shall, and shall cause each of its Subsidiaries to, (a) maintain, preserve and protect all of its material properties and equipment necessary in the operation of its business in good working order and condition, ordinary wear and tear excepted;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4" w:lineRule="auto"/>
        <w:tabs>
          <w:tab w:leader="none" w:pos="1956"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Each Loan Party shall, and shall cause each of its Subsidiaries to,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94"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Each Loan Party shall, and shall cause each of its Subsidiaries to, (i) cause the Administrative Agent to be named as lenders’ loss payable and/or additional insured with respect of any insurance providing liability coverage or coverage in respect of any Collateral, and use commercially reasonable efforts to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lapse, terminate or be cancelled (or ten (10) days prior notice in the case of cancellation due to the nonpayment of premiums), and (ii) annually, upon expiration of current insurance coverage, provide, or cause to be provided, to the Administrative Agent, such evidence of insurance as required by the Administrative Agent, including, but not limited to, (A) evidence of such insurance policies (including, as applicable, ACORD Form 28 certificates (or similar form of insurance certificate) and ACORD Form 25 certificates (or similar form of insurance certificate)), and (B) endorsements naming the Administrative Agent as lenders’ loss payable and/or additional insured with respect of any such insurance.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Each Loan Party shall, and shall cause each of its Subsidiaries to,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Loan Party shall, and shall cause each of its Subsidiaries to, (a) maintain proper books of record and account, in which full, true and correct (in all material respects) entries in conformity with GAAP consistently applied shall be made of all financial transactions and matters involving the assets and business of such Loan Party or such Subsidiary, as the case may be; and (b) maintain such books of record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1" w:name="page302"/>
    <w:bookmarkEnd w:id="301"/>
    <w:p>
      <w:pPr>
        <w:jc w:val="both"/>
        <w:spacing w:after="0" w:line="260" w:lineRule="auto"/>
        <w:rPr>
          <w:sz w:val="20"/>
          <w:szCs w:val="20"/>
          <w:color w:val="auto"/>
        </w:rPr>
      </w:pPr>
      <w:r>
        <w:rPr>
          <w:rFonts w:ascii="Arial" w:cs="Arial" w:eastAsia="Arial" w:hAnsi="Arial"/>
          <w:sz w:val="20"/>
          <w:szCs w:val="20"/>
          <w:color w:val="auto"/>
        </w:rPr>
        <w:t>account in material conformity with all applicable requirements of any Governmental Authority having regulatory jurisdiction over such Loan Party or such Subsidiary, as the case may be.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Loan Party shall, and shall cause each of its Subsidiaries to,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one or more representatives of the Borrower shall be invited (with reasonable advanced notice) to attend any such meetings with such independent public accountants), all at the expense of the Borrower and at such reasonable times during normal business hours and no more than once per calendar year,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when an Event of Default exists, the Administrative Agent or any Lender (or any of their respective representatives or independent contractors) may do any of the foregoing at the expense of the Borrower at any time, and as often as may be desired, during normal business hours and without advance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anything to the contrary herein, neither the Borrower nor any of its Subsidiaries shall be required to disclose, permit the inspection, examination or making of copies of or taking abstracts from, or discuss any document, information or other matter (a) that constitutes non-financial trade secrets or non-financial proprietary information of the Borrower and its Subsidiaries (and/or any such information of any of their respective customers and/or suppliers), (b) in respect of which disclosure to the Administrative Agent or any Lender (or any of their respective representatives or agents) is prohibited by applicable Law, (c) that is subject to attorney-client or similar privilege or constitutes attorney work product, or (d) in respect of which the Borrower or such Subsidiary owes confidentiality obligations (to the extent not created in contemplation of the Borrower’s or such Subsidiary’s obligations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to any third party.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Loan Party shall, and shall cause each of its Subsidiaries to, use the proceeds of (a) the Term A Loans on the Closing Date to pay the Closing Date Acquisition Costs, (b) the Revolving Facility (including Letters of Credit and Swingline Loans) from time to time after the Closing Date to finance working capital and for other general corporate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foregoing provisions of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restrict the deemed issuance of the Existing Letters of Credit on the Closing Date, to the extent such Existing Letters of Credit otherwise comply with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(c) any Incremental Term Facility for the purposes set forth in the Incremental Term Facility Agreement entered into in connection with the establishment of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in no event shall the proceeds of any Credit Extension be used in contravention of any Law or of any Loan Document.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6"/>
          <w:szCs w:val="16"/>
          <w:u w:val="single" w:color="auto"/>
          <w:color w:val="auto"/>
        </w:rPr>
        <w:t>Covenant to Guarantee Obligations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Each Loan Party shall, and shall cause each of its Subsidiaries to, within forty-five (45) days (or, with respect to any Domestic Subsidiary that is a Telerob Immaterial Subsidiary, one hundred twenty (120) days) (or, in each case, such longer period of time as is agreed to by the Administrative Agent in its sole discretion) after the acquisition or formation of any Subsidiary, cause any such Subsidiary that is a Domestic Subsidiary to become a Guarantor hereunder by way of execution of a Joinder Agreement in form and substance satisfactory to the Administrative Agent and, in connection with the foregoing, deliver to the Administrative Agent, with respect to each new Guarantor, substantially the same documentation required pursuant to </w:t>
      </w:r>
      <w:r>
        <w:rPr>
          <w:rFonts w:ascii="Arial" w:cs="Arial" w:eastAsia="Arial" w:hAnsi="Arial"/>
          <w:sz w:val="18"/>
          <w:szCs w:val="18"/>
          <w:u w:val="single" w:color="auto"/>
          <w:color w:val="auto"/>
        </w:rPr>
        <w:t>Sections 4.01(b)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color w:val="auto"/>
        </w:rPr>
        <w:t>, and, to the extent requested by the Administrative Agent, opinions of counsel to such Person, and such other deliveries reasonably deemed necessary in connection therewith, all in form, content and scope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2" w:name="page303"/>
    <w:bookmarkEnd w:id="302"/>
    <w:p>
      <w:pPr>
        <w:spacing w:after="0"/>
        <w:tabs>
          <w:tab w:leader="none" w:pos="6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Covenant to Give Security</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shall:</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Cause (i) one hundred percent (100%) of the issued and outstanding Equity Interests directly owned by such Loan Party in each of its Domestic Subsidiaries, and (ii) sixty-five percent (65%) of the issued and outstanding Equity Interests entitled to vote (within the meaning of Treas. Reg. Section 1.956-2(c)(2)) and one hundred percent (100%) of the issued and outstanding Equity Interests not entitled to vote (within the meaning of Treas. Reg. Section 1.956-2(c)(2)), in each case, directly owned by such Loan Party in each of its Foreign Subsidiaries, in each case, to be subject at all times to a first priority, perfected Lien in favor of the Administrative Agent, for the benefit of the Secured Parties to secure the Secured Obligations, pursuant to the terms and conditions of the Collateral Documents, together with, to the extent requested by the Administrative Agent, opinions of counsel and any filings and deliveries necessary in connection therewith to perfect the security interests therein, all in form and substance satisfactory to the Administrative Agent.</w:t>
      </w:r>
    </w:p>
    <w:p>
      <w:pPr>
        <w:spacing w:after="0" w:line="173"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Other Property</w:t>
      </w:r>
      <w:r>
        <w:rPr>
          <w:rFonts w:ascii="Arial" w:cs="Arial" w:eastAsia="Arial" w:hAnsi="Arial"/>
          <w:sz w:val="19"/>
          <w:szCs w:val="19"/>
          <w:color w:val="auto"/>
        </w:rPr>
        <w:t>. Cause all property of such Loan Party (other than Excluded Property of such Loan Party) to be subject at all times to first priority (subject only to Permitted Liens), perfected Liens in favor of the Administrative Agent, for the benefit of the Secured Parties, to secure the Secured Obligations pursuant to the Collateral Documents or, with respect to any such property acquired subsequent to the Closing Date, such other additional security documents as the Administrative Agent shall reasonably request and, in connection with the foregoing, deliver to the Administrative Agent such other documentation as the Administrative Agent may reasonably request including filings and deliveries necessary to perfect such Liens, Organization Documents, resolutions, and, to the extent requested by the Administrative Agent, favorable opinions of counsel, all in form, content and scope reasonably satisfactory to the Administrative Agent.</w:t>
      </w:r>
    </w:p>
    <w:p>
      <w:pPr>
        <w:spacing w:after="0" w:line="184" w:lineRule="exact"/>
        <w:rPr>
          <w:rFonts w:ascii="Arial" w:cs="Arial" w:eastAsia="Arial" w:hAnsi="Arial"/>
          <w:sz w:val="19"/>
          <w:szCs w:val="19"/>
          <w:color w:val="auto"/>
        </w:rPr>
      </w:pPr>
    </w:p>
    <w:p>
      <w:pPr>
        <w:jc w:val="both"/>
        <w:ind w:left="660" w:firstLine="644"/>
        <w:spacing w:after="0" w:line="276" w:lineRule="auto"/>
        <w:tabs>
          <w:tab w:leader="none" w:pos="195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Qualifying Control Agreements</w:t>
      </w:r>
      <w:r>
        <w:rPr>
          <w:rFonts w:ascii="Arial" w:cs="Arial" w:eastAsia="Arial" w:hAnsi="Arial"/>
          <w:sz w:val="18"/>
          <w:szCs w:val="18"/>
          <w:color w:val="auto"/>
        </w:rPr>
        <w:t>. To the extent requested by the Administrative Agent with respect to any deposit account or any securities account of such Loan Party, cause such deposit account (other than (i) any deposit account maintained with the Administrative Agent or any Lender, and (ii) any Excluded Account) or such securities account at all times to be subject to a Qualifying Control Agreement (it being understood and agreed that the Loan Parties shall have forty-five (45) days following any such request (or such longer period of time as is agreed by the Administrative Agent in its sole discretion) to provide any such Qualifying Control Agreement).</w:t>
      </w:r>
    </w:p>
    <w:p>
      <w:pPr>
        <w:spacing w:after="0" w:line="164" w:lineRule="exact"/>
        <w:rPr>
          <w:rFonts w:ascii="Arial" w:cs="Arial" w:eastAsia="Arial" w:hAnsi="Arial"/>
          <w:sz w:val="18"/>
          <w:szCs w:val="18"/>
          <w:color w:val="auto"/>
        </w:rPr>
      </w:pPr>
    </w:p>
    <w:p>
      <w:pPr>
        <w:jc w:val="both"/>
        <w:ind w:left="660" w:firstLine="644"/>
        <w:spacing w:after="0" w:line="272" w:lineRule="auto"/>
        <w:tabs>
          <w:tab w:leader="none" w:pos="195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Assignment of Claims Act</w:t>
      </w:r>
      <w:r>
        <w:rPr>
          <w:rFonts w:ascii="Arial" w:cs="Arial" w:eastAsia="Arial" w:hAnsi="Arial"/>
          <w:sz w:val="18"/>
          <w:szCs w:val="18"/>
          <w:color w:val="auto"/>
        </w:rPr>
        <w:t xml:space="preserve">. Promptly, upon request by the Administrative Agent, comply with any and all of the requirements of the Assignment of Claims Act (Title 31 Section 3727 and Title 41 Section 15 of the United States Code), and FAR Subpart 32.8 (including FAR 52.232-23) (and comparable Laws of any state) where such statutes and regulations are applicable to any government contracts of any Loan Party, and take all such other action as may be necessary to make the direct assignment to the Administrative Agent of the payments due or to become due under such government contracts, and such further action as may be necessary to facilitate the creation and perfection of the Administrative Agent’s security interest in such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Loan Party shall be required to take any such action with respect to any government contract with (i) less than $5,000,000 in remaining value, or (ii) less than six (6) months in remaining duration.</w:t>
      </w:r>
    </w:p>
    <w:p>
      <w:pPr>
        <w:spacing w:after="0" w:line="1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 provision in any Loan Document to the contrary, in no event shall any Loan Party be required to (x) enter into any Collateral Document governed by the laws of any jurisdiction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3" w:name="page304"/>
    <w:bookmarkEnd w:id="303"/>
    <w:p>
      <w:pPr>
        <w:jc w:val="both"/>
        <w:spacing w:after="0" w:line="260" w:lineRule="auto"/>
        <w:rPr>
          <w:sz w:val="20"/>
          <w:szCs w:val="20"/>
          <w:color w:val="auto"/>
        </w:rPr>
      </w:pPr>
      <w:r>
        <w:rPr>
          <w:rFonts w:ascii="Arial" w:cs="Arial" w:eastAsia="Arial" w:hAnsi="Arial"/>
          <w:sz w:val="20"/>
          <w:szCs w:val="20"/>
          <w:color w:val="auto"/>
        </w:rPr>
        <w:t>than the United States, any state thereof or the District of Columbia, or (y) take any steps to perfect a security interest created over any Collateral located outside of the United States.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Loan Party shall, and shall cause each of its Subsidiaries to,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subject any Loan Party’s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is or is to be a party.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Anti-Corruption Laws; Sanctions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Each Loan Party shall, and shall cause each of its Subsidiaries to, (a) conduct its business in compliance in all material respects with (i) the United States Foreign Corrupt Practices Act of 1977, the UK Bribery Act 2010 and other similar anti-corruption legislation in other jurisdictions, and (ii) all applicable Sanctions, and (b) maintain policies and procedures designed to promote and achieve compliance with (i) the United States Foreign Corrupt Practices Act of 1977, the UK Bribery Act 2010 and other similar anti-corruption legislation in other jurisdictions, and (ii) all applicable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 no Loan Party shall, nor shall it permit any Subsidiary to:</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Directly or indirectly create, incur, assume or suffer to exist any Lien upon any of its property, assets or revenues, whether now owned or hereafter acquired, except for the following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77" w:lineRule="exact"/>
        <w:rPr>
          <w:sz w:val="20"/>
          <w:szCs w:val="20"/>
          <w:color w:val="auto"/>
        </w:rPr>
      </w:pPr>
    </w:p>
    <w:p>
      <w:pPr>
        <w:ind w:left="1960" w:hanging="656"/>
        <w:spacing w:after="0"/>
        <w:tabs>
          <w:tab w:leader="none" w:pos="1960" w:val="left"/>
        </w:tabs>
        <w:numPr>
          <w:ilvl w:val="1"/>
          <w:numId w:val="296"/>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15" w:lineRule="exact"/>
        <w:rPr>
          <w:rFonts w:ascii="Arial" w:cs="Arial" w:eastAsia="Arial" w:hAnsi="Arial"/>
          <w:sz w:val="20"/>
          <w:szCs w:val="20"/>
          <w:color w:val="auto"/>
        </w:rPr>
      </w:pPr>
    </w:p>
    <w:p>
      <w:pPr>
        <w:jc w:val="both"/>
        <w:ind w:left="660" w:firstLine="644"/>
        <w:spacing w:after="0" w:line="272" w:lineRule="auto"/>
        <w:tabs>
          <w:tab w:leader="none" w:pos="195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(i) Liens existing on the Closing Date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(ii) any extension, renewal or replacement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property covered thereby is not changed, (B) the amount secured or benefited thereby is not increased, (C) the direct or any contingent obligor with respect thereto is not changed, and</w:t>
      </w:r>
    </w:p>
    <w:p>
      <w:pPr>
        <w:ind w:left="660" w:hanging="4"/>
        <w:spacing w:after="0" w:line="244" w:lineRule="auto"/>
        <w:tabs>
          <w:tab w:leader="none" w:pos="984"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any extension, renewal or replacement of the obligations secured or benefited thereby is a Permitted Refinancing permitted by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4" w:name="page305"/>
    <w:bookmarkEnd w:id="304"/>
    <w:p>
      <w:pPr>
        <w:jc w:val="both"/>
        <w:ind w:left="200" w:firstLine="644"/>
        <w:spacing w:after="0" w:line="246" w:lineRule="auto"/>
        <w:tabs>
          <w:tab w:leader="none" w:pos="1496"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such Liens do not at any time encumber any property other than the property financed by such Indebtedness together with any accessions thereto and proceeds thereof, and (ii) such Liens attach to such property concurrently with or within one hundred twenty (120) days after the acquisition thereof;</w:t>
      </w:r>
    </w:p>
    <w:p>
      <w:pPr>
        <w:spacing w:after="0" w:line="191" w:lineRule="exact"/>
        <w:rPr>
          <w:rFonts w:ascii="Arial" w:cs="Arial" w:eastAsia="Arial" w:hAnsi="Arial"/>
          <w:sz w:val="20"/>
          <w:szCs w:val="20"/>
          <w:color w:val="auto"/>
        </w:rPr>
      </w:pPr>
    </w:p>
    <w:p>
      <w:pPr>
        <w:jc w:val="both"/>
        <w:ind w:left="200" w:firstLine="644"/>
        <w:spacing w:after="0" w:line="282" w:lineRule="auto"/>
        <w:tabs>
          <w:tab w:leader="none" w:pos="149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Liens for taxes not yet due and payable or which are being contested in good faith by appropriate proceedings diligently pursued;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any proceedings commenced for the enforcement of such Liens shall have been stayed or suspended within thirty (30) days of the commencement thereof, and (ii) provision for the payment of all such taxes has been made on the books of such Person to the extent required by GAAP;</w:t>
      </w:r>
    </w:p>
    <w:p>
      <w:pPr>
        <w:spacing w:after="0" w:line="161" w:lineRule="exact"/>
        <w:rPr>
          <w:rFonts w:ascii="Arial" w:cs="Arial" w:eastAsia="Arial" w:hAnsi="Arial"/>
          <w:sz w:val="18"/>
          <w:szCs w:val="18"/>
          <w:color w:val="auto"/>
        </w:rPr>
      </w:pPr>
    </w:p>
    <w:p>
      <w:pPr>
        <w:jc w:val="both"/>
        <w:ind w:left="200" w:firstLine="644"/>
        <w:spacing w:after="0" w:line="242" w:lineRule="auto"/>
        <w:tabs>
          <w:tab w:leader="none" w:pos="1496"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mechanic’s, processor’s, materialman’s, carrier’s, warehousemen’s, landlord’s and similar Liens (including statutory and common law landlord’s Liens under leases to which any Loan Party or any Subsidiary is a party) arising by operation of Law and arising in the ordinary course of business and securing obligations of such Person that are not overdue for a period of more than ninety (90) days or are being contested in good faith by appropriate proceedings diligently pursued;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any proceedings commenced for the enforcement of such Liens shall have been stayed or suspended within thirty (30) days of the commencement thereof, and (ii) provision for the payment of such Liens has been made on the books of such Person to the extent required by GAAP;</w:t>
      </w:r>
    </w:p>
    <w:p>
      <w:pPr>
        <w:spacing w:after="0" w:line="196"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Liens arising in connection with worker’s compensation, unemployment insurance, old age pensions and social security benefits (other than Liens imposed by ERISA) which are not overdue or are being contested in good faith by appropriate proceedings diligently pursued;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any proceedings commenced for the enforcement of such Liens shall have been stayed or suspended within thirty (30) days of the commencement thereof, and (ii) provision for the payment of such Liens has been made on the books of such Person to the extent required by GAAP;</w:t>
      </w:r>
    </w:p>
    <w:p>
      <w:pPr>
        <w:spacing w:after="0" w:line="195" w:lineRule="exact"/>
        <w:rPr>
          <w:rFonts w:ascii="Arial" w:cs="Arial" w:eastAsia="Arial" w:hAnsi="Arial"/>
          <w:sz w:val="20"/>
          <w:szCs w:val="20"/>
          <w:color w:val="auto"/>
        </w:rPr>
      </w:pPr>
    </w:p>
    <w:p>
      <w:pPr>
        <w:jc w:val="both"/>
        <w:ind w:left="200" w:firstLine="644"/>
        <w:spacing w:after="0" w:line="274" w:lineRule="auto"/>
        <w:tabs>
          <w:tab w:leader="none" w:pos="149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Liens (i) incurred or deposits made in the ordinary course of business to secure the performance of bids, tenders, statutory obligations, fee and expense arrangements with trustees and fiscal agents (exclusive of obligations incurred in connection with the borrowing of money or the payment of the deferred purchase price of property) and customary deposits granted in the ordinary course of business under operating leases, and (ii) incurred or deposits made securing the performance of surety, indemnity, performance, appeal and release bonds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full provision for the payment of all such obligations has been made on the books of such Person to the extent required by GAAP;</w:t>
      </w:r>
    </w:p>
    <w:p>
      <w:pPr>
        <w:spacing w:after="0" w:line="168" w:lineRule="exact"/>
        <w:rPr>
          <w:rFonts w:ascii="Arial" w:cs="Arial" w:eastAsia="Arial" w:hAnsi="Arial"/>
          <w:sz w:val="18"/>
          <w:szCs w:val="18"/>
          <w:color w:val="auto"/>
        </w:rPr>
      </w:pPr>
    </w:p>
    <w:p>
      <w:pPr>
        <w:ind w:left="1500" w:hanging="656"/>
        <w:spacing w:after="0"/>
        <w:tabs>
          <w:tab w:leader="none" w:pos="150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Permitted Real Property Encumbrances;</w:t>
      </w:r>
    </w:p>
    <w:p>
      <w:pPr>
        <w:spacing w:after="0" w:line="215" w:lineRule="exact"/>
        <w:rPr>
          <w:rFonts w:ascii="Arial" w:cs="Arial" w:eastAsia="Arial" w:hAnsi="Arial"/>
          <w:sz w:val="20"/>
          <w:szCs w:val="20"/>
          <w:color w:val="auto"/>
        </w:rPr>
      </w:pPr>
    </w:p>
    <w:p>
      <w:pPr>
        <w:jc w:val="both"/>
        <w:ind w:left="200" w:firstLine="644"/>
        <w:spacing w:after="0" w:line="263" w:lineRule="auto"/>
        <w:tabs>
          <w:tab w:leader="none" w:pos="149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attachment, judgment or other similar Liens arising in connection with court or arbitration proceedings to the extent not constituting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same are discharged, or that execution or enforcement thereof is stayed pending appeal, within thirty (30) days or, in the case of any stay of execution or enforcement pending appeal, within such lesser time during which such appeal may be taken;</w:t>
      </w:r>
    </w:p>
    <w:p>
      <w:pPr>
        <w:spacing w:after="0" w:line="176"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298"/>
        </w:numPr>
        <w:rPr>
          <w:rFonts w:ascii="Arial" w:cs="Arial" w:eastAsia="Arial" w:hAnsi="Arial"/>
          <w:sz w:val="20"/>
          <w:szCs w:val="20"/>
          <w:color w:val="auto"/>
        </w:rPr>
      </w:pPr>
      <w:r>
        <w:rPr>
          <w:rFonts w:ascii="Arial" w:cs="Arial" w:eastAsia="Arial" w:hAnsi="Arial"/>
          <w:sz w:val="20"/>
          <w:szCs w:val="20"/>
          <w:color w:val="auto"/>
        </w:rPr>
        <w:t>leases or subleases granted to others not interfering in any material respect with the business of the Borrower or any of its Subsidiaries and any interest or title of a lessor under any lease permitted by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05" w:name="page306"/>
    <w:bookmarkEnd w:id="305"/>
    <w:p>
      <w:pPr>
        <w:jc w:val="both"/>
        <w:ind w:left="200" w:firstLine="644"/>
        <w:spacing w:after="0" w:line="250" w:lineRule="auto"/>
        <w:tabs>
          <w:tab w:leader="none" w:pos="1496" w:val="left"/>
        </w:tabs>
        <w:numPr>
          <w:ilvl w:val="1"/>
          <w:numId w:val="299"/>
        </w:numPr>
        <w:rPr>
          <w:rFonts w:ascii="Arial" w:cs="Arial" w:eastAsia="Arial" w:hAnsi="Arial"/>
          <w:sz w:val="20"/>
          <w:szCs w:val="20"/>
          <w:color w:val="auto"/>
        </w:rPr>
      </w:pPr>
      <w:r>
        <w:rPr>
          <w:rFonts w:ascii="Arial" w:cs="Arial" w:eastAsia="Arial" w:hAnsi="Arial"/>
          <w:sz w:val="20"/>
          <w:szCs w:val="20"/>
          <w:color w:val="auto"/>
        </w:rPr>
        <w:t>customary rights of set off, revocation, refund or chargeback under deposit agreements or under the UCC of banks or other financial institutions where the Borrower or any of its Subsidiaries maintains deposits in the ordinary course of business permitted by the Loan Documents;</w:t>
      </w:r>
    </w:p>
    <w:p>
      <w:pPr>
        <w:spacing w:after="0" w:line="185" w:lineRule="exact"/>
        <w:rPr>
          <w:rFonts w:ascii="Arial" w:cs="Arial" w:eastAsia="Arial" w:hAnsi="Arial"/>
          <w:sz w:val="20"/>
          <w:szCs w:val="20"/>
          <w:color w:val="auto"/>
        </w:rPr>
      </w:pPr>
    </w:p>
    <w:p>
      <w:pPr>
        <w:jc w:val="both"/>
        <w:ind w:left="200" w:firstLine="644"/>
        <w:spacing w:after="0" w:line="306" w:lineRule="auto"/>
        <w:tabs>
          <w:tab w:leader="none" w:pos="149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landlord’s Liens created pursuant to any lease entered into by the Borrower or any of its Subsidiaries with a landlord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Liens (i) only encumber assets at the applicable leased property (and do not otherwise encumber other assets of the Borrower and its Subsidiaries), and</w:t>
      </w:r>
    </w:p>
    <w:p>
      <w:pPr>
        <w:ind w:left="200" w:right="20" w:hanging="4"/>
        <w:spacing w:after="0" w:line="244" w:lineRule="auto"/>
        <w:tabs>
          <w:tab w:leader="none" w:pos="534" w:val="left"/>
        </w:tabs>
        <w:numPr>
          <w:ilvl w:val="0"/>
          <w:numId w:val="300"/>
        </w:numPr>
        <w:rPr>
          <w:rFonts w:ascii="Arial" w:cs="Arial" w:eastAsia="Arial" w:hAnsi="Arial"/>
          <w:sz w:val="20"/>
          <w:szCs w:val="20"/>
          <w:color w:val="auto"/>
        </w:rPr>
      </w:pPr>
      <w:r>
        <w:rPr>
          <w:rFonts w:ascii="Arial" w:cs="Arial" w:eastAsia="Arial" w:hAnsi="Arial"/>
          <w:sz w:val="20"/>
          <w:szCs w:val="20"/>
          <w:color w:val="auto"/>
        </w:rPr>
        <w:t>are granted solely to secure obligations arising under such lease that are owing by the Borrower or such Subsidiary to the landlord under such lease (and do not, in any event, secure any Indebtedness);</w:t>
      </w:r>
    </w:p>
    <w:p>
      <w:pPr>
        <w:spacing w:after="0" w:line="191"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1"/>
          <w:numId w:val="300"/>
        </w:numPr>
        <w:rPr>
          <w:rFonts w:ascii="Arial" w:cs="Arial" w:eastAsia="Arial" w:hAnsi="Arial"/>
          <w:sz w:val="20"/>
          <w:szCs w:val="20"/>
          <w:color w:val="auto"/>
        </w:rPr>
      </w:pPr>
      <w:r>
        <w:rPr>
          <w:rFonts w:ascii="Arial" w:cs="Arial" w:eastAsia="Arial" w:hAnsi="Arial"/>
          <w:sz w:val="20"/>
          <w:szCs w:val="20"/>
          <w:color w:val="auto"/>
        </w:rPr>
        <w:t xml:space="preserve">Liens securing (i) the financing of insurance premiums or other financial assurances associated with workers compensation insurance coverage, and (ii) the financing of insurance premiums or other financial assurances associated with other insurance coverage or other financial assurance requirements obtained in the normal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aggregate amount of obligations secured by such Liens, when taken together with the aggregate amount of Indebtedness incurred in reliance on </w:t>
      </w:r>
      <w:r>
        <w:rPr>
          <w:rFonts w:ascii="Arial" w:cs="Arial" w:eastAsia="Arial" w:hAnsi="Arial"/>
          <w:sz w:val="20"/>
          <w:szCs w:val="20"/>
          <w:u w:val="single" w:color="auto"/>
          <w:color w:val="auto"/>
        </w:rPr>
        <w:t>Section 7.02(n)</w:t>
      </w:r>
      <w:r>
        <w:rPr>
          <w:rFonts w:ascii="Arial" w:cs="Arial" w:eastAsia="Arial" w:hAnsi="Arial"/>
          <w:sz w:val="20"/>
          <w:szCs w:val="20"/>
          <w:color w:val="auto"/>
        </w:rPr>
        <w:t>, shall not exceed $20,000,000 at any time outstanding;</w:t>
      </w:r>
    </w:p>
    <w:p>
      <w:pPr>
        <w:spacing w:after="0" w:line="195"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1"/>
          <w:numId w:val="300"/>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pursuant to </w:t>
      </w:r>
      <w:r>
        <w:rPr>
          <w:rFonts w:ascii="Arial" w:cs="Arial" w:eastAsia="Arial" w:hAnsi="Arial"/>
          <w:sz w:val="20"/>
          <w:szCs w:val="20"/>
          <w:u w:val="single" w:color="auto"/>
          <w:color w:val="auto"/>
        </w:rPr>
        <w:t>Section 7.02(d)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such Lien is not created in contemplation of or in connection with such acquisition, (ii) such Lien shall not apply to any other property of the Borrower or any Subsidiary, and (iii) such Lien shall secure only those obligations it secures on the date of acquisition;</w:t>
      </w:r>
    </w:p>
    <w:p>
      <w:pPr>
        <w:spacing w:after="0" w:line="191" w:lineRule="exact"/>
        <w:rPr>
          <w:rFonts w:ascii="Arial" w:cs="Arial" w:eastAsia="Arial" w:hAnsi="Arial"/>
          <w:sz w:val="20"/>
          <w:szCs w:val="20"/>
          <w:color w:val="auto"/>
        </w:rPr>
      </w:pPr>
    </w:p>
    <w:p>
      <w:pPr>
        <w:ind w:left="200" w:firstLine="644"/>
        <w:spacing w:after="0" w:line="316" w:lineRule="auto"/>
        <w:tabs>
          <w:tab w:leader="none" w:pos="149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such Lien shall not extend to any Collateral or the Equity Interests of the Borrower or any other Loan Party;</w:t>
      </w:r>
    </w:p>
    <w:p>
      <w:pPr>
        <w:spacing w:after="0" w:line="129" w:lineRule="exact"/>
        <w:rPr>
          <w:rFonts w:ascii="Arial" w:cs="Arial" w:eastAsia="Arial" w:hAnsi="Arial"/>
          <w:sz w:val="18"/>
          <w:szCs w:val="18"/>
          <w:color w:val="auto"/>
        </w:rPr>
      </w:pPr>
    </w:p>
    <w:p>
      <w:pPr>
        <w:jc w:val="both"/>
        <w:ind w:left="200" w:firstLine="644"/>
        <w:spacing w:after="0" w:line="269" w:lineRule="auto"/>
        <w:tabs>
          <w:tab w:leader="none" w:pos="1496" w:val="left"/>
        </w:tabs>
        <w:numPr>
          <w:ilvl w:val="1"/>
          <w:numId w:val="300"/>
        </w:numPr>
        <w:rPr>
          <w:rFonts w:ascii="Arial" w:cs="Arial" w:eastAsia="Arial" w:hAnsi="Arial"/>
          <w:sz w:val="19"/>
          <w:szCs w:val="19"/>
          <w:color w:val="auto"/>
        </w:rPr>
      </w:pPr>
      <w:r>
        <w:rPr>
          <w:rFonts w:ascii="Arial" w:cs="Arial" w:eastAsia="Arial" w:hAnsi="Arial"/>
          <w:sz w:val="19"/>
          <w:szCs w:val="19"/>
          <w:color w:val="auto"/>
        </w:rPr>
        <w:t>Liens in favor of a trustee under customary indenture documentation on cash deposited with such trustee in connection with the repayment of Indebtedness issued pursuant to such indenture, to the extent the repayment of such Indebtedness would have been permitted on the date of creation of such Liens;</w:t>
      </w:r>
    </w:p>
    <w:p>
      <w:pPr>
        <w:spacing w:after="0" w:line="169"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1"/>
          <w:numId w:val="300"/>
        </w:numPr>
        <w:rPr>
          <w:rFonts w:ascii="Arial" w:cs="Arial" w:eastAsia="Arial" w:hAnsi="Arial"/>
          <w:sz w:val="20"/>
          <w:szCs w:val="20"/>
          <w:color w:val="auto"/>
        </w:rPr>
      </w:pPr>
      <w:r>
        <w:rPr>
          <w:rFonts w:ascii="Arial" w:cs="Arial" w:eastAsia="Arial" w:hAnsi="Arial"/>
          <w:sz w:val="20"/>
          <w:szCs w:val="20"/>
          <w:color w:val="auto"/>
        </w:rPr>
        <w:t>licenses (including non-exclusive licenses of Intellectual Property otherwise permitted pursuant to this Agreement) or sublicenses granted to third parties in the ordinary course of business and not interfering in any material respect with the business of the Borrower or any of its Subsidiaries;</w:t>
      </w:r>
    </w:p>
    <w:p>
      <w:pPr>
        <w:spacing w:after="0" w:line="185" w:lineRule="exact"/>
        <w:rPr>
          <w:rFonts w:ascii="Arial" w:cs="Arial" w:eastAsia="Arial" w:hAnsi="Arial"/>
          <w:sz w:val="20"/>
          <w:szCs w:val="20"/>
          <w:color w:val="auto"/>
        </w:rPr>
      </w:pPr>
    </w:p>
    <w:p>
      <w:pPr>
        <w:ind w:left="200" w:right="20" w:firstLine="644"/>
        <w:spacing w:after="0" w:line="260" w:lineRule="auto"/>
        <w:tabs>
          <w:tab w:leader="none" w:pos="1496" w:val="left"/>
        </w:tabs>
        <w:numPr>
          <w:ilvl w:val="1"/>
          <w:numId w:val="300"/>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which secure payment of customs duties in connection with the importation of goods;</w:t>
      </w:r>
    </w:p>
    <w:p>
      <w:pPr>
        <w:spacing w:after="0" w:line="176" w:lineRule="exact"/>
        <w:rPr>
          <w:rFonts w:ascii="Arial" w:cs="Arial" w:eastAsia="Arial" w:hAnsi="Arial"/>
          <w:sz w:val="20"/>
          <w:szCs w:val="20"/>
          <w:color w:val="auto"/>
        </w:rPr>
      </w:pPr>
    </w:p>
    <w:p>
      <w:pPr>
        <w:jc w:val="both"/>
        <w:ind w:left="200" w:firstLine="644"/>
        <w:spacing w:after="0" w:line="269" w:lineRule="auto"/>
        <w:tabs>
          <w:tab w:leader="none" w:pos="1496" w:val="left"/>
        </w:tabs>
        <w:numPr>
          <w:ilvl w:val="1"/>
          <w:numId w:val="300"/>
        </w:numPr>
        <w:rPr>
          <w:rFonts w:ascii="Arial" w:cs="Arial" w:eastAsia="Arial" w:hAnsi="Arial"/>
          <w:sz w:val="19"/>
          <w:szCs w:val="19"/>
          <w:color w:val="auto"/>
        </w:rPr>
      </w:pPr>
      <w:r>
        <w:rPr>
          <w:rFonts w:ascii="Arial" w:cs="Arial" w:eastAsia="Arial" w:hAnsi="Arial"/>
          <w:sz w:val="19"/>
          <w:szCs w:val="19"/>
          <w:color w:val="auto"/>
        </w:rPr>
        <w:t>any interest of title of a lessor under, and Liens arising from UCC financing statements (or equivalent filings, registrations or agreements in foreign jurisdictions) relating to, any lease permitted pursuant to this Agreement and entered into by the Borrower or any Subsidiary in the ordinary course of business;</w:t>
      </w:r>
    </w:p>
    <w:p>
      <w:pPr>
        <w:spacing w:after="0" w:line="169" w:lineRule="exact"/>
        <w:rPr>
          <w:rFonts w:ascii="Arial" w:cs="Arial" w:eastAsia="Arial" w:hAnsi="Arial"/>
          <w:sz w:val="19"/>
          <w:szCs w:val="19"/>
          <w:color w:val="auto"/>
        </w:rPr>
      </w:pPr>
    </w:p>
    <w:p>
      <w:pPr>
        <w:ind w:left="200" w:firstLine="644"/>
        <w:spacing w:after="0" w:line="316" w:lineRule="auto"/>
        <w:tabs>
          <w:tab w:leader="none" w:pos="149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(or equivalent filings, registrations or agreements in foreign jurisdictions), but only to the extent such filing do not evidence Liens securing Indebtedness;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06" w:name="page307"/>
    <w:bookmarkEnd w:id="306"/>
    <w:p>
      <w:pPr>
        <w:jc w:val="both"/>
        <w:ind w:left="660" w:right="20" w:firstLine="644"/>
        <w:spacing w:after="0" w:line="269" w:lineRule="auto"/>
        <w:tabs>
          <w:tab w:leader="none" w:pos="195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Liens (i) attaching solely to cash earnest money deposits in connection with any letter of intent or purchase agreement entered into in connection with any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(ii) constituting an agreement to Dispose of any property in a Disposition permitted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60" w:firstLine="644"/>
        <w:spacing w:after="0" w:line="287" w:lineRule="auto"/>
        <w:tabs>
          <w:tab w:leader="none" w:pos="195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bailment or similar arrangements for the purchase, sale or shipment of goods entered into in the ordinary course of business;</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pursuant to </w:t>
      </w:r>
      <w:r>
        <w:rPr>
          <w:rFonts w:ascii="Arial" w:cs="Arial" w:eastAsia="Arial" w:hAnsi="Arial"/>
          <w:sz w:val="20"/>
          <w:szCs w:val="20"/>
          <w:u w:val="single" w:color="auto"/>
          <w:color w:val="auto"/>
        </w:rPr>
        <w:t>Section 7.02(p)</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other Liens not permitted by the foregoing clauses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securing Indebtedness or other obligations permitted pursuant to this Agreement in an aggregate principal amount at any one time outstanding not to exceed the greater of (i) $15,000,000, and (ii) an amount equal to one and one-half percent (1.5%) of Consolidated Total Assets (to be determined by reference to the balance sheet of the Borrower most recently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for any determination occurring prior to the first delivery of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to be determined by reference to the Pro Forma Financial Statements)).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create, incur, assume or suffer to exist any Indebtedness, except:</w:t>
      </w:r>
    </w:p>
    <w:p>
      <w:pPr>
        <w:spacing w:after="0" w:line="216" w:lineRule="exact"/>
        <w:rPr>
          <w:sz w:val="20"/>
          <w:szCs w:val="20"/>
          <w:color w:val="auto"/>
        </w:rPr>
      </w:pPr>
    </w:p>
    <w:p>
      <w:pPr>
        <w:ind w:left="1960" w:hanging="656"/>
        <w:spacing w:after="0"/>
        <w:tabs>
          <w:tab w:leader="none" w:pos="19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21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Indebtedness outstanding on the Closing Date and listed on </w:t>
      </w:r>
      <w:r>
        <w:rPr>
          <w:rFonts w:ascii="Arial" w:cs="Arial" w:eastAsia="Arial" w:hAnsi="Arial"/>
          <w:sz w:val="20"/>
          <w:szCs w:val="20"/>
          <w:u w:val="single" w:color="auto"/>
          <w:color w:val="auto"/>
        </w:rPr>
        <w:t>Schedule 7.02</w:t>
      </w:r>
      <w:r>
        <w:rPr>
          <w:rFonts w:ascii="Arial" w:cs="Arial" w:eastAsia="Arial" w:hAnsi="Arial"/>
          <w:sz w:val="20"/>
          <w:szCs w:val="20"/>
          <w:color w:val="auto"/>
        </w:rPr>
        <w:t xml:space="preserve"> (and any Permitted Refinancing thereof);</w:t>
      </w:r>
    </w:p>
    <w:p>
      <w:pPr>
        <w:spacing w:after="0" w:line="176"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Indebtedness in respect of Capitalized Leases, Synthetic Lease Obligations and purchase money obligations incurred to finance the purchase of fixed assets or to provide all or a portion of the purchase price or cost of construction for an asset, and renewals, replacements, refinancings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 the aggregate principal amount of all such Indebtedness shall not exceed $75,000,000 at any one time outstanding, (ii) such Indebtedness when incurred shall not exceed the purchase price of the asset(s) financed or cost of construction of the asset, and (iii) no such Indebtedness shall be refinanced, renewed, replaced, restructured or extended for a principal amount in excess of the principal balance outstanding thereon at the time of such renewal, replacement, refinancing, restructuring or extension;</w:t>
      </w:r>
    </w:p>
    <w:p>
      <w:pPr>
        <w:spacing w:after="0" w:line="180" w:lineRule="exact"/>
        <w:rPr>
          <w:rFonts w:ascii="Arial" w:cs="Arial" w:eastAsia="Arial" w:hAnsi="Arial"/>
          <w:sz w:val="19"/>
          <w:szCs w:val="19"/>
          <w:color w:val="auto"/>
        </w:rPr>
      </w:pPr>
    </w:p>
    <w:p>
      <w:pPr>
        <w:jc w:val="both"/>
        <w:ind w:left="660" w:firstLine="644"/>
        <w:spacing w:after="0" w:line="256" w:lineRule="auto"/>
        <w:tabs>
          <w:tab w:leader="none" w:pos="195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Indebtedness of any Person acquired after the Closing Date in a Permitted Acquisition or other Acquisition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in each case to the extent such Indebtedness was existing at the time of such Permitted Acquisition or such other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such Indebtedness shall not have been incurred in contemplation of such Permitted Acquisition or such other Acquisition, and (ii) the aggregate principal amount of all such Indebtedness outstanding at any one time shall not exceed an amount equal to the greater of (A) $30,000,000, and (B) an amount equal to three percent (3%)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7" w:name="page308"/>
    <w:bookmarkEnd w:id="307"/>
    <w:p>
      <w:pPr>
        <w:ind w:left="200" w:firstLine="644"/>
        <w:spacing w:after="0" w:line="260"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Indebtedness consisting of Earn Out Obligations incurred in connection with Permitted Acquisitions or other Acquisition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Indebtedness of any Subsidiary that is a not a Loan Party in an aggregate principal amount at any one time outstanding not to exceed the greater of (i) $30,000,000, and (ii) an amount equal to three percent (3%) of Consolidated Total Assets (to be determined by reference to the balance sheet of the Borrower most recently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for any determination occurring prior to the first delivery of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to be determined by reference to the Pro Forma Financial Statements));</w:t>
      </w:r>
    </w:p>
    <w:p>
      <w:pPr>
        <w:spacing w:after="0" w:line="195"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intercompany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in the case of Indebtedness owing by a Loan Party to any Subsidiary that is not a Loan Party, (i) such Indebtedness shall be subordinated to the Secured Obligations in a manner and to the extent acceptable to the Administrative Agent, (ii) such Indebtedness shall not be prepaid unless no Default exists immediately prior to and after giving effect to such prepayment, and (iii) except as otherwise permitted pursuant to </w:t>
      </w:r>
      <w:r>
        <w:rPr>
          <w:rFonts w:ascii="Arial" w:cs="Arial" w:eastAsia="Arial" w:hAnsi="Arial"/>
          <w:sz w:val="20"/>
          <w:szCs w:val="20"/>
          <w:u w:val="single" w:color="auto"/>
          <w:color w:val="auto"/>
        </w:rPr>
        <w:t>Section 7.14(a)(iii)</w:t>
      </w:r>
      <w:r>
        <w:rPr>
          <w:rFonts w:ascii="Arial" w:cs="Arial" w:eastAsia="Arial" w:hAnsi="Arial"/>
          <w:sz w:val="20"/>
          <w:szCs w:val="20"/>
          <w:color w:val="auto"/>
        </w:rPr>
        <w:t>, such Indebtedness shall not be repaid in cash or Cash Equivalents and shall not be renewed, extended, refinanced or replaced;</w:t>
      </w:r>
    </w:p>
    <w:p>
      <w:pPr>
        <w:spacing w:after="0" w:line="192"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4" w:lineRule="exact"/>
        <w:rPr>
          <w:rFonts w:ascii="Arial" w:cs="Arial" w:eastAsia="Arial" w:hAnsi="Arial"/>
          <w:sz w:val="18"/>
          <w:szCs w:val="18"/>
          <w:color w:val="auto"/>
        </w:rPr>
      </w:pPr>
    </w:p>
    <w:p>
      <w:pPr>
        <w:ind w:left="1500" w:hanging="656"/>
        <w:spacing w:after="0"/>
        <w:tabs>
          <w:tab w:leader="none" w:pos="15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under Secured Cash Management Agreements;</w:t>
      </w:r>
    </w:p>
    <w:p>
      <w:pPr>
        <w:spacing w:after="0" w:line="215" w:lineRule="exact"/>
        <w:rPr>
          <w:rFonts w:ascii="Arial" w:cs="Arial" w:eastAsia="Arial" w:hAnsi="Arial"/>
          <w:sz w:val="20"/>
          <w:szCs w:val="20"/>
          <w:color w:val="auto"/>
        </w:rPr>
      </w:pPr>
    </w:p>
    <w:p>
      <w:pPr>
        <w:ind w:left="1500" w:hanging="656"/>
        <w:spacing w:after="0"/>
        <w:tabs>
          <w:tab w:leader="none" w:pos="15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Permitted Unsecured Debt (and any Permitted Refinancing thereof);</w:t>
      </w:r>
    </w:p>
    <w:p>
      <w:pPr>
        <w:spacing w:after="0" w:line="21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 Guarantees with respect to Indebtedness of any Loan Party otherwise permitted pursuant to this </w:t>
      </w:r>
      <w:r>
        <w:rPr>
          <w:rFonts w:ascii="Arial" w:cs="Arial" w:eastAsia="Arial" w:hAnsi="Arial"/>
          <w:sz w:val="20"/>
          <w:szCs w:val="20"/>
          <w:u w:val="single" w:color="auto"/>
          <w:color w:val="auto"/>
        </w:rPr>
        <w:t>Section 7.02</w:t>
      </w:r>
      <w:r>
        <w:rPr>
          <w:rFonts w:ascii="Arial" w:cs="Arial" w:eastAsia="Arial" w:hAnsi="Arial"/>
          <w:sz w:val="20"/>
          <w:szCs w:val="20"/>
          <w:color w:val="auto"/>
        </w:rPr>
        <w:t>, and (ii) Guarantees consisting of a guarantee of any obligation (other than Indebtedness) performable by a Subsidiary;</w:t>
      </w:r>
    </w:p>
    <w:p>
      <w:pPr>
        <w:spacing w:after="0" w:line="18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in respect of workers’ compensation claims, self-insurance obligations, performance bonds, surety, appeal or similar bonds and completion guarantees provided by the Borrower and its Subsidiaries in the ordinary course of business;</w:t>
      </w:r>
    </w:p>
    <w:p>
      <w:pPr>
        <w:spacing w:after="0" w:line="185" w:lineRule="exact"/>
        <w:rPr>
          <w:rFonts w:ascii="Arial" w:cs="Arial" w:eastAsia="Arial" w:hAnsi="Arial"/>
          <w:sz w:val="20"/>
          <w:szCs w:val="20"/>
          <w:color w:val="auto"/>
        </w:rPr>
      </w:pPr>
    </w:p>
    <w:p>
      <w:pPr>
        <w:ind w:left="200" w:right="20" w:firstLine="644"/>
        <w:spacing w:after="0" w:line="260"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accrued or deferred expenses (including salaries, accrued vacation and other compensation) arising in the ordinary course of business;</w:t>
      </w:r>
    </w:p>
    <w:p>
      <w:pPr>
        <w:spacing w:after="0" w:line="176" w:lineRule="exact"/>
        <w:rPr>
          <w:rFonts w:ascii="Arial" w:cs="Arial" w:eastAsia="Arial" w:hAnsi="Arial"/>
          <w:sz w:val="20"/>
          <w:szCs w:val="20"/>
          <w:color w:val="auto"/>
        </w:rPr>
      </w:pPr>
    </w:p>
    <w:p>
      <w:pPr>
        <w:jc w:val="both"/>
        <w:ind w:left="200" w:firstLine="644"/>
        <w:spacing w:after="0" w:line="263" w:lineRule="auto"/>
        <w:tabs>
          <w:tab w:leader="none" w:pos="149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Indebtedness in respect of premium financing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the aggregate principal amount of such Indebtedness shall not exceed the annual premium amount, and (ii) the aggregate principal amount of such Indebtedness, when taken together with the aggregate amount of obligations secured in reliance on </w:t>
      </w:r>
      <w:r>
        <w:rPr>
          <w:rFonts w:ascii="Arial" w:cs="Arial" w:eastAsia="Arial" w:hAnsi="Arial"/>
          <w:sz w:val="19"/>
          <w:szCs w:val="19"/>
          <w:u w:val="single" w:color="auto"/>
          <w:color w:val="auto"/>
        </w:rPr>
        <w:t>Section 7.01(m)</w:t>
      </w:r>
      <w:r>
        <w:rPr>
          <w:rFonts w:ascii="Arial" w:cs="Arial" w:eastAsia="Arial" w:hAnsi="Arial"/>
          <w:sz w:val="19"/>
          <w:szCs w:val="19"/>
          <w:color w:val="auto"/>
        </w:rPr>
        <w:t>, shall not exceed $20,000,000 at any one time outstanding;</w:t>
      </w:r>
    </w:p>
    <w:p>
      <w:pPr>
        <w:spacing w:after="0" w:line="176"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consisting of unsecured Guarantees by the Borrower or any of its Subsidiaries of purchase orders of any Subsidiary in an aggregate principal amount at any one time outstanding not to exceed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08" w:name="page309"/>
    <w:bookmarkEnd w:id="308"/>
    <w:p>
      <w:pPr>
        <w:ind w:left="660" w:right="20" w:firstLine="644"/>
        <w:spacing w:after="0" w:line="316" w:lineRule="auto"/>
        <w:tabs>
          <w:tab w:leader="none" w:pos="19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arising in connection with Cash Management Agreements in an aggregate principal amount at any one time outstanding not to exceed $5,000,000;</w:t>
      </w:r>
    </w:p>
    <w:p>
      <w:pPr>
        <w:spacing w:after="0" w:line="129"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Indebtedness consisting of obligations owing under any dealer, customer or supplier incentive, supply, license or similar agreements entered into in the ordinary course of business;</w:t>
      </w:r>
    </w:p>
    <w:p>
      <w:pPr>
        <w:spacing w:after="0" w:line="176" w:lineRule="exact"/>
        <w:rPr>
          <w:rFonts w:ascii="Arial" w:cs="Arial" w:eastAsia="Arial" w:hAnsi="Arial"/>
          <w:sz w:val="20"/>
          <w:szCs w:val="20"/>
          <w:color w:val="auto"/>
        </w:rPr>
      </w:pPr>
    </w:p>
    <w:p>
      <w:pPr>
        <w:jc w:val="both"/>
        <w:ind w:left="660" w:firstLine="644"/>
        <w:spacing w:after="0" w:line="385" w:lineRule="auto"/>
        <w:tabs>
          <w:tab w:leader="none" w:pos="195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to the extent constituting Indebtedness, customer deposits and advance payments received in the ordinary course of business from customers for goods and services purchased in the ordinary course of business; and</w:t>
      </w:r>
    </w:p>
    <w:p>
      <w:pPr>
        <w:spacing w:after="0" w:line="84" w:lineRule="exact"/>
        <w:rPr>
          <w:rFonts w:ascii="Arial" w:cs="Arial" w:eastAsia="Arial" w:hAnsi="Arial"/>
          <w:sz w:val="16"/>
          <w:szCs w:val="16"/>
          <w:color w:val="auto"/>
        </w:rPr>
      </w:pPr>
    </w:p>
    <w:p>
      <w:pPr>
        <w:jc w:val="both"/>
        <w:ind w:left="660" w:firstLine="644"/>
        <w:spacing w:after="0" w:line="259" w:lineRule="auto"/>
        <w:tabs>
          <w:tab w:leader="none" w:pos="1956" w:val="left"/>
        </w:tabs>
        <w:numPr>
          <w:ilvl w:val="0"/>
          <w:numId w:val="304"/>
        </w:numPr>
        <w:rPr>
          <w:rFonts w:ascii="Arial" w:cs="Arial" w:eastAsia="Arial" w:hAnsi="Arial"/>
          <w:sz w:val="19"/>
          <w:szCs w:val="19"/>
          <w:color w:val="auto"/>
        </w:rPr>
      </w:pPr>
      <w:r>
        <w:rPr>
          <w:rFonts w:ascii="Arial" w:cs="Arial" w:eastAsia="Arial" w:hAnsi="Arial"/>
          <w:sz w:val="19"/>
          <w:szCs w:val="19"/>
          <w:color w:val="auto"/>
        </w:rPr>
        <w:t xml:space="preserve">Indebtedness not permitted by any of the foregoing clauses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in an aggregate principal amount at any one time outstanding not to exceed the greater of (i) $15,000,000, and (ii) an amount equal to one and one-half percent (1.5%)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make or hold any Investments, except:</w:t>
      </w:r>
    </w:p>
    <w:p>
      <w:pPr>
        <w:spacing w:after="0" w:line="216" w:lineRule="exact"/>
        <w:rPr>
          <w:sz w:val="20"/>
          <w:szCs w:val="20"/>
          <w:color w:val="auto"/>
        </w:rPr>
      </w:pPr>
    </w:p>
    <w:p>
      <w:pPr>
        <w:ind w:left="1960" w:hanging="656"/>
        <w:spacing w:after="0"/>
        <w:tabs>
          <w:tab w:leader="none" w:pos="19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Investments in the form of cash and Cash Equivalents;</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Investments existing as of the Closing Date and set forth on </w:t>
      </w:r>
      <w:r>
        <w:rPr>
          <w:rFonts w:ascii="Arial" w:cs="Arial" w:eastAsia="Arial" w:hAnsi="Arial"/>
          <w:sz w:val="20"/>
          <w:szCs w:val="20"/>
          <w:u w:val="single" w:color="auto"/>
          <w:color w:val="auto"/>
        </w:rPr>
        <w:t>Schedule 7.03</w:t>
      </w:r>
      <w:r>
        <w:rPr>
          <w:rFonts w:ascii="Arial" w:cs="Arial" w:eastAsia="Arial" w:hAnsi="Arial"/>
          <w:sz w:val="20"/>
          <w:szCs w:val="20"/>
          <w:color w:val="auto"/>
        </w:rPr>
        <w:t>, as such Investments may be adjusted due to appreciation, repayment of principal, payment of interest, return of capital or similar circumstances;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or simultaneously with, giving effect to such</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Investment;</w:t>
      </w:r>
    </w:p>
    <w:p>
      <w:pPr>
        <w:spacing w:after="0" w:line="199" w:lineRule="exact"/>
        <w:rPr>
          <w:rFonts w:ascii="Arial" w:cs="Arial" w:eastAsia="Arial" w:hAnsi="Arial"/>
          <w:sz w:val="18"/>
          <w:szCs w:val="18"/>
          <w:color w:val="auto"/>
        </w:rPr>
      </w:pPr>
    </w:p>
    <w:p>
      <w:pPr>
        <w:ind w:left="1960" w:hanging="656"/>
        <w:spacing w:after="0"/>
        <w:tabs>
          <w:tab w:leader="none" w:pos="1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Party;</w:t>
      </w:r>
    </w:p>
    <w:p>
      <w:pPr>
        <w:spacing w:after="0" w:line="199"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305"/>
        </w:numPr>
        <w:rPr>
          <w:rFonts w:ascii="Arial" w:cs="Arial" w:eastAsia="Arial" w:hAnsi="Arial"/>
          <w:sz w:val="20"/>
          <w:szCs w:val="20"/>
          <w:color w:val="auto"/>
        </w:rPr>
      </w:pPr>
      <w:r>
        <w:rPr>
          <w:rFonts w:ascii="Arial" w:cs="Arial" w:eastAsia="Arial" w:hAnsi="Arial"/>
          <w:sz w:val="20"/>
          <w:szCs w:val="20"/>
          <w:color w:val="auto"/>
        </w:rPr>
        <w:t>(i) receivables owing to any Loan Party or any Subsidiary, or (ii) any receivables and advances to suppliers; in each case, if created, acquired or made in the ordinary course of business and payable or dischargeable in accordance with customary trade terms;</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95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(i) loans and advances to officers, directors and employees of the Borrower or any Subsidiary for relocation, travel, entertainment and related expenses, and (ii) loans and advances to employees of the Borrower or any Subsidiary made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 such loans and advances shall comply with all applicable requirements of Law, and (B) the aggregate principal amount of all such loans and advances shall not exceed $3,000,000 at any one time outstanding;</w:t>
      </w:r>
    </w:p>
    <w:p>
      <w:pPr>
        <w:spacing w:after="0" w:line="164"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305"/>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suppliers and customers of the Borrower or any Subsidiary and in the settlement of delinquent obligations of, and other disputes with, customers and suppliers of the Borrower or any Subsidiary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09" w:name="page310"/>
    <w:bookmarkEnd w:id="309"/>
    <w:p>
      <w:pPr>
        <w:ind w:left="1960" w:hanging="656"/>
        <w:spacing w:after="0"/>
        <w:tabs>
          <w:tab w:leader="none" w:pos="1960" w:val="left"/>
        </w:tabs>
        <w:numPr>
          <w:ilvl w:val="1"/>
          <w:numId w:val="306"/>
        </w:numPr>
        <w:rPr>
          <w:rFonts w:ascii="Arial" w:cs="Arial" w:eastAsia="Arial" w:hAnsi="Arial"/>
          <w:sz w:val="20"/>
          <w:szCs w:val="20"/>
          <w:color w:val="auto"/>
        </w:rPr>
      </w:pPr>
      <w:r>
        <w:rPr>
          <w:rFonts w:ascii="Arial" w:cs="Arial" w:eastAsia="Arial" w:hAnsi="Arial"/>
          <w:sz w:val="20"/>
          <w:szCs w:val="20"/>
          <w:color w:val="auto"/>
        </w:rPr>
        <w:t xml:space="preserve">Swap Contracts permitted by </w:t>
      </w:r>
      <w:r>
        <w:rPr>
          <w:rFonts w:ascii="Arial" w:cs="Arial" w:eastAsia="Arial" w:hAnsi="Arial"/>
          <w:sz w:val="20"/>
          <w:szCs w:val="20"/>
          <w:u w:val="single" w:color="auto"/>
          <w:color w:val="auto"/>
        </w:rPr>
        <w:t>Section 7.02(h)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306"/>
        </w:numPr>
        <w:rPr>
          <w:rFonts w:ascii="Arial" w:cs="Arial" w:eastAsia="Arial" w:hAnsi="Arial"/>
          <w:sz w:val="20"/>
          <w:szCs w:val="20"/>
          <w:color w:val="auto"/>
        </w:rPr>
      </w:pPr>
      <w:r>
        <w:rPr>
          <w:rFonts w:ascii="Arial" w:cs="Arial" w:eastAsia="Arial" w:hAnsi="Arial"/>
          <w:sz w:val="20"/>
          <w:szCs w:val="20"/>
          <w:color w:val="auto"/>
        </w:rPr>
        <w:t>(i) Permitted Acquisitions; (ii) so long as such Acquisition is consummated on or prior to the date that is one hundred eighty (180) days after the Closing Date, the Telerob Acquisition; and (iii) so long as such Acquisition is consummated on or prior to the date that is one hundred eighty (180) days after the Closing Date, the Prism Acquisition;</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by reference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clause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199"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1"/>
          <w:numId w:val="306"/>
        </w:numPr>
        <w:rPr>
          <w:rFonts w:ascii="Arial" w:cs="Arial" w:eastAsia="Arial" w:hAnsi="Arial"/>
          <w:sz w:val="19"/>
          <w:szCs w:val="19"/>
          <w:color w:val="auto"/>
        </w:rPr>
      </w:pPr>
      <w:r>
        <w:rPr>
          <w:rFonts w:ascii="Arial" w:cs="Arial" w:eastAsia="Arial" w:hAnsi="Arial"/>
          <w:sz w:val="19"/>
          <w:szCs w:val="19"/>
          <w:color w:val="auto"/>
        </w:rPr>
        <w:t xml:space="preserve">Investments in joint ventures or minority Equity Interests (other than any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aggregate amount of all such Investments shall not exceed the greater of (i) $30,000,000, and (ii) an amount equal to three percent (3%)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178" w:lineRule="exact"/>
        <w:rPr>
          <w:rFonts w:ascii="Arial" w:cs="Arial" w:eastAsia="Arial" w:hAnsi="Arial"/>
          <w:sz w:val="19"/>
          <w:szCs w:val="19"/>
          <w:color w:val="auto"/>
        </w:rPr>
      </w:pPr>
    </w:p>
    <w:p>
      <w:pPr>
        <w:jc w:val="both"/>
        <w:ind w:left="660" w:firstLine="644"/>
        <w:spacing w:after="0" w:line="342" w:lineRule="auto"/>
        <w:tabs>
          <w:tab w:leader="none" w:pos="195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Investments consisting of Permitted Liens, Indebtedness to the extent permitted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fundamental changes to the extent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Restricted Payments to the extent permitted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(in each case, other than by reference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any clause hereof));</w:t>
      </w:r>
    </w:p>
    <w:p>
      <w:pPr>
        <w:spacing w:after="0" w:line="117" w:lineRule="exact"/>
        <w:rPr>
          <w:rFonts w:ascii="Arial" w:cs="Arial" w:eastAsia="Arial" w:hAnsi="Arial"/>
          <w:sz w:val="16"/>
          <w:szCs w:val="16"/>
          <w:color w:val="auto"/>
        </w:rPr>
      </w:pPr>
    </w:p>
    <w:p>
      <w:pPr>
        <w:jc w:val="both"/>
        <w:ind w:left="660" w:firstLine="644"/>
        <w:spacing w:after="0" w:line="273" w:lineRule="auto"/>
        <w:tabs>
          <w:tab w:leader="none" w:pos="195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additional Investments (other than any Acquisition), including, for the avoidance of doubt, Investments in joint ventures or minority Equity Interests (other than any Acquisition), in an aggregate amount for all such Investments not to exceed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upon giving Pro Forma Effect to any such Investment, the Loan Parties will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 the Borrower shall deliver to the Administrative Agent a Pro Forma Compliance Certificate demonstrating compliance with such condition), and (ii) no Default shall exist or would result from giving effect to any such Investment; and</w:t>
      </w:r>
    </w:p>
    <w:p>
      <w:pPr>
        <w:spacing w:after="0" w:line="168" w:lineRule="exact"/>
        <w:rPr>
          <w:rFonts w:ascii="Arial" w:cs="Arial" w:eastAsia="Arial" w:hAnsi="Arial"/>
          <w:sz w:val="18"/>
          <w:szCs w:val="18"/>
          <w:color w:val="auto"/>
        </w:rPr>
      </w:pPr>
    </w:p>
    <w:p>
      <w:pPr>
        <w:jc w:val="both"/>
        <w:ind w:left="660" w:firstLine="644"/>
        <w:spacing w:after="0" w:line="272" w:lineRule="auto"/>
        <w:tabs>
          <w:tab w:leader="none" w:pos="195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other Investments (other than any Acquisition) not permitted by any of the foregoing clauses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(including, for the avoidance of doubt, Investments in joint ventures or minority Equity Interests (other than any Acquisition) not otherwise permitted by any of the foregoing clauses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jc w:val="both"/>
        <w:ind w:left="660" w:hanging="4"/>
        <w:spacing w:after="0" w:line="272" w:lineRule="auto"/>
        <w:tabs>
          <w:tab w:leader="none" w:pos="90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upon giving Pro Forma Effect to such Investment, (A) the Loan Parties will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(B) the Consolidated Leverage Ratio will be less than 2.75 to 1.0 (and, if requested by the Administrative Agent or any Lender, the Borrower shall deliver to the Administrative Agent a Pro Forma Compliance Certificate demonstrating compliance with such conditions), and (ii) no Default shall exist or would result from giving effect to any such Investment.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Directly or indirectly 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0" w:name="page311"/>
    <w:bookmarkEnd w:id="310"/>
    <w:p>
      <w:pPr>
        <w:jc w:val="both"/>
        <w:spacing w:after="0" w:line="255" w:lineRule="auto"/>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but subject to the terms of </w:t>
      </w:r>
      <w:r>
        <w:rPr>
          <w:rFonts w:ascii="Arial" w:cs="Arial" w:eastAsia="Arial" w:hAnsi="Arial"/>
          <w:sz w:val="19"/>
          <w:szCs w:val="19"/>
          <w:u w:val="single" w:color="auto"/>
          <w:color w:val="auto"/>
        </w:rPr>
        <w:t>Sections 6.12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(a) the Borrower may merge or consolidate with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Borrower shall be the continuing or surviving Person of such merger or consolidation; (b) any Loan Party (other than the Borrower) may merge or consolidate with any other Loan Party (other than the Borrower); (c) any Subsidiary that is not a Loan Party may merge or consolidate with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such Loan Party shall be the continuing or surviving Person of such merger or consolidation; (d) any Subsidiary that is not a Loan Party may merge or consolidate with any other Subsidiary that is not a Loan Party; (e) the Borrower and any Subsidiary may engage in a Disposition permitted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an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a Restricted Payment permitted pursuant to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(in each case other than by reference to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any clause hereof)); and (f) any Subsidiary that is not a Loan Party may be dissolved, liquidated or wound 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prior to or simultaneously with any such dissolution, liquidation or winding up, all assets of such Subsidiary shall be transferred to a Loan Party or, to the extent required by law or binding contract, a creditor or creditors thereof.</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8"/>
          <w:szCs w:val="18"/>
          <w:u w:val="single" w:color="auto"/>
          <w:color w:val="auto"/>
        </w:rPr>
        <w:t>Dispositions</w:t>
      </w:r>
      <w:r>
        <w:rPr>
          <w:rFonts w:ascii="Arial" w:cs="Arial" w:eastAsia="Arial" w:hAnsi="Arial"/>
          <w:sz w:val="18"/>
          <w:szCs w:val="18"/>
          <w:color w:val="auto"/>
        </w:rPr>
        <w: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Directly or indirectly make any Disposition or enter into any agreement to make any Disposition, except for:</w:t>
      </w:r>
    </w:p>
    <w:p>
      <w:pPr>
        <w:spacing w:after="0" w:line="216" w:lineRule="exact"/>
        <w:rPr>
          <w:sz w:val="20"/>
          <w:szCs w:val="20"/>
          <w:color w:val="auto"/>
        </w:rPr>
      </w:pPr>
    </w:p>
    <w:p>
      <w:pPr>
        <w:ind w:left="1960" w:hanging="656"/>
        <w:spacing w:after="0"/>
        <w:tabs>
          <w:tab w:leader="none" w:pos="196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any Permitted Transfer;</w:t>
      </w:r>
    </w:p>
    <w:p>
      <w:pPr>
        <w:spacing w:after="0" w:line="215"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the Disposition of non-core or non-strategic assets acquired in connection with a Permitted Acquisition or other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the Net Cash Proceeds of such Disposition are applied to prepay the Loans, if required,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(ii) no Event of Default has occurred and is continuing both immediately prior to and after giving effect to such Disposition, and (iii) in connection with any such Disposition, the fair market value of such non-core or non-strategic assets (determined as of the date of acquisition thereof by the applicable Loan Party or applicable Subsidiary, as the case may be) so Disposed shall not exceed an amount equal to twenty-five percent (25%) of the purchase price paid for all assets acquired in such Permitted Acquisition or such Investment;</w:t>
      </w:r>
    </w:p>
    <w:p>
      <w:pPr>
        <w:spacing w:after="0" w:line="180" w:lineRule="exact"/>
        <w:rPr>
          <w:rFonts w:ascii="Arial" w:cs="Arial" w:eastAsia="Arial" w:hAnsi="Arial"/>
          <w:sz w:val="19"/>
          <w:szCs w:val="19"/>
          <w:color w:val="auto"/>
        </w:rPr>
      </w:pPr>
    </w:p>
    <w:p>
      <w:pPr>
        <w:jc w:val="both"/>
        <w:ind w:left="660" w:right="20" w:firstLine="644"/>
        <w:spacing w:after="0" w:line="269" w:lineRule="auto"/>
        <w:tabs>
          <w:tab w:leader="none" w:pos="195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any Disposition of an Investment in a joint venture or a Non-Wholly Owned Subsidiary, in each case to the extent required by, or made pursuant to, buy/sell arrangements between joint venture or similar parties set forth in the relevant joint venture arrangements and/or similar binding arrangements; and</w:t>
      </w:r>
    </w:p>
    <w:p>
      <w:pPr>
        <w:spacing w:after="0" w:line="169" w:lineRule="exact"/>
        <w:rPr>
          <w:rFonts w:ascii="Arial" w:cs="Arial" w:eastAsia="Arial" w:hAnsi="Arial"/>
          <w:sz w:val="19"/>
          <w:szCs w:val="19"/>
          <w:color w:val="auto"/>
        </w:rPr>
      </w:pPr>
    </w:p>
    <w:p>
      <w:pPr>
        <w:jc w:val="both"/>
        <w:ind w:left="660" w:firstLine="644"/>
        <w:spacing w:after="0" w:line="270" w:lineRule="auto"/>
        <w:tabs>
          <w:tab w:leader="none" w:pos="195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any other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the consideration paid in cash or Cash Equivalents in connection with such Disposition shall constitute not less than seventy five percent (75%) of the aggregate consideration to be received in connection therewith, and the total consideration paid in connection therewith shall be paid contemporaneous with consummation of such Disposition and shall be in an amount not less than the fair market value of the assets disposed of; (ii) such Disposition does not involve the sale or other disposition of a minority Equity Interest in any Loan Party; (iii) no Default has occurred and is continuing both immediately prior to and after giving effect to such Disposition; (iv) such Disposition does not involve a sale or other disposition of receivables other than receivables owned by or attributable to other property concurrently being disposed of in a transaction otherwise permitted hereunder; (v) the Net Cash Proceeds of such Disposition are applied to prepay the Loans, if required,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(vi) upon giving Pro Forma Effect to such Disposition, the Loan Parties would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1" w:name="page312"/>
    <w:bookmarkEnd w:id="311"/>
    <w:p>
      <w:pPr>
        <w:jc w:val="both"/>
        <w:ind w:left="660"/>
        <w:spacing w:after="0" w:line="269" w:lineRule="auto"/>
        <w:rPr>
          <w:sz w:val="20"/>
          <w:szCs w:val="20"/>
          <w:color w:val="auto"/>
        </w:rPr>
      </w:pPr>
      <w:r>
        <w:rPr>
          <w:rFonts w:ascii="Arial" w:cs="Arial" w:eastAsia="Arial" w:hAnsi="Arial"/>
          <w:sz w:val="18"/>
          <w:szCs w:val="18"/>
          <w:color w:val="auto"/>
        </w:rPr>
        <w:t xml:space="preserve">the Borrower shall deliver to the Administrative Agent a Pro Forma Compliance Certificate demonstrating compliance with such condition); and (vii) the aggregate Net Cash Proceeds of such Disposition, when taken together with the Net Cash Proceeds received from all other Dispositions made in reliance on this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(to the extent not reinvested in Eligible Assets within twelve (12) months of the date of such Disposition) in any fiscal year of the Borrower, shall not exceed an amount equal to ten percent (10%) of Consolidated Total Assets (to be determined by reference to the balance sheet of the Borrower most recently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w:t>
      </w:r>
    </w:p>
    <w:p>
      <w:pPr>
        <w:spacing w:after="0" w:line="1" w:lineRule="exact"/>
        <w:rPr>
          <w:sz w:val="20"/>
          <w:szCs w:val="20"/>
          <w:color w:val="auto"/>
        </w:rPr>
      </w:pPr>
    </w:p>
    <w:p>
      <w:pPr>
        <w:ind w:left="660" w:hanging="4"/>
        <w:spacing w:after="0" w:line="269" w:lineRule="auto"/>
        <w:tabs>
          <w:tab w:leader="none" w:pos="946" w:val="left"/>
        </w:tabs>
        <w:numPr>
          <w:ilvl w:val="0"/>
          <w:numId w:val="309"/>
        </w:numPr>
        <w:rPr>
          <w:rFonts w:ascii="Arial" w:cs="Arial" w:eastAsia="Arial" w:hAnsi="Arial"/>
          <w:sz w:val="19"/>
          <w:szCs w:val="19"/>
          <w:u w:val="single" w:color="auto"/>
          <w:color w:val="auto"/>
        </w:rPr>
      </w:pPr>
      <w:r>
        <w:rPr>
          <w:rFonts w:ascii="Arial" w:cs="Arial" w:eastAsia="Arial" w:hAnsi="Arial"/>
          <w:sz w:val="19"/>
          <w:szCs w:val="19"/>
          <w:color w:val="auto"/>
        </w:rPr>
        <w:t xml:space="preserve">(or,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 in such fiscal year.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Declare or make, directly or indirectly, any Restricted Payment, or incur any obligation (contingent or otherwise) to do so, except:</w:t>
      </w:r>
    </w:p>
    <w:p>
      <w:pPr>
        <w:spacing w:after="0" w:line="177" w:lineRule="exact"/>
        <w:rPr>
          <w:sz w:val="20"/>
          <w:szCs w:val="20"/>
          <w:color w:val="auto"/>
        </w:rPr>
      </w:pPr>
    </w:p>
    <w:p>
      <w:pPr>
        <w:jc w:val="both"/>
        <w:ind w:left="660" w:firstLine="644"/>
        <w:spacing w:after="0" w:line="263" w:lineRule="auto"/>
        <w:tabs>
          <w:tab w:leader="none" w:pos="1956" w:val="left"/>
        </w:tabs>
        <w:numPr>
          <w:ilvl w:val="0"/>
          <w:numId w:val="310"/>
        </w:numPr>
        <w:rPr>
          <w:rFonts w:ascii="Arial" w:cs="Arial" w:eastAsia="Arial" w:hAnsi="Arial"/>
          <w:sz w:val="19"/>
          <w:szCs w:val="19"/>
          <w:color w:val="auto"/>
        </w:rPr>
      </w:pPr>
      <w:r>
        <w:rPr>
          <w:rFonts w:ascii="Arial" w:cs="Arial" w:eastAsia="Arial" w:hAnsi="Arial"/>
          <w:sz w:val="19"/>
          <w:szCs w:val="19"/>
          <w:color w:val="auto"/>
        </w:rPr>
        <w:t>each Subsidiary may declare and make Restricted Payments to the Borrower and to any Subsidiary that owns Equity Interests of such Subsidiary (and, in the case of a dividend or other distribution by a Non-Wholly Owned Subsidiary of the Borrower, to the Borrower or other Subsidiary and to each other owner of Equity Interests of such Non-Wholly Owned Subsidiary ratably based on their relative ownership interests);</w:t>
      </w:r>
    </w:p>
    <w:p>
      <w:pPr>
        <w:spacing w:after="0" w:line="176"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the Borrower and each Subsidiary may declare and make Restricted Payments payable solely in the Qualified Capital Stock of such Person;</w:t>
      </w:r>
    </w:p>
    <w:p>
      <w:pPr>
        <w:spacing w:after="0" w:line="176" w:lineRule="exact"/>
        <w:rPr>
          <w:rFonts w:ascii="Arial" w:cs="Arial" w:eastAsia="Arial" w:hAnsi="Arial"/>
          <w:sz w:val="20"/>
          <w:szCs w:val="20"/>
          <w:color w:val="auto"/>
        </w:rPr>
      </w:pPr>
    </w:p>
    <w:p>
      <w:pPr>
        <w:jc w:val="both"/>
        <w:ind w:left="660" w:right="20" w:firstLine="644"/>
        <w:spacing w:after="0" w:line="269" w:lineRule="auto"/>
        <w:tabs>
          <w:tab w:leader="none" w:pos="1956" w:val="left"/>
        </w:tabs>
        <w:numPr>
          <w:ilvl w:val="0"/>
          <w:numId w:val="310"/>
        </w:numPr>
        <w:rPr>
          <w:rFonts w:ascii="Arial" w:cs="Arial" w:eastAsia="Arial" w:hAnsi="Arial"/>
          <w:sz w:val="19"/>
          <w:szCs w:val="19"/>
          <w:color w:val="auto"/>
        </w:rPr>
      </w:pPr>
      <w:r>
        <w:rPr>
          <w:rFonts w:ascii="Arial" w:cs="Arial" w:eastAsia="Arial" w:hAnsi="Arial"/>
          <w:sz w:val="19"/>
          <w:szCs w:val="19"/>
          <w:color w:val="auto"/>
        </w:rPr>
        <w:t>the Borrower and each Subsidiary may redeem, repurchase, retire or otherwise acquire Equity Interests to the extent such redemption, repurchase, retirement or other acquisition is deemed to occur upon exercise of stock options if such Equity Interests represent a portion of the exercise price of such options;</w:t>
      </w:r>
    </w:p>
    <w:p>
      <w:pPr>
        <w:spacing w:after="0" w:line="169" w:lineRule="exact"/>
        <w:rPr>
          <w:rFonts w:ascii="Arial" w:cs="Arial" w:eastAsia="Arial" w:hAnsi="Arial"/>
          <w:sz w:val="19"/>
          <w:szCs w:val="19"/>
          <w:color w:val="auto"/>
        </w:rPr>
      </w:pPr>
    </w:p>
    <w:p>
      <w:pPr>
        <w:jc w:val="both"/>
        <w:ind w:left="660" w:firstLine="644"/>
        <w:spacing w:after="0" w:line="276" w:lineRule="auto"/>
        <w:tabs>
          <w:tab w:leader="none" w:pos="195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so long as no Default shall have occurred and be continuing at the time of such Restricted Payment or would result therefrom, the Borrower may repurchase or redeem Qualified Capital Stock of the Borrower held by officers, directors or employees or former officers, directors or employees (or their transferees, estates or beneficiaries under their estates) of the Borrower or any Subsidiary, upon their death, disability, retirement, severance or termination of employment or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cash consideration paid for all such redemptions and repurchases shall not exceed $2,000,000 in any fiscal year of the Borrower; and</w:t>
      </w:r>
    </w:p>
    <w:p>
      <w:pPr>
        <w:spacing w:after="0" w:line="164" w:lineRule="exact"/>
        <w:rPr>
          <w:rFonts w:ascii="Arial" w:cs="Arial" w:eastAsia="Arial" w:hAnsi="Arial"/>
          <w:sz w:val="18"/>
          <w:szCs w:val="18"/>
          <w:color w:val="auto"/>
        </w:rPr>
      </w:pPr>
    </w:p>
    <w:p>
      <w:pPr>
        <w:jc w:val="both"/>
        <w:ind w:left="660" w:firstLine="644"/>
        <w:spacing w:after="0" w:line="242" w:lineRule="auto"/>
        <w:tabs>
          <w:tab w:leader="none" w:pos="1956"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the Borrower or any Subsidiary may make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 no Default shall have occurred and be continuing at the time of such Restricted Payment or would result therefrom, and (ii) upon giving Pro Forma Effect to any such Restricted Payment, (A) the Loan Parties would be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as of the most recently ended fiscal quarter of the Borrower for which the Borrower was required to deliver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and (B) the Consolidated Leverage Ratio is less than 2.75 to 1.0 (and, if requested by the Administrative Agent or any Lender, the Borrower shall deliver to the Administrative Agent a Pro Forma Compliance Certificate demonstrating compliance with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2" w:name="page313"/>
    <w:bookmarkEnd w:id="312"/>
    <w:p>
      <w:pPr>
        <w:spacing w:after="0"/>
        <w:tabs>
          <w:tab w:leader="none" w:pos="64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Directly or indirectly engage in any material line of business substantially different from those lines of business conducted by the Borrower and its Subsidiaries on the Closing Date or any business reasonably related, complimentary, ancillary or incidental thereto.</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Directly or indirectly enter into or permit to exist any transaction or series of transactions with any officer, director or Affiliate of such Person other than (a) advances of working capital (i) by any Loan Party to any other Loan Party, or (ii) by any Subsidiary that is not a Loan Party to any Loan Party or any other Subsidiary, (b) transfers of cash and assets (i) by any Loan Party to any other Loan Party, or (ii) by any Subsidiary to any Loan Party or any other Subsidiary, (c) intercompany transactions (i) expressly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each case, other than by reference to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(or any clause hereof)), or (ii) solely among the Loan Parties and the Subsidiaries, (d) reasonable and customary officer, director and employee compensation (including bonuses) and other benefits (including retirement, health, stock option and other benefit plans) and reasonable indemnification and severance arrangements, in each case in the ordinary course of business, and (e) except as otherwise specifically prohibited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Directly or indirectly 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w:t>
      </w:r>
    </w:p>
    <w:p>
      <w:pPr>
        <w:spacing w:after="0" w:line="1" w:lineRule="exact"/>
        <w:rPr>
          <w:sz w:val="20"/>
          <w:szCs w:val="20"/>
          <w:color w:val="auto"/>
        </w:rPr>
      </w:pPr>
    </w:p>
    <w:p>
      <w:pPr>
        <w:jc w:val="both"/>
        <w:ind w:firstLine="8"/>
        <w:spacing w:after="0" w:line="268" w:lineRule="auto"/>
        <w:tabs>
          <w:tab w:leader="none" w:pos="29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Arial" w:cs="Arial" w:eastAsia="Arial" w:hAnsi="Arial"/>
          <w:sz w:val="18"/>
          <w:szCs w:val="18"/>
          <w:u w:val="single" w:color="auto"/>
          <w:color w:val="auto"/>
        </w:rPr>
        <w:t>clauses (a)(i)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(a)(v)</w:t>
      </w:r>
      <w:r>
        <w:rPr>
          <w:rFonts w:ascii="Arial" w:cs="Arial" w:eastAsia="Arial" w:hAnsi="Arial"/>
          <w:sz w:val="18"/>
          <w:szCs w:val="18"/>
          <w:color w:val="auto"/>
        </w:rPr>
        <w:t xml:space="preserve"> above) for (A) this Agreement and the other Loan Documents, (B) any instrument governing Indebtedness assumed in connection with any Permitted Acquisition or other Investment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which encumbrance or restriction is not applicable to any Person, or the properties or assets of any Person, other than the Person or the properties or assets of the Person so acquired, (C) any such encumbrance or restriction consisting of customary non-assignment provisions in leases or licenses restricting leasehold interests or licenses, as applicable, entered into in the ordinary course of business, (D) customary provisions in joint venture agreements and other similar agreements that restrict the transfer of ownership interests in such joint venture or provisions limiting the disposition or distribution of assets or property (other than dividends on a pro rata basis based on ownership percentage), which limitation is applicable only to the assets that are the subject of such agreements, (E) customary restrictions and conditions contained in any agreement relating to the sale of any property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pending the consummation of such sale, or (F) any document or instrument governing any Permitted Lien, in each case, to the extent that any such restriction contained therein relates only to the asset or assets subject to such Liens, or (b) requires the grant of any security for any obligation if such property is given as security for the Secured Obligations (except to the extent such grant constitutes a Permitted Lien).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Use the proceeds of any Credit Extension, whether directly or indirectly, and whether immediately, incidentally or ultimately, to purchase or carry margin stock (within the meaning of Regulation U)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3" w:name="page314"/>
    <w:bookmarkEnd w:id="313"/>
    <w:p>
      <w:pPr>
        <w:spacing w:after="0" w:line="260" w:lineRule="auto"/>
        <w:rPr>
          <w:sz w:val="20"/>
          <w:szCs w:val="20"/>
          <w:color w:val="auto"/>
        </w:rPr>
      </w:pPr>
      <w:r>
        <w:rPr>
          <w:rFonts w:ascii="Arial" w:cs="Arial" w:eastAsia="Arial" w:hAnsi="Arial"/>
          <w:sz w:val="20"/>
          <w:szCs w:val="20"/>
          <w:color w:val="auto"/>
        </w:rPr>
        <w:t>extend credit to others for the purpose of purchasing or carrying margin stock or to refund indebtedness originally incurred for such purpose.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Permit the Consolidated Leverage Ratio as of the end of any Measurement Period ending as of the end of any fiscal quarter of the Borrower to be greater than 3.00 to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upon the occurrence of a Qualified Acquisition, for each of the four (4) fiscal quarters of the Borrower immediately following the consummation of such Qualified Acquisition (including, for the avoidance of doubt, the fiscal quarter in which such Qualified Acquisition was consummated) (such period of increase, the “</w:t>
      </w:r>
      <w:r>
        <w:rPr>
          <w:rFonts w:ascii="Arial" w:cs="Arial" w:eastAsia="Arial" w:hAnsi="Arial"/>
          <w:sz w:val="18"/>
          <w:szCs w:val="18"/>
          <w:u w:val="single" w:color="auto"/>
          <w:color w:val="auto"/>
        </w:rPr>
        <w:t>Leverage Increase Period</w:t>
      </w:r>
      <w:r>
        <w:rPr>
          <w:rFonts w:ascii="Arial" w:cs="Arial" w:eastAsia="Arial" w:hAnsi="Arial"/>
          <w:sz w:val="18"/>
          <w:szCs w:val="18"/>
          <w:color w:val="auto"/>
        </w:rPr>
        <w:t xml:space="preserve">”), the ratio set forth above shall be increased to 3.50 to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no more than one (1) Leverage Increase Period shall be in effect at any time, (ii) for at least two (2) fiscal quarters of the Borrower immediately following each Leverage Increase Period, the Consolidated Leverage Ratio as of the end of such fiscal quarters shall not be greater than 3.00 to 1.0 prior to giving effect to another Leverage Increase Period, and (iii) each Leverage Increase Period shall only apply with respect to the calculation of the Consolidated Leverage Ratio for purposes of (A) determining compliance with the financial maintenance covenant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7.11(a)</w:t>
      </w:r>
      <w:r>
        <w:rPr>
          <w:rFonts w:ascii="Arial" w:cs="Arial" w:eastAsia="Arial" w:hAnsi="Arial"/>
          <w:sz w:val="18"/>
          <w:szCs w:val="18"/>
          <w:color w:val="auto"/>
        </w:rPr>
        <w:t xml:space="preserve"> as of the end of any period of four (4) consecutive fiscal quarters of the Borrower ending as of the last day of any fiscal quarter of the Borrower, and (B) determining the permissibility of the consummation of the Qualified Acquisition with respect to which such Leverage Increase Period relates (or, to the extent such Qualified Acquisition is financed with the proceeds of an Incremental Facility or any Permitted Unsecured Debt, for purposes of determining the permissibility of the incurrence of such Incremental Facility or such Permitted Unsecured Debt in connection with the consummation of such Qualified Acquisition).</w:t>
      </w:r>
    </w:p>
    <w:p>
      <w:pPr>
        <w:spacing w:after="0" w:line="173"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end of any Measurement Period ending as of the end of any fiscal quarter of the Borrower to be less than 1.25 to 1.0.</w:t>
      </w:r>
    </w:p>
    <w:p>
      <w:pPr>
        <w:spacing w:after="0" w:line="18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Amendments of Organization Documents; Changes in Fiscal Year, Legal Name, State of Organization, or Form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Entity; Accounting Changes</w:t>
      </w:r>
      <w:r>
        <w:rPr>
          <w:rFonts w:ascii="Arial" w:cs="Arial" w:eastAsia="Arial" w:hAnsi="Arial"/>
          <w:sz w:val="20"/>
          <w:szCs w:val="20"/>
          <w:color w:val="auto"/>
        </w:rPr>
        <w:t>.</w:t>
      </w:r>
    </w:p>
    <w:p>
      <w:pPr>
        <w:spacing w:after="0" w:line="177" w:lineRule="exact"/>
        <w:rPr>
          <w:sz w:val="20"/>
          <w:szCs w:val="20"/>
          <w:color w:val="auto"/>
        </w:rPr>
      </w:pPr>
    </w:p>
    <w:p>
      <w:pPr>
        <w:ind w:left="1960" w:hanging="656"/>
        <w:spacing w:after="0"/>
        <w:tabs>
          <w:tab w:leader="none" w:pos="1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Amend any of its Organization Documents in any manner that is materially adverse to the Lenders.</w:t>
      </w:r>
    </w:p>
    <w:p>
      <w:pPr>
        <w:spacing w:after="0" w:line="238"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 xml:space="preserve">Change its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Closing Date Acquisition Target may change its fiscal year to match the fiscal year of the Borrower.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Without providing ten (10) days prior written notice to the Administrative Agent (or such shorter period of time as agreed to by the Administrative Agent in its sole discretion), change its legal name, state of organization, or form of organization.</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Make any change in accounting policies or reporting practices, except as required by GAAP.</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Sale and Leaseback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enter into any Sale and Leaseback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4" w:name="page315"/>
    <w:bookmarkEnd w:id="314"/>
    <w:p>
      <w:pPr>
        <w:spacing w:after="0"/>
        <w:tabs>
          <w:tab w:leader="none" w:pos="64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6"/>
          <w:szCs w:val="16"/>
          <w:u w:val="single" w:color="auto"/>
          <w:color w:val="auto"/>
        </w:rPr>
        <w:t>Junior Debt Payments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Make: (a) any Junior Debt Payment except that: (i) a Permitted Refinancing permitted pursuant to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7.02(j)</w:t>
      </w:r>
      <w:r>
        <w:rPr>
          <w:rFonts w:ascii="Arial" w:cs="Arial" w:eastAsia="Arial" w:hAnsi="Arial"/>
          <w:sz w:val="19"/>
          <w:szCs w:val="19"/>
          <w:color w:val="auto"/>
        </w:rPr>
        <w:t xml:space="preserve"> may be consummated; (ii) the Borrower may make Junior Debt Payments to the extent made solely with the Qualified Capital Stock of the Borrower; and (iii) the Borrower or any Subsidiary may make any Junior Debt Payment with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 no Default shall have occurred and be continuing at the time of such Junior Debt Payment or would result therefrom, and (B) upon giving Pro Forma Effect to such Junior Debt Payment, the Loan Parties would be in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in connection with any such payment in excess of $5,000,000, if requested by the Administrative Agent or any Lender, the Borrower shall deliver to the Administrative Agent a Pro Forma Compliance Certificate demonstrating compliance with such condition); or (b) any payment in violation of any subordination and/or intercreditor terms applicable to any Junior Debt.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8"/>
          <w:szCs w:val="18"/>
          <w:u w:val="single" w:color="auto"/>
          <w:color w:val="auto"/>
        </w:rPr>
        <w:t>Amendment, Etc. of Junior Debt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Directly or indirectly amend, modify or change in any manner any term or condition of any Junior Debt, in each case in any manner that is adverse in any material respect to the interest of the Lenders.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Directly or knowingly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7.17</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Directly or knowingly indirectly use any Credit Extension or the proceeds of any Credit Extension for any purpose which would breach the United States Foreign Corrupt Practices Act of 1977, the UK Bribery Act 2010 and other anti-corruption legislation in other jurisdictions.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of the following shall constitute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60" w:lineRule="auto"/>
        <w:tabs>
          <w:tab w:leader="none" w:pos="1956"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or any other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314"/>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Loan Party fails to perform or observe any term, covenant or agreement contained in any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w:t>
      </w:r>
      <w:r>
        <w:rPr>
          <w:rFonts w:ascii="Arial" w:cs="Arial" w:eastAsia="Arial" w:hAnsi="Arial"/>
          <w:sz w:val="20"/>
          <w:szCs w:val="20"/>
          <w:u w:val="single" w:color="auto"/>
          <w:color w:val="auto"/>
        </w:rPr>
        <w:t>6.15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ectPr>
          <w:pgSz w:w="11900" w:h="16838" w:orient="portrait"/>
          <w:cols w:equalWidth="0" w:num="1">
            <w:col w:w="9920"/>
          </w:cols>
          <w:pgMar w:left="980" w:top="90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type w:val="continuous"/>
        </w:sectPr>
      </w:pPr>
    </w:p>
    <w:bookmarkStart w:id="315" w:name="page316"/>
    <w:bookmarkEnd w:id="315"/>
    <w:p>
      <w:pPr>
        <w:jc w:val="both"/>
        <w:ind w:left="200" w:firstLine="644"/>
        <w:spacing w:after="0" w:line="244" w:lineRule="auto"/>
        <w:tabs>
          <w:tab w:leader="none" w:pos="1496"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contained in any Loan Document on its part to be performed or observed and such failure continues for thirty (30) days after the earlier to occur of (i) a Responsible Officer of a Loan Party becoming aware of such failure, and (ii) written notice thereof being provided to the Borrower by the Administrative Agent or any Lender; or</w:t>
      </w:r>
    </w:p>
    <w:p>
      <w:pPr>
        <w:spacing w:after="0" w:line="194" w:lineRule="exact"/>
        <w:rPr>
          <w:rFonts w:ascii="Arial" w:cs="Arial" w:eastAsia="Arial" w:hAnsi="Arial"/>
          <w:sz w:val="20"/>
          <w:szCs w:val="20"/>
          <w:color w:val="auto"/>
        </w:rPr>
      </w:pPr>
    </w:p>
    <w:p>
      <w:pPr>
        <w:jc w:val="both"/>
        <w:ind w:left="200" w:firstLine="644"/>
        <w:spacing w:after="0" w:line="260" w:lineRule="auto"/>
        <w:tabs>
          <w:tab w:leader="none" w:pos="1496" w:val="left"/>
        </w:tabs>
        <w:numPr>
          <w:ilvl w:val="0"/>
          <w:numId w:val="31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materially incorrect or materially misleading (or, in each case, if such representation, warranty, certification or statement of fact is already qualified by materiality, incorrect or misleading in any respect) when made or deemed made; or</w:t>
      </w:r>
    </w:p>
    <w:p>
      <w:pPr>
        <w:spacing w:after="0" w:line="180" w:lineRule="exact"/>
        <w:rPr>
          <w:rFonts w:ascii="Arial" w:cs="Arial" w:eastAsia="Arial" w:hAnsi="Arial"/>
          <w:sz w:val="19"/>
          <w:szCs w:val="19"/>
          <w:color w:val="auto"/>
        </w:rPr>
      </w:pPr>
    </w:p>
    <w:p>
      <w:pPr>
        <w:jc w:val="both"/>
        <w:ind w:left="200" w:firstLine="644"/>
        <w:spacing w:after="0" w:line="268" w:lineRule="auto"/>
        <w:tabs>
          <w:tab w:leader="none" w:pos="149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Any Loan Party or any Subsidiary (A) fails to make any payment when due (whether by scheduled maturity, required prepayment, acceleration, demand, or otherwise but giving effect to any applicable grace and notice period with respect thereto)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giving effect to any applicable grace and notice period with respect thereto)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is the Defaulting Party (as defined in such Swap Contract), or (B) any Termination Event (as defined in such Swap Contract) under such Swap Contract as to which a Loan Party or any Subsidiary is an Affected Party (as defined in such Swap Contract) and, in either event, the Swap Termination Value owed by such Loan Party or such Subsidiary as a result thereof is greater than the Threshold Amount; or</w:t>
      </w:r>
    </w:p>
    <w:p>
      <w:pPr>
        <w:spacing w:after="0" w:line="183" w:lineRule="exact"/>
        <w:rPr>
          <w:rFonts w:ascii="Arial" w:cs="Arial" w:eastAsia="Arial" w:hAnsi="Arial"/>
          <w:sz w:val="18"/>
          <w:szCs w:val="18"/>
          <w:color w:val="auto"/>
        </w:rPr>
      </w:pPr>
    </w:p>
    <w:p>
      <w:pPr>
        <w:jc w:val="both"/>
        <w:ind w:left="200" w:firstLine="644"/>
        <w:spacing w:after="0" w:line="242" w:lineRule="auto"/>
        <w:tabs>
          <w:tab w:leader="none" w:pos="1496"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Insolvency Proceedings, Etc.</w:t>
      </w:r>
      <w:r>
        <w:rPr>
          <w:rFonts w:ascii="Arial" w:cs="Arial" w:eastAsia="Arial" w:hAnsi="Arial"/>
          <w:sz w:val="20"/>
          <w:szCs w:val="20"/>
          <w:color w:val="auto"/>
        </w:rPr>
        <w:t xml:space="preserve"> Any Loan Party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days; or any proceeding under any Debtor Relief Law relating to any such Person or to all or any material part of its property is instituted without the consent of such Person and continues undismissed or unstayed for sixty (60) days, or an order for relief is entered in any such proceeding; or</w:t>
      </w:r>
    </w:p>
    <w:p>
      <w:pPr>
        <w:spacing w:after="0" w:line="194"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Subsidiary becomes unable or admits in writing its inability or fails generally to pay its debts as they become due, or (ii) any writ or warrant of attachment or execution or similar process is issued or levied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16" w:name="page317"/>
    <w:bookmarkEnd w:id="316"/>
    <w:p>
      <w:pPr>
        <w:ind w:left="660"/>
        <w:spacing w:after="0" w:line="260" w:lineRule="auto"/>
        <w:rPr>
          <w:sz w:val="20"/>
          <w:szCs w:val="20"/>
          <w:color w:val="auto"/>
        </w:rPr>
      </w:pPr>
      <w:r>
        <w:rPr>
          <w:rFonts w:ascii="Arial" w:cs="Arial" w:eastAsia="Arial" w:hAnsi="Arial"/>
          <w:sz w:val="20"/>
          <w:szCs w:val="20"/>
          <w:color w:val="auto"/>
        </w:rPr>
        <w:t>or any material part of the property of any such Person and is not released, vacated or fully bonded within thirty (30) days after its issue or levy; or</w:t>
      </w:r>
    </w:p>
    <w:p>
      <w:pPr>
        <w:spacing w:after="0" w:line="177" w:lineRule="exact"/>
        <w:rPr>
          <w:sz w:val="20"/>
          <w:szCs w:val="20"/>
          <w:color w:val="auto"/>
        </w:rPr>
      </w:pPr>
    </w:p>
    <w:p>
      <w:pPr>
        <w:jc w:val="both"/>
        <w:ind w:left="660" w:firstLine="644"/>
        <w:spacing w:after="0" w:line="273" w:lineRule="auto"/>
        <w:tabs>
          <w:tab w:leader="none" w:pos="195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68"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8"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material provision of any Loan Document, at any time after its execution and delivery and for any reason other than as expressly permitted hereunder or thereunder or upon the occurrence of the Facility Termination Date,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a Loan Party to perform any of its material obligations under the Loan Documents; or</w:t>
      </w:r>
    </w:p>
    <w:p>
      <w:pPr>
        <w:spacing w:after="0" w:line="184" w:lineRule="exact"/>
        <w:rPr>
          <w:rFonts w:ascii="Arial" w:cs="Arial" w:eastAsia="Arial" w:hAnsi="Arial"/>
          <w:sz w:val="19"/>
          <w:szCs w:val="19"/>
          <w:color w:val="auto"/>
        </w:rPr>
      </w:pPr>
    </w:p>
    <w:p>
      <w:pPr>
        <w:jc w:val="both"/>
        <w:ind w:left="660" w:firstLine="644"/>
        <w:spacing w:after="0" w:line="246" w:lineRule="auto"/>
        <w:tabs>
          <w:tab w:leader="none" w:pos="1956"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Any Collateral Document after delivery thereof pursuant to the terms of the Loan Documents shall for any reason cease to create a valid and perfected first priority Lien (subject to Permitted Liens) on any material portion of the Collateral purported to be covered thereby, or any Loan Party shall assert the invalidity of such Liens; or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the Administrative Agent (with the approval of requisite Appropriate Lenders (in their sole discretion) as determined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If any Event of Default occurs and is continuing, the Administrative Agent shall, at the request of, or may, with the consent of, the Required Lenders, take any or all of the following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7" w:name="page318"/>
    <w:bookmarkEnd w:id="317"/>
    <w:p>
      <w:pPr>
        <w:ind w:left="660" w:right="20" w:firstLine="644"/>
        <w:spacing w:after="0" w:line="316" w:lineRule="auto"/>
        <w:tabs>
          <w:tab w:leader="none" w:pos="195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declare the Commitments of each Lender to make Loans and any obligation of each L/C Issuer to make L/C Credit Extensions to be terminated, whereupon such Commitments and obligation shall be terminated;</w:t>
      </w:r>
    </w:p>
    <w:p>
      <w:pPr>
        <w:spacing w:after="0" w:line="129"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91"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require that the Borrower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 or applicable Law or equity;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upon the occurrence of an actual or deemed entry of an order for relief with respect to the Borrower under the Bankruptcy Code of the United States,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be applied by the Administrative Agent in the following order:</w:t>
      </w:r>
    </w:p>
    <w:p>
      <w:pPr>
        <w:spacing w:after="0" w:line="16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payment of that portion of the Secured Obligations constituting fees, indemnities, expenses and other amounts (including fees, charges and disbursements of counsel to the Administrative Agent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the Administrative Agent in its capacity as such;</w:t>
      </w:r>
    </w:p>
    <w:p>
      <w:pPr>
        <w:spacing w:after="0" w:line="170"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Secured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w:t>
      </w:r>
      <w:r>
        <w:rPr>
          <w:rFonts w:ascii="Arial" w:cs="Arial" w:eastAsia="Arial" w:hAnsi="Arial"/>
          <w:sz w:val="20"/>
          <w:szCs w:val="20"/>
          <w:u w:val="single" w:color="auto"/>
          <w:color w:val="auto"/>
        </w:rPr>
        <w:t>clause Second</w:t>
      </w:r>
      <w:r>
        <w:rPr>
          <w:rFonts w:ascii="Arial" w:cs="Arial" w:eastAsia="Arial" w:hAnsi="Arial"/>
          <w:sz w:val="20"/>
          <w:szCs w:val="20"/>
          <w:color w:val="auto"/>
        </w:rPr>
        <w:t xml:space="preserve"> payable to them;</w:t>
      </w:r>
    </w:p>
    <w:p>
      <w:pPr>
        <w:spacing w:after="0" w:line="19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Secured Obligations constituting accrued and unpaid Letter of Credit Fees and interest on the Loans, L/C Disbursements and other Secured Obligations arising under the Loan Documents, ratably among the Lenders and the L/C Issuers in proportion to the respective amounts described in this </w:t>
      </w:r>
      <w:r>
        <w:rPr>
          <w:rFonts w:ascii="Arial" w:cs="Arial" w:eastAsia="Arial" w:hAnsi="Arial"/>
          <w:sz w:val="20"/>
          <w:szCs w:val="20"/>
          <w:u w:val="single" w:color="auto"/>
          <w:color w:val="auto"/>
        </w:rPr>
        <w:t>clause Third</w:t>
      </w:r>
      <w:r>
        <w:rPr>
          <w:rFonts w:ascii="Arial" w:cs="Arial" w:eastAsia="Arial" w:hAnsi="Arial"/>
          <w:sz w:val="20"/>
          <w:szCs w:val="20"/>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8" w:name="page319"/>
    <w:bookmarkEnd w:id="318"/>
    <w:p>
      <w:pPr>
        <w:jc w:val="both"/>
        <w:ind w:left="660" w:firstLine="648"/>
        <w:spacing w:after="0" w:line="27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Secured Obligations constituting unpaid principal of the Loans, L/C Disbursements and Secured Obligations then owing under the Secured Hedge Agreements and the Secured Cash Management Agreements and to the Administrative Agent for the account of the L/C Issuers, to Cash Collateralize that portion of L/C Obligations comprised of the aggregate undrawn amount of Letters of Credit to the extent required by, and not otherwise Cash Collateralized by the Borrower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in each case ratably among the Administrative Agent, the Lenders, the L/C Issuers, the Hedge Banks and the Cash Management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 and</w:t>
      </w:r>
    </w:p>
    <w:p>
      <w:pPr>
        <w:spacing w:after="0" w:line="168"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Secured Obligations have been indefeasibly paid in full, to the Borrower or as otherwise required by Law.</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2.03(q)</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 Fourth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the applicable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itself and its Affiliates as if a “Lender” party hereto.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of the Lenders and the L/C Issuers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19" w:name="page320"/>
    <w:bookmarkEnd w:id="319"/>
    <w:p>
      <w:pPr>
        <w:jc w:val="both"/>
        <w:ind w:left="660" w:firstLine="644"/>
        <w:spacing w:after="0" w:line="270" w:lineRule="auto"/>
        <w:tabs>
          <w:tab w:leader="none" w:pos="1956"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The Administrative Agent shall also act as the “collateral agent” under the Loan Documents, and each of the Lenders (including in its capacities as a potential Hedge Bank and a potential Cash Management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320"/>
        </w:numPr>
        <w:rPr>
          <w:rFonts w:ascii="Arial" w:cs="Arial" w:eastAsia="Arial" w:hAnsi="Arial"/>
          <w:sz w:val="20"/>
          <w:szCs w:val="20"/>
          <w:color w:val="auto"/>
        </w:rPr>
      </w:pPr>
      <w:r>
        <w:rPr>
          <w:rFonts w:ascii="Arial" w:cs="Arial" w:eastAsia="Arial" w:hAnsi="Arial"/>
          <w:sz w:val="20"/>
          <w:szCs w:val="20"/>
          <w:color w:val="auto"/>
        </w:rPr>
        <w:t>Neither the Administrative Agent nor any Arranger, as applicable, shall have any duties or obligations except those expressly set forth herein and in the other Loan Documents, and its duties hereunder shall be administrative in nature. Without limiting the generality of the foregoing, none of the Administrative Agent, any Arranger, or any of their respective Related Parties:</w:t>
      </w:r>
    </w:p>
    <w:p>
      <w:pPr>
        <w:spacing w:after="0" w:line="191" w:lineRule="exact"/>
        <w:rPr>
          <w:rFonts w:ascii="Arial" w:cs="Arial" w:eastAsia="Arial" w:hAnsi="Arial"/>
          <w:sz w:val="20"/>
          <w:szCs w:val="20"/>
          <w:color w:val="auto"/>
        </w:rPr>
      </w:pPr>
    </w:p>
    <w:p>
      <w:pPr>
        <w:ind w:left="1300" w:firstLine="652"/>
        <w:spacing w:after="0" w:line="260" w:lineRule="auto"/>
        <w:tabs>
          <w:tab w:leader="none" w:pos="2596" w:val="left"/>
        </w:tabs>
        <w:numPr>
          <w:ilvl w:val="1"/>
          <w:numId w:val="320"/>
        </w:numPr>
        <w:rPr>
          <w:rFonts w:ascii="Arial" w:cs="Arial" w:eastAsia="Arial" w:hAnsi="Arial"/>
          <w:sz w:val="20"/>
          <w:szCs w:val="20"/>
          <w:color w:val="auto"/>
        </w:rPr>
      </w:pPr>
      <w:r>
        <w:rPr>
          <w:rFonts w:ascii="Arial" w:cs="Arial" w:eastAsia="Arial" w:hAnsi="Arial"/>
          <w:sz w:val="20"/>
          <w:szCs w:val="20"/>
          <w:color w:val="auto"/>
        </w:rPr>
        <w:t>shall be subject to any fiduciary or other implied duties, regardless of whether a Default has occurred and is continuing;</w:t>
      </w:r>
    </w:p>
    <w:p>
      <w:pPr>
        <w:spacing w:after="0" w:line="176" w:lineRule="exact"/>
        <w:rPr>
          <w:rFonts w:ascii="Arial" w:cs="Arial" w:eastAsia="Arial" w:hAnsi="Arial"/>
          <w:sz w:val="20"/>
          <w:szCs w:val="20"/>
          <w:color w:val="auto"/>
        </w:rPr>
      </w:pPr>
    </w:p>
    <w:p>
      <w:pPr>
        <w:jc w:val="both"/>
        <w:ind w:left="1300" w:firstLine="652"/>
        <w:spacing w:after="0" w:line="272" w:lineRule="auto"/>
        <w:tabs>
          <w:tab w:leader="none" w:pos="2596"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0" w:name="page321"/>
    <w:bookmarkEnd w:id="320"/>
    <w:p>
      <w:pPr>
        <w:jc w:val="both"/>
        <w:ind w:left="1300" w:firstLine="652"/>
        <w:spacing w:after="0" w:line="276" w:lineRule="auto"/>
        <w:tabs>
          <w:tab w:leader="none" w:pos="259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shall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such Arranger or any of their respective Related Parties in any capacity, except for notices, reports and other documents expressly required to be furnished to the Lenders by the Administrative Agent herein.</w:t>
      </w:r>
    </w:p>
    <w:p>
      <w:pPr>
        <w:spacing w:after="0" w:line="164"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spacing w:after="0" w:line="184" w:lineRule="exact"/>
        <w:rPr>
          <w:rFonts w:ascii="Arial" w:cs="Arial" w:eastAsia="Arial" w:hAnsi="Arial"/>
          <w:sz w:val="19"/>
          <w:szCs w:val="19"/>
          <w:color w:val="auto"/>
        </w:rPr>
      </w:pPr>
    </w:p>
    <w:p>
      <w:pPr>
        <w:jc w:val="both"/>
        <w:ind w:left="660" w:firstLine="644"/>
        <w:spacing w:after="0" w:line="271" w:lineRule="auto"/>
        <w:tabs>
          <w:tab w:leader="none" w:pos="195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1" w:name="page322"/>
    <w:bookmarkEnd w:id="321"/>
    <w:p>
      <w:pPr>
        <w:jc w:val="both"/>
        <w:spacing w:after="0" w:line="287" w:lineRule="auto"/>
        <w:rPr>
          <w:sz w:val="20"/>
          <w:szCs w:val="20"/>
          <w:color w:val="auto"/>
        </w:rPr>
      </w:pPr>
      <w:r>
        <w:rPr>
          <w:rFonts w:ascii="Arial" w:cs="Arial" w:eastAsia="Arial" w:hAnsi="Arial"/>
          <w:sz w:val="19"/>
          <w:szCs w:val="19"/>
          <w:color w:val="auto"/>
        </w:rPr>
        <w:t>thereunder to be consented to or approved by or acceptable or satisfactory to a Lender unless the Administrative Agent shall have received notice from such Lender prior to the proposed Closing Date specifying its objections.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0" w:lineRule="auto"/>
        <w:tabs>
          <w:tab w:leader="none" w:pos="1956"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Administrative Agent may at any time give notice of its resignation to the Lenders, the L/C Issuers and the Borrower. Upon receipt of any such notice of resignation, the Required Lenders shall have the right, in consultation with the Borrower, and, at all times other than during the existence of an Event of Default, with the Borrower’s consent (such consent not to be unreasonably withheld),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L/C Issuers,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shall any successor Administrative Agent be a Defaulting Lender. Whether or not a successor has been appointed, such resignation shall become effective in accordance with such notice on the Resignation Effective Date.</w:t>
      </w:r>
    </w:p>
    <w:p>
      <w:pPr>
        <w:spacing w:after="0" w:line="175" w:lineRule="exact"/>
        <w:rPr>
          <w:rFonts w:ascii="Arial" w:cs="Arial" w:eastAsia="Arial" w:hAnsi="Arial"/>
          <w:sz w:val="18"/>
          <w:szCs w:val="18"/>
          <w:color w:val="auto"/>
        </w:rPr>
      </w:pPr>
    </w:p>
    <w:p>
      <w:pPr>
        <w:jc w:val="both"/>
        <w:ind w:left="660" w:firstLine="644"/>
        <w:spacing w:after="0" w:line="273" w:lineRule="auto"/>
        <w:tabs>
          <w:tab w:leader="none" w:pos="1956"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and, at all times other than during the existence of an Event of Default, with the Borrower’s consent (such consent not to be unreasonably withheld),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68" w:lineRule="exact"/>
        <w:rPr>
          <w:rFonts w:ascii="Arial" w:cs="Arial" w:eastAsia="Arial" w:hAnsi="Arial"/>
          <w:sz w:val="18"/>
          <w:szCs w:val="18"/>
          <w:color w:val="auto"/>
        </w:rPr>
      </w:pPr>
    </w:p>
    <w:p>
      <w:pPr>
        <w:jc w:val="both"/>
        <w:ind w:left="660" w:firstLine="644"/>
        <w:spacing w:after="0" w:line="243" w:lineRule="auto"/>
        <w:tabs>
          <w:tab w:leader="none" w:pos="1956" w:val="left"/>
        </w:tabs>
        <w:numPr>
          <w:ilvl w:val="0"/>
          <w:numId w:val="323"/>
        </w:numPr>
        <w:rPr>
          <w:rFonts w:ascii="Arial" w:cs="Arial" w:eastAsia="Arial" w:hAnsi="Arial"/>
          <w:sz w:val="20"/>
          <w:szCs w:val="20"/>
          <w:color w:val="auto"/>
        </w:rPr>
      </w:pPr>
      <w:r>
        <w:rPr>
          <w:rFonts w:ascii="Arial" w:cs="Arial" w:eastAsia="Arial" w:hAnsi="Arial"/>
          <w:sz w:val="20"/>
          <w:szCs w:val="20"/>
          <w:u w:val="single" w:color="auto"/>
          <w:color w:val="auto"/>
        </w:rPr>
        <w:t>Effect of Resignation or Removal</w:t>
      </w:r>
      <w:r>
        <w:rPr>
          <w:rFonts w:ascii="Arial" w:cs="Arial" w:eastAsia="Arial" w:hAnsi="Arial"/>
          <w:sz w:val="20"/>
          <w:szCs w:val="20"/>
          <w:color w:val="auto"/>
        </w:rPr>
        <w:t>.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2" w:name="page323"/>
    <w:bookmarkEnd w:id="322"/>
    <w:p>
      <w:pPr>
        <w:jc w:val="both"/>
        <w:ind w:left="660"/>
        <w:spacing w:after="0" w:line="268" w:lineRule="auto"/>
        <w:rPr>
          <w:sz w:val="20"/>
          <w:szCs w:val="20"/>
          <w:color w:val="auto"/>
        </w:rPr>
      </w:pPr>
      <w:r>
        <w:rPr>
          <w:rFonts w:ascii="Arial" w:cs="Arial" w:eastAsia="Arial" w:hAnsi="Arial"/>
          <w:sz w:val="18"/>
          <w:szCs w:val="18"/>
          <w:color w:val="auto"/>
        </w:rPr>
        <w:t xml:space="preserve">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3.01(h)</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8"/>
          <w:szCs w:val="18"/>
          <w:u w:val="single" w:color="auto"/>
          <w:color w:val="auto"/>
        </w:rPr>
        <w:t>Section 9.06(c)</w:t>
      </w:r>
      <w:r>
        <w:rPr>
          <w:rFonts w:ascii="Arial" w:cs="Arial" w:eastAsia="Arial" w:hAnsi="Arial"/>
          <w:sz w:val="18"/>
          <w:szCs w:val="18"/>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(1) acting as collateral agent or otherwise holding any collateral security on behalf of any of the Secured Parties, and (2) in respect of any actions taken in connection with transferring the agency to any successor Administrative Agent.</w:t>
      </w:r>
    </w:p>
    <w:p>
      <w:pPr>
        <w:spacing w:after="0" w:line="183" w:lineRule="exact"/>
        <w:rPr>
          <w:sz w:val="20"/>
          <w:szCs w:val="20"/>
          <w:color w:val="auto"/>
        </w:rPr>
      </w:pPr>
    </w:p>
    <w:p>
      <w:pPr>
        <w:jc w:val="both"/>
        <w:ind w:left="660" w:firstLine="644"/>
        <w:spacing w:after="0" w:line="269" w:lineRule="auto"/>
        <w:tabs>
          <w:tab w:leader="none" w:pos="195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L/C Issuer and Swingline Lender</w:t>
      </w:r>
      <w:r>
        <w:rPr>
          <w:rFonts w:ascii="Arial" w:cs="Arial" w:eastAsia="Arial" w:hAnsi="Arial"/>
          <w:sz w:val="18"/>
          <w:szCs w:val="18"/>
          <w:color w:val="auto"/>
        </w:rPr>
        <w:t xml:space="preserve">. Any resignation or removal by Bank of America as Administrative Agent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also constitute its resignation as an L/C Issuer and the Swingline Lender. If Bank of America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Revolving Lenders to make Revolving Loans that are Base Rate Loans or fund risk participations in Unreimbursed Amounts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If Bank of America resigns as the Swingline Lender, it shall retain all the rights of the Swingline Lender provided for hereunder with respect to Swingline Loans made by it and outstanding as of the effective date of such resignation, including the right to require the Revolving Lenders to make Revolving Loans that are Base Rate Loans or fund risk participations in outstanding Swingline Loans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2.04(c)</w:t>
      </w:r>
      <w:r>
        <w:rPr>
          <w:rFonts w:ascii="Arial" w:cs="Arial" w:eastAsia="Arial" w:hAnsi="Arial"/>
          <w:sz w:val="18"/>
          <w:szCs w:val="18"/>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9.07</w:t>
      </w:r>
      <w:r>
        <w:rPr>
          <w:sz w:val="20"/>
          <w:szCs w:val="20"/>
          <w:color w:val="auto"/>
        </w:rPr>
        <w:tab/>
      </w:r>
      <w:r>
        <w:rPr>
          <w:rFonts w:ascii="Arial" w:cs="Arial" w:eastAsia="Arial" w:hAnsi="Arial"/>
          <w:sz w:val="18"/>
          <w:szCs w:val="18"/>
          <w:u w:val="single" w:color="auto"/>
          <w:color w:val="auto"/>
        </w:rPr>
        <w:t>Non-Reliance on Administrative Agent, Arrangers and Other Lenders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Lender and each L/C Issuer expressly acknowledges that none of the Administrative Agent nor any Arranger has made any representation or warranty to it, and that no act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3" w:name="page324"/>
    <w:bookmarkEnd w:id="323"/>
    <w:p>
      <w:pPr>
        <w:jc w:val="both"/>
        <w:spacing w:after="0" w:line="268" w:lineRule="auto"/>
        <w:rPr>
          <w:sz w:val="20"/>
          <w:szCs w:val="20"/>
          <w:color w:val="auto"/>
        </w:rPr>
      </w:pPr>
      <w:r>
        <w:rPr>
          <w:rFonts w:ascii="Arial" w:cs="Arial" w:eastAsia="Arial" w:hAnsi="Arial"/>
          <w:sz w:val="18"/>
          <w:szCs w:val="18"/>
          <w:color w:val="auto"/>
        </w:rPr>
        <w:t>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L/C Issuer as to any matter, including whether the Administrative Agent or any Arranger have disclosed material information in their (or their respective Related Parties’) possession. Each Lender and each L/C Issuer represents to the Administrative Agent and each Arranger that it has, independently and without reliance upon the Administrative Agent, 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(a) the Loan Documents set forth the terms of a commercial lending facility, and (b) it is engaged in making, acquiring or holding commercial loans in the ordinary course and is entering into this Agreement as a Lender or an L/C Issuer for the purpose of making, acquiring or holding commercial loans and providing other facilities set forth herein as may be applicable to such Lender or such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9.08</w:t>
      </w:r>
      <w:r>
        <w:rPr>
          <w:sz w:val="20"/>
          <w:szCs w:val="20"/>
          <w:color w:val="auto"/>
        </w:rPr>
        <w:tab/>
      </w:r>
      <w:r>
        <w:rPr>
          <w:rFonts w:ascii="Arial" w:cs="Arial" w:eastAsia="Arial" w:hAnsi="Arial"/>
          <w:sz w:val="18"/>
          <w:szCs w:val="18"/>
          <w:u w:val="single" w:color="auto"/>
          <w:color w:val="auto"/>
        </w:rPr>
        <w:t>No Other Duties, Etc.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an L/C Issuer hereunder.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9.09</w:t>
      </w:r>
      <w:r>
        <w:rPr>
          <w:sz w:val="20"/>
          <w:szCs w:val="20"/>
          <w:color w:val="auto"/>
        </w:rPr>
        <w:tab/>
      </w:r>
      <w:r>
        <w:rPr>
          <w:rFonts w:ascii="Arial" w:cs="Arial" w:eastAsia="Arial" w:hAnsi="Arial"/>
          <w:sz w:val="18"/>
          <w:szCs w:val="18"/>
          <w:u w:val="single" w:color="auto"/>
          <w:color w:val="auto"/>
        </w:rPr>
        <w:t>Administrative Agent May File Proofs of Claim; Credit Bidding</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4" w:lineRule="exact"/>
        <w:rPr>
          <w:sz w:val="20"/>
          <w:szCs w:val="20"/>
          <w:color w:val="auto"/>
        </w:rPr>
      </w:pPr>
    </w:p>
    <w:p>
      <w:pPr>
        <w:jc w:val="both"/>
        <w:ind w:left="660" w:firstLine="644"/>
        <w:spacing w:after="0" w:line="244" w:lineRule="auto"/>
        <w:tabs>
          <w:tab w:leader="none" w:pos="195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4" w:name="page325"/>
    <w:bookmarkEnd w:id="324"/>
    <w:p>
      <w:pPr>
        <w:jc w:val="both"/>
        <w:ind w:left="660"/>
        <w:spacing w:after="0" w:line="250" w:lineRule="auto"/>
        <w:rPr>
          <w:sz w:val="20"/>
          <w:szCs w:val="20"/>
          <w:color w:val="auto"/>
        </w:rPr>
      </w:pPr>
      <w:r>
        <w:rPr>
          <w:rFonts w:ascii="Arial" w:cs="Arial" w:eastAsia="Arial" w:hAnsi="Arial"/>
          <w:sz w:val="20"/>
          <w:szCs w:val="20"/>
          <w:color w:val="auto"/>
        </w:rPr>
        <w:t xml:space="preserve">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2.03(l)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86" w:lineRule="exact"/>
        <w:rPr>
          <w:sz w:val="20"/>
          <w:szCs w:val="20"/>
          <w:color w:val="auto"/>
        </w:rPr>
      </w:pPr>
    </w:p>
    <w:p>
      <w:pPr>
        <w:ind w:left="660" w:firstLine="644"/>
        <w:spacing w:after="0" w:line="260" w:lineRule="auto"/>
        <w:tabs>
          <w:tab w:leader="none" w:pos="1956"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any L/C Issuer any plan of reorganization, arrangement, adjustment or composition affecting the Secured Obligations or the rights of any Lender or any L/C Issuer to authorize the Administrative Agent to vote in respect of the claim of any Lender or any L/C Issuer or in any such proceeding.</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or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Section 11.01</w:t>
      </w:r>
      <w:r>
        <w:rPr>
          <w:rFonts w:ascii="Arial" w:cs="Arial" w:eastAsia="Arial" w:hAnsi="Arial"/>
          <w:sz w:val="18"/>
          <w:szCs w:val="18"/>
          <w:color w:val="auto"/>
        </w:rPr>
        <w: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5" w:name="page326"/>
    <w:bookmarkEnd w:id="325"/>
    <w:p>
      <w:pPr>
        <w:spacing w:after="0"/>
        <w:tabs>
          <w:tab w:leader="none" w:pos="64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Lenders (including in its capacities as a potential Cash Management Bank and a potential Hedge Bank)</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each of the L/C Issuers irrevocably authorize the Administrative Agent, at its option and in its discretion:</w:t>
      </w:r>
    </w:p>
    <w:p>
      <w:pPr>
        <w:spacing w:after="0" w:line="200" w:lineRule="exact"/>
        <w:rPr>
          <w:sz w:val="20"/>
          <w:szCs w:val="20"/>
          <w:color w:val="auto"/>
        </w:rPr>
      </w:pPr>
    </w:p>
    <w:p>
      <w:pPr>
        <w:jc w:val="both"/>
        <w:ind w:left="660" w:firstLine="644"/>
        <w:spacing w:after="0" w:line="244" w:lineRule="auto"/>
        <w:tabs>
          <w:tab w:leader="none" w:pos="1956" w:val="left"/>
        </w:tabs>
        <w:numPr>
          <w:ilvl w:val="0"/>
          <w:numId w:val="327"/>
        </w:numPr>
        <w:rPr>
          <w:rFonts w:ascii="Arial" w:cs="Arial" w:eastAsia="Arial" w:hAnsi="Arial"/>
          <w:sz w:val="20"/>
          <w:szCs w:val="20"/>
          <w:color w:val="auto"/>
        </w:rPr>
      </w:pPr>
      <w:r>
        <w:rPr>
          <w:rFonts w:ascii="Arial" w:cs="Arial" w:eastAsia="Arial" w:hAnsi="Arial"/>
          <w:sz w:val="20"/>
          <w:szCs w:val="20"/>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660" w:firstLine="644"/>
        <w:spacing w:after="0" w:line="287" w:lineRule="auto"/>
        <w:tabs>
          <w:tab w:leader="none" w:pos="195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7.01(c)</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60" w:right="20" w:firstLine="644"/>
        <w:spacing w:after="0" w:line="260" w:lineRule="auto"/>
        <w:tabs>
          <w:tab w:leader="none" w:pos="1956"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if such Person ceases to be a Subsidiary as a result of a transaction permitted under the Loan Documents; and</w:t>
      </w:r>
    </w:p>
    <w:p>
      <w:pPr>
        <w:spacing w:after="0" w:line="176" w:lineRule="exact"/>
        <w:rPr>
          <w:rFonts w:ascii="Arial" w:cs="Arial" w:eastAsia="Arial" w:hAnsi="Arial"/>
          <w:sz w:val="20"/>
          <w:szCs w:val="20"/>
          <w:color w:val="auto"/>
        </w:rPr>
      </w:pPr>
    </w:p>
    <w:p>
      <w:pPr>
        <w:ind w:left="660" w:right="20" w:firstLine="644"/>
        <w:spacing w:after="0" w:line="287" w:lineRule="auto"/>
        <w:tabs>
          <w:tab w:leader="none" w:pos="195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to negotiate, execute, deliver and perform any intercreditor agreement and/or any subordination agreement in respect of any Indebtedness permitted to be incurred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or to take any other action described above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Except as otherwise expressly set forth herein, no Cash Management Bank or Hedge Bank that obtains the benefit of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6" w:name="page327"/>
    <w:bookmarkEnd w:id="326"/>
    <w:p>
      <w:pPr>
        <w:jc w:val="both"/>
        <w:spacing w:after="0" w:line="276" w:lineRule="auto"/>
        <w:rPr>
          <w:sz w:val="20"/>
          <w:szCs w:val="20"/>
          <w:color w:val="auto"/>
        </w:rPr>
      </w:pPr>
      <w:r>
        <w:rPr>
          <w:rFonts w:ascii="Arial" w:cs="Arial" w:eastAsia="Arial" w:hAnsi="Arial"/>
          <w:sz w:val="18"/>
          <w:szCs w:val="18"/>
          <w:color w:val="auto"/>
        </w:rPr>
        <w:t xml:space="preserve">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the applicable Hedge Bank,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82" w:lineRule="auto"/>
        <w:tabs>
          <w:tab w:leader="none" w:pos="195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61" w:lineRule="exact"/>
        <w:rPr>
          <w:rFonts w:ascii="Arial" w:cs="Arial" w:eastAsia="Arial" w:hAnsi="Arial"/>
          <w:sz w:val="18"/>
          <w:szCs w:val="18"/>
          <w:color w:val="auto"/>
        </w:rPr>
      </w:pPr>
    </w:p>
    <w:p>
      <w:pPr>
        <w:jc w:val="both"/>
        <w:ind w:left="1300" w:right="20" w:firstLine="652"/>
        <w:spacing w:after="0" w:line="291" w:lineRule="auto"/>
        <w:tabs>
          <w:tab w:leader="none" w:pos="259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1" w:lineRule="exact"/>
        <w:rPr>
          <w:rFonts w:ascii="Arial" w:cs="Arial" w:eastAsia="Arial" w:hAnsi="Arial"/>
          <w:sz w:val="18"/>
          <w:szCs w:val="18"/>
          <w:color w:val="auto"/>
        </w:rPr>
      </w:pPr>
    </w:p>
    <w:p>
      <w:pPr>
        <w:jc w:val="both"/>
        <w:ind w:left="1300" w:firstLine="652"/>
        <w:spacing w:after="0" w:line="273" w:lineRule="auto"/>
        <w:tabs>
          <w:tab w:leader="none" w:pos="259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8"/>
          <w:szCs w:val="18"/>
          <w:color w:val="auto"/>
        </w:rPr>
      </w:pPr>
    </w:p>
    <w:p>
      <w:pPr>
        <w:jc w:val="both"/>
        <w:ind w:left="1300" w:firstLine="652"/>
        <w:spacing w:after="0" w:line="272" w:lineRule="auto"/>
        <w:tabs>
          <w:tab w:leader="none" w:pos="259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0" w:lineRule="exact"/>
        <w:rPr>
          <w:rFonts w:ascii="Arial" w:cs="Arial" w:eastAsia="Arial" w:hAnsi="Arial"/>
          <w:sz w:val="18"/>
          <w:szCs w:val="18"/>
          <w:color w:val="auto"/>
        </w:rPr>
      </w:pPr>
    </w:p>
    <w:p>
      <w:pPr>
        <w:ind w:left="1300" w:firstLine="652"/>
        <w:spacing w:after="0" w:line="260" w:lineRule="auto"/>
        <w:tabs>
          <w:tab w:leader="none" w:pos="2596" w:val="left"/>
        </w:tabs>
        <w:numPr>
          <w:ilvl w:val="1"/>
          <w:numId w:val="328"/>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0"/>
          <w:numId w:val="328"/>
        </w:numPr>
        <w:rPr>
          <w:rFonts w:ascii="Arial" w:cs="Arial" w:eastAsia="Arial" w:hAnsi="Arial"/>
          <w:sz w:val="20"/>
          <w:szCs w:val="20"/>
          <w:color w:val="auto"/>
        </w:rPr>
      </w:pPr>
      <w:r>
        <w:rPr>
          <w:rFonts w:ascii="Arial" w:cs="Arial" w:eastAsia="Arial" w:hAnsi="Arial"/>
          <w:sz w:val="20"/>
          <w:szCs w:val="20"/>
          <w:color w:val="auto"/>
        </w:rPr>
        <w:t xml:space="preserve">In addition, unless either (1)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is true with respect to a Lender or (2) a Lender has provided another representation, warranty and covenant in accordance with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such Lender further (x) represents and warrants, as of the date such Person became a Lender party hereto, to, and (y) covenants, from the date such Person became a Lender party hereto to the date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7" w:name="page328"/>
    <w:bookmarkEnd w:id="327"/>
    <w:p>
      <w:pPr>
        <w:jc w:val="both"/>
        <w:ind w:left="660"/>
        <w:spacing w:after="0" w:line="259" w:lineRule="auto"/>
        <w:rPr>
          <w:sz w:val="20"/>
          <w:szCs w:val="20"/>
          <w:color w:val="auto"/>
        </w:rPr>
      </w:pPr>
      <w:r>
        <w:rPr>
          <w:rFonts w:ascii="Arial" w:cs="Arial" w:eastAsia="Arial" w:hAnsi="Arial"/>
          <w:sz w:val="19"/>
          <w:szCs w:val="19"/>
          <w:color w:val="auto"/>
        </w:rPr>
        <w:t>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CONTINUING GUARANTY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Loan Party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illegality,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Issuers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8" w:name="page329"/>
    <w:bookmarkEnd w:id="328"/>
    <w:p>
      <w:pPr>
        <w:spacing w:after="0"/>
        <w:tabs>
          <w:tab w:leader="none" w:pos="64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6"/>
          <w:szCs w:val="16"/>
          <w:u w:val="single" w:color="auto"/>
          <w:color w:val="auto"/>
        </w:rPr>
        <w:t>Certain Waivers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Guarantor waives, to the fullest extent permitted by law: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(f) any defense arising by reason of any change in the corporate existence, structure or ownership of any Loan Party; and (g) any and all other defenses or benefits that may be derived from or afforded by applicable Law limiting the liability of or exonerating guarantors or sureties. Each Guarantor, to the fullest extent permitted by law,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6"/>
          <w:szCs w:val="16"/>
          <w:u w:val="single" w:color="auto"/>
          <w:color w:val="auto"/>
        </w:rPr>
        <w:t>Obligations Independent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6"/>
          <w:szCs w:val="16"/>
          <w:u w:val="single" w:color="auto"/>
          <w:color w:val="auto"/>
        </w:rPr>
        <w:t>Subrogation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(other than contingent indemnification obligations for which no claim has been asserted)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6"/>
          <w:szCs w:val="16"/>
          <w:u w:val="single" w:color="auto"/>
          <w:color w:val="auto"/>
        </w:rPr>
        <w:t>Termination; Reinstatement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survive termination of this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29" w:name="page330"/>
    <w:bookmarkEnd w:id="329"/>
    <w:p>
      <w:pPr>
        <w:spacing w:after="0"/>
        <w:tabs>
          <w:tab w:leader="none" w:pos="64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Stay of Acceleration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Condition of Borrower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Appointment of Borrower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of the Loan Parties hereby appoints the Borrower to act as its agent for all purposes of this Agreement, the other Loan Documents and all other documents and electronic platforms entered into in connection herewith and agrees that</w:t>
      </w:r>
    </w:p>
    <w:p>
      <w:pPr>
        <w:spacing w:after="0" w:line="1" w:lineRule="exact"/>
        <w:rPr>
          <w:sz w:val="20"/>
          <w:szCs w:val="20"/>
          <w:color w:val="auto"/>
        </w:rPr>
      </w:pPr>
    </w:p>
    <w:p>
      <w:pPr>
        <w:jc w:val="both"/>
        <w:ind w:firstLine="8"/>
        <w:spacing w:after="0" w:line="255" w:lineRule="auto"/>
        <w:tabs>
          <w:tab w:leader="none" w:pos="307"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an L/C Issuer or a Lender to the Borrower shall be deemed delivered to each Loan Party, and (c) the Administrative Agent, the L/C Issuers or the Lenders may accept, and be permitted to rely on, any document, authorization, instrument or agreement executed by the Borrower on behalf of each of the Loan Parties.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remain in full force and effect until the Secured Obligations have been indefeasibly paid and performed in full (other than contingent indemnification obligations for which no claim has been asserted). Each Loan Party intends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to constitute, and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0" w:name="page331"/>
    <w:bookmarkEnd w:id="330"/>
    <w:p>
      <w:pPr>
        <w:jc w:val="center"/>
        <w:spacing w:after="0"/>
        <w:rPr>
          <w:sz w:val="20"/>
          <w:szCs w:val="20"/>
          <w:color w:val="auto"/>
        </w:rPr>
      </w:pPr>
      <w:r>
        <w:rPr>
          <w:rFonts w:ascii="Arial" w:cs="Arial" w:eastAsia="Arial" w:hAnsi="Arial"/>
          <w:sz w:val="20"/>
          <w:szCs w:val="20"/>
          <w:color w:val="auto"/>
        </w:rPr>
        <w:t>ARTICLE XI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6"/>
          <w:szCs w:val="16"/>
          <w:u w:val="single" w:color="auto"/>
          <w:color w:val="auto"/>
        </w:rPr>
        <w:t>Amendments, Etc.</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 such amendment, waiver or consent shall:</w:t>
      </w:r>
    </w:p>
    <w:p>
      <w:pPr>
        <w:spacing w:after="0" w:line="196" w:lineRule="exact"/>
        <w:rPr>
          <w:sz w:val="20"/>
          <w:szCs w:val="20"/>
          <w:color w:val="auto"/>
        </w:rPr>
      </w:pPr>
    </w:p>
    <w:p>
      <w:pPr>
        <w:jc w:val="both"/>
        <w:ind w:left="660" w:firstLine="644"/>
        <w:spacing w:after="0" w:line="246" w:lineRule="auto"/>
        <w:tabs>
          <w:tab w:leader="none" w:pos="1956"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without the written consent of such Lender (it being understood and agreed that a waiver of any condition precedent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of any Default is not considered an extension of or increase in any Commitment of any Lender);</w:t>
      </w:r>
    </w:p>
    <w:p>
      <w:pPr>
        <w:spacing w:after="0" w:line="191" w:lineRule="exact"/>
        <w:rPr>
          <w:rFonts w:ascii="Arial" w:cs="Arial" w:eastAsia="Arial" w:hAnsi="Arial"/>
          <w:sz w:val="20"/>
          <w:szCs w:val="20"/>
          <w:color w:val="auto"/>
        </w:rPr>
      </w:pPr>
    </w:p>
    <w:p>
      <w:pPr>
        <w:jc w:val="both"/>
        <w:ind w:left="660" w:right="20" w:firstLine="644"/>
        <w:spacing w:after="0" w:line="269" w:lineRule="auto"/>
        <w:tabs>
          <w:tab w:leader="none" w:pos="1956" w:val="left"/>
        </w:tabs>
        <w:numPr>
          <w:ilvl w:val="0"/>
          <w:numId w:val="330"/>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(excluding mandatory prepayments) of principal, interest, fees or other amounts due to any Lender hereunder or under such other Loan Document without the written consent of such Lender entitled to such payment;</w:t>
      </w:r>
    </w:p>
    <w:p>
      <w:pPr>
        <w:spacing w:after="0" w:line="169" w:lineRule="exact"/>
        <w:rPr>
          <w:rFonts w:ascii="Arial" w:cs="Arial" w:eastAsia="Arial" w:hAnsi="Arial"/>
          <w:sz w:val="19"/>
          <w:szCs w:val="19"/>
          <w:color w:val="auto"/>
        </w:rPr>
      </w:pPr>
    </w:p>
    <w:p>
      <w:pPr>
        <w:jc w:val="both"/>
        <w:ind w:left="660" w:firstLine="644"/>
        <w:spacing w:after="0" w:line="274" w:lineRule="auto"/>
        <w:tabs>
          <w:tab w:leader="none" w:pos="195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Disbursement, or (subject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the final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to any Lender hereunder or under any other Loan Document without the written consent of such Lender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only the consent of the Required Lenders shall be necessary to amend (i) the definition of “Default Rate” or to waive any obligation of the Borrower to pay interest or Letter of Credit Fees at the Default Rate, or (ii) any financial covenant hereunder (or any defined term used therein), even if the effect of such amendment would be to reduce the rate of interest on any Loan or Letter of Credit or to reduce any fee payable hereunder;</w:t>
      </w:r>
    </w:p>
    <w:p>
      <w:pPr>
        <w:spacing w:after="0" w:line="168" w:lineRule="exact"/>
        <w:rPr>
          <w:rFonts w:ascii="Arial" w:cs="Arial" w:eastAsia="Arial" w:hAnsi="Arial"/>
          <w:sz w:val="18"/>
          <w:szCs w:val="18"/>
          <w:color w:val="auto"/>
        </w:rPr>
      </w:pPr>
    </w:p>
    <w:p>
      <w:pPr>
        <w:jc w:val="both"/>
        <w:ind w:left="660" w:firstLine="644"/>
        <w:spacing w:after="0" w:line="291" w:lineRule="auto"/>
        <w:tabs>
          <w:tab w:leader="none" w:pos="195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2.12(f)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any other provision hereof relating to the pro rata sharing of payments among the Lenders in a manner that would alter the pro rata sharing of payments required thereby without the written consent of each Lender that is directly and adversely affected thereby;</w:t>
      </w:r>
    </w:p>
    <w:p>
      <w:pPr>
        <w:spacing w:after="0" w:line="151"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change (i) any provision of this </w:t>
      </w:r>
      <w:r>
        <w:rPr>
          <w:rFonts w:ascii="Arial" w:cs="Arial" w:eastAsia="Arial" w:hAnsi="Arial"/>
          <w:sz w:val="20"/>
          <w:szCs w:val="20"/>
          <w:u w:val="single" w:color="auto"/>
          <w:color w:val="auto"/>
        </w:rPr>
        <w:t>Section 11.01</w:t>
      </w:r>
      <w:r>
        <w:rPr>
          <w:rFonts w:ascii="Arial" w:cs="Arial" w:eastAsia="Arial" w:hAnsi="Arial"/>
          <w:sz w:val="20"/>
          <w:szCs w:val="20"/>
          <w:color w:val="auto"/>
        </w:rPr>
        <w:t>, or the definition of “Required Lenders,” or any other provision of any Loan Document specifying the number or percentage of Lenders required to amend, waive or otherwise modify any rights hereunder or thereunder or make any determination or grant any consent hereunder or without the written consent of each Lender, or (ii) the definition of “Required Revolving Lenders” without the written consent of each Revolving Lender;</w:t>
      </w:r>
    </w:p>
    <w:p>
      <w:pPr>
        <w:spacing w:after="0" w:line="194"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330"/>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in any transaction or series of related transactions without the written consent of each Lender;</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330"/>
        </w:numPr>
        <w:rPr>
          <w:rFonts w:ascii="Arial" w:cs="Arial" w:eastAsia="Arial" w:hAnsi="Arial"/>
          <w:sz w:val="20"/>
          <w:szCs w:val="20"/>
          <w:color w:val="auto"/>
        </w:rPr>
      </w:pPr>
      <w:r>
        <w:rPr>
          <w:rFonts w:ascii="Arial" w:cs="Arial" w:eastAsia="Arial" w:hAnsi="Arial"/>
          <w:sz w:val="20"/>
          <w:szCs w:val="20"/>
          <w:color w:val="auto"/>
        </w:rPr>
        <w:t>release all or substantially all of the value of the Guaranty without the written consent of each Lender, except to the extent the release of any Subsidiary from the Guaranty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1" w:name="page332"/>
    <w:bookmarkEnd w:id="331"/>
    <w:p>
      <w:pPr>
        <w:ind w:left="660"/>
        <w:spacing w:after="0" w:line="260" w:lineRule="auto"/>
        <w:rPr>
          <w:sz w:val="20"/>
          <w:szCs w:val="20"/>
          <w:color w:val="auto"/>
        </w:rPr>
      </w:pPr>
      <w:r>
        <w:rPr>
          <w:rFonts w:ascii="Arial" w:cs="Arial" w:eastAsia="Arial" w:hAnsi="Arial"/>
          <w:sz w:val="20"/>
          <w:szCs w:val="20"/>
          <w:color w:val="auto"/>
        </w:rPr>
        <w:t xml:space="preserve">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77" w:lineRule="exact"/>
        <w:rPr>
          <w:sz w:val="20"/>
          <w:szCs w:val="20"/>
          <w:color w:val="auto"/>
        </w:rPr>
      </w:pPr>
    </w:p>
    <w:p>
      <w:pPr>
        <w:jc w:val="both"/>
        <w:ind w:left="660" w:firstLine="644"/>
        <w:spacing w:after="0" w:line="282" w:lineRule="auto"/>
        <w:tabs>
          <w:tab w:leader="none" w:pos="195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 subordinate, or enter into any amendment, waiver or consent having the effect of subordinating, the Obligations to any other Indebtedness or other obligation, (ii) subordinate, or enter into any amendment, waiver or consent having the effect of subordinating, the Liens securing the Secured Obligations to Liens securing any other Indebtedness or other obligation, in each case, without the written consent of each Lender; or</w:t>
      </w:r>
    </w:p>
    <w:p>
      <w:pPr>
        <w:spacing w:after="0" w:line="161" w:lineRule="exact"/>
        <w:rPr>
          <w:rFonts w:ascii="Arial" w:cs="Arial" w:eastAsia="Arial" w:hAnsi="Arial"/>
          <w:sz w:val="18"/>
          <w:szCs w:val="18"/>
          <w:color w:val="auto"/>
        </w:rPr>
      </w:pPr>
    </w:p>
    <w:p>
      <w:pPr>
        <w:ind w:left="660" w:firstLine="644"/>
        <w:spacing w:after="0" w:line="287" w:lineRule="auto"/>
        <w:tabs>
          <w:tab w:leader="none" w:pos="1956" w:val="left"/>
        </w:tabs>
        <w:numPr>
          <w:ilvl w:val="0"/>
          <w:numId w:val="331"/>
        </w:numPr>
        <w:rPr>
          <w:rFonts w:ascii="Arial" w:cs="Arial" w:eastAsia="Arial" w:hAnsi="Arial"/>
          <w:sz w:val="19"/>
          <w:szCs w:val="19"/>
          <w:color w:val="auto"/>
        </w:rPr>
      </w:pPr>
      <w:r>
        <w:rPr>
          <w:rFonts w:ascii="Arial" w:cs="Arial" w:eastAsia="Arial" w:hAnsi="Arial"/>
          <w:sz w:val="19"/>
          <w:szCs w:val="19"/>
          <w:color w:val="auto"/>
        </w:rPr>
        <w:t>release the Borrower or permit the Borrower to assign or transfer any of its rights or obligations under this Agreement or the other Loan Documents without the written consent of each Lender;</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anything herein to the contrary: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(v)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any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(vii) the Required Lenders shall determine whether or not to allow a Loan Party to use cash collateral in the context of a bankruptcy or insolvency proceeding and such determination shall be binding on all of the Lenders; (viii) in order to implement any Incremental Facility in accordance with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this Agreement and any other Loan Document may be amended as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 (ix) this Agreement may be amended (or amended and restated) with the written consent of the Required Lenders, the Administrative Agent, the Borrower, the other Loan Parties and the relevant lenders providing such additional credit facilities to add one or more additional credit facilities to this Agreement, to permit the extensions of credit from time to time outstanding hereunder and the accrued interest and fees in respect thereof to share ratably in the benefits of this Agreement and the other Loan Documents with the Term Loans and the Revolving Loans and the accrued interest and fees in respect thereof and to include appropriately the Lenders holding such credit facilities in any determination of the Required Lenders; (x) if following the Closing Date, the Administrative Agent and the Borrower shall have jointly identified an inconsistency, obvious error or omission, in each case, of a technical or immaterial nature,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 (xi) this Agreement may be amended (or amended and restated) without the consent of any Lender (but with the consent of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2" w:name="page333"/>
    <w:bookmarkEnd w:id="332"/>
    <w:p>
      <w:pPr>
        <w:jc w:val="both"/>
        <w:spacing w:after="0" w:line="257" w:lineRule="auto"/>
        <w:rPr>
          <w:sz w:val="20"/>
          <w:szCs w:val="20"/>
          <w:color w:val="auto"/>
        </w:rPr>
      </w:pPr>
      <w:r>
        <w:rPr>
          <w:rFonts w:ascii="Arial" w:cs="Arial" w:eastAsia="Arial" w:hAnsi="Arial"/>
          <w:sz w:val="19"/>
          <w:szCs w:val="19"/>
          <w:color w:val="auto"/>
        </w:rPr>
        <w:t xml:space="preserve">Administrative Agent) if, upon giving effect to such amendment (or such amendment and restatement), such Lender shall no longer be a party to this Agreement (as so amended (or amended and restated)), the Commitments of such Lender shall have terminated, such Lender shall have no other commitment or other obligations hereunder and such Lender shall have been paid in full all principal, interest and other amounts owing to it or accrued for its account under this Agreement and the other Loan Documents; (xii) this Agreement or any other Loan Document may be amended as set forth in </w:t>
      </w:r>
      <w:r>
        <w:rPr>
          <w:rFonts w:ascii="Arial" w:cs="Arial" w:eastAsia="Arial" w:hAnsi="Arial"/>
          <w:sz w:val="19"/>
          <w:szCs w:val="19"/>
          <w:u w:val="single" w:color="auto"/>
          <w:color w:val="auto"/>
        </w:rPr>
        <w:t>Section 3.03</w:t>
      </w:r>
      <w:r>
        <w:rPr>
          <w:rFonts w:ascii="Arial" w:cs="Arial" w:eastAsia="Arial" w:hAnsi="Arial"/>
          <w:sz w:val="19"/>
          <w:szCs w:val="19"/>
          <w:color w:val="auto"/>
        </w:rPr>
        <w:t>, including in order to implement any LIBOR Successor Rate and/or any LIBOR Successor Rate Conforming Changes; (xiii) the L/C Commitment of any L/C Issuer may be modified from time to time by agreement between such L/C Issuer and the Borrower and notified to the Administrative Agent.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Section 11.02(b)</w:t>
      </w:r>
      <w:r>
        <w:rPr>
          <w:rFonts w:ascii="Arial" w:cs="Arial" w:eastAsia="Arial" w:hAnsi="Arial"/>
          <w:sz w:val="20"/>
          <w:szCs w:val="20"/>
          <w:color w:val="auto"/>
        </w:rPr>
        <w:t>),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9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332"/>
        </w:numPr>
        <w:rPr>
          <w:rFonts w:ascii="Arial" w:cs="Arial" w:eastAsia="Arial" w:hAnsi="Arial"/>
          <w:sz w:val="20"/>
          <w:szCs w:val="20"/>
          <w:color w:val="auto"/>
        </w:rPr>
      </w:pPr>
      <w:r>
        <w:rPr>
          <w:rFonts w:ascii="Arial" w:cs="Arial" w:eastAsia="Arial" w:hAnsi="Arial"/>
          <w:sz w:val="20"/>
          <w:szCs w:val="20"/>
          <w:color w:val="auto"/>
        </w:rPr>
        <w:t xml:space="preserve">if to the Borrower or any other Loan Party, the Administrative Agent, Bank of America in its capacity as an L/C Issuer, or the Swingline Lender, to the address, fax number, e-mail address or telephone number specified for such Person on </w:t>
      </w:r>
      <w:r>
        <w:rPr>
          <w:rFonts w:ascii="Arial" w:cs="Arial" w:eastAsia="Arial" w:hAnsi="Arial"/>
          <w:sz w:val="20"/>
          <w:szCs w:val="20"/>
          <w:u w:val="single" w:color="auto"/>
          <w:color w:val="auto"/>
        </w:rPr>
        <w:t>Schedule 1.01(a)</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1300" w:firstLine="652"/>
        <w:spacing w:after="0" w:line="244" w:lineRule="auto"/>
        <w:tabs>
          <w:tab w:leader="none" w:pos="2596" w:val="left"/>
        </w:tabs>
        <w:numPr>
          <w:ilvl w:val="1"/>
          <w:numId w:val="332"/>
        </w:numPr>
        <w:rPr>
          <w:rFonts w:ascii="Arial" w:cs="Arial" w:eastAsia="Arial" w:hAnsi="Arial"/>
          <w:sz w:val="20"/>
          <w:szCs w:val="20"/>
          <w:color w:val="auto"/>
        </w:rPr>
      </w:pPr>
      <w:r>
        <w:rPr>
          <w:rFonts w:ascii="Arial" w:cs="Arial" w:eastAsia="Arial" w:hAnsi="Arial"/>
          <w:sz w:val="20"/>
          <w:szCs w:val="20"/>
          <w:color w:val="auto"/>
        </w:rPr>
        <w:t>if to any other Lender (including in such Lender’s capacity as an L/C Issuer),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Section 11.02(b)</w:t>
      </w:r>
      <w:r>
        <w:rPr>
          <w:rFonts w:ascii="Arial" w:cs="Arial" w:eastAsia="Arial" w:hAnsi="Arial"/>
          <w:sz w:val="19"/>
          <w:szCs w:val="19"/>
          <w:color w:val="auto"/>
        </w:rPr>
        <w:t xml:space="preserve"> shall be effective as provided in </w:t>
      </w:r>
      <w:r>
        <w:rPr>
          <w:rFonts w:ascii="Arial" w:cs="Arial" w:eastAsia="Arial" w:hAnsi="Arial"/>
          <w:sz w:val="19"/>
          <w:szCs w:val="19"/>
          <w:u w:val="single" w:color="auto"/>
          <w:color w:val="auto"/>
        </w:rPr>
        <w:t>Section 11.02(b)</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4"/>
        <w:spacing w:after="0" w:line="271" w:lineRule="auto"/>
        <w:tabs>
          <w:tab w:leader="none" w:pos="1956"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Administrative Agent, the Lenders, the Swingline Lender and the L/C Issuers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notices to any Lender, the Swingline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the Swingline Lender or such L/C Issuer, as applicable, has notified the Administrative Agent that it is incapable of receiving notices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by electronic communication. The Administrative Agent, the Swingline Lender, any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3" w:name="page334"/>
    <w:bookmarkEnd w:id="333"/>
    <w:p>
      <w:pPr>
        <w:jc w:val="both"/>
        <w:ind w:left="200" w:firstLine="648"/>
        <w:spacing w:after="0" w:line="255"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90" w:lineRule="exact"/>
        <w:rPr>
          <w:sz w:val="20"/>
          <w:szCs w:val="20"/>
          <w:color w:val="auto"/>
        </w:rPr>
      </w:pPr>
    </w:p>
    <w:p>
      <w:pPr>
        <w:jc w:val="both"/>
        <w:ind w:left="200" w:firstLine="644"/>
        <w:spacing w:after="0" w:line="254" w:lineRule="auto"/>
        <w:tabs>
          <w:tab w:leader="none" w:pos="1496" w:val="left"/>
        </w:tabs>
        <w:numPr>
          <w:ilvl w:val="0"/>
          <w:numId w:val="334"/>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Borrower, any Lender, any L/C Issuer or any other Person for losses, claims, damages, liabilities or expenses of any kind (whether in tort, contract or otherwise) arising out of the Borrower’s, any other Loan Party’s or the Administrative Agent’s transmission of Borrower Materials or notices through the Platform, any other electronic platform or electronic messaging service, or through the Internet, except to the extent such losses, claims, damages, liabilities or expenses are determined by a court of competent jurisdiction by final and nonappealable judgment to have resulted from the gross negligence or willful misconduct of such Agent Party.</w:t>
      </w:r>
    </w:p>
    <w:p>
      <w:pPr>
        <w:spacing w:after="0" w:line="190" w:lineRule="exact"/>
        <w:rPr>
          <w:rFonts w:ascii="Arial" w:cs="Arial" w:eastAsia="Arial" w:hAnsi="Arial"/>
          <w:sz w:val="19"/>
          <w:szCs w:val="19"/>
          <w:color w:val="auto"/>
        </w:rPr>
      </w:pPr>
    </w:p>
    <w:p>
      <w:pPr>
        <w:jc w:val="both"/>
        <w:ind w:left="200" w:firstLine="644"/>
        <w:spacing w:after="0" w:line="254" w:lineRule="auto"/>
        <w:tabs>
          <w:tab w:leader="none" w:pos="1496" w:val="left"/>
        </w:tabs>
        <w:numPr>
          <w:ilvl w:val="0"/>
          <w:numId w:val="334"/>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xml:space="preserve"> Each of the Borrower, the Administrative Agent, each L/C Issuer and the Swingline Lender may change its address, fax number or telephone number or e-mail address for notices and other communications hereunder by notice to the other parties hereto. Each Lender may change its address, fax number or telephone number or e-mail address for notices and other communications hereunder by notice to the Borrower, the Administrative Agent, the L/C Issuers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34" w:name="page335"/>
    <w:bookmarkEnd w:id="334"/>
    <w:p>
      <w:pPr>
        <w:jc w:val="both"/>
        <w:ind w:left="660" w:firstLine="644"/>
        <w:spacing w:after="0" w:line="271" w:lineRule="auto"/>
        <w:tabs>
          <w:tab w:leader="none" w:pos="195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notices, Loan Notices, Letter of Credit Applications, Notices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prohibit (a) the Administrative Agent from exercising on its own behalf the rights and remedies that inure to its benefit (solely in its capacity as Administrative Agent) hereunder and under the other Loan Documents, (b) any L/C Issuer or the Swingline Lender from exercising the rights and remedies that inure to its benefit (solely in its capacity as an L/C Issuer or the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336"/>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Loan Parties shall pay (i) all reasonable and documented out-of-pocket expenses incurred by the Administrative Agent and its Affiliates (limited, in the case of legal counsel, to the reasonable and documented fees, charges and disbursements of one primary counsel to the Administrative Agent and, if reasonably necessary, one local counsel for the Administrative Agent in each relevant jurisdiction and one specialty counsel for the Administrative Agent in each relevant specialty (and, solely in the case of an actual or potential conflict of interest of any of the foregoing counsel, one additional primary, local or specialty counsel,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5" w:name="page336"/>
    <w:bookmarkEnd w:id="335"/>
    <w:p>
      <w:pPr>
        <w:jc w:val="both"/>
        <w:ind w:left="200"/>
        <w:spacing w:after="0" w:line="255" w:lineRule="auto"/>
        <w:rPr>
          <w:sz w:val="20"/>
          <w:szCs w:val="20"/>
          <w:color w:val="auto"/>
        </w:rPr>
      </w:pPr>
      <w:r>
        <w:rPr>
          <w:rFonts w:ascii="Arial" w:cs="Arial" w:eastAsia="Arial" w:hAnsi="Arial"/>
          <w:sz w:val="19"/>
          <w:szCs w:val="19"/>
          <w:color w:val="auto"/>
        </w:rPr>
        <w:t xml:space="preserve">be, to the affected persons similarly situated and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reinstatement or extension of any Letter of Credit or any demand for payment thereunder, and (iii) all documented out-of-pocket expenses incurred by the Administrative Agent, any Lender or any L/C Issuer (including the fees, charges and disbursements of counsel for the Administrative Agent, any Lender, or any L/C Issuer), in connection with the enforcement or protection of its rights (A) in connection with this Agreement and the other Loan Documents, including its rights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84" w:lineRule="exact"/>
        <w:rPr>
          <w:sz w:val="20"/>
          <w:szCs w:val="20"/>
          <w:color w:val="auto"/>
        </w:rPr>
      </w:pPr>
    </w:p>
    <w:p>
      <w:pPr>
        <w:jc w:val="both"/>
        <w:ind w:left="200" w:firstLine="644"/>
        <w:spacing w:after="0" w:line="266" w:lineRule="auto"/>
        <w:tabs>
          <w:tab w:leader="none" w:pos="1496"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each Arranger, each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reasonable fees, charges and disbursements of any counsel for any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the reasonable fees, charges and disbursements of counsel, such indemnification shall be limited to the reasonable and documented out-of-pocket fees, disbursements and other charges of one primary counsel for all Indemnitees, taken as a whole, and, if reasonably necessary, a single local counsel for all Indemnitees, taken as a whole, in each relevant jurisdiction and a single specialty counsel for all Indemnitees, taken as a whole, with respect to each relevant specialty, and in the case of an actual or perceived conflict of interest, one additional primary, local or specialty counsel, as the case may be to the affected Indemnitees similarly situated and taken as a whole))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b w:val="1"/>
          <w:bCs w:val="1"/>
          <w:color w:val="auto"/>
        </w:rPr>
        <w:t>IN ALL CASES, WHETHER OR NOT CAUSED BY OR</w:t>
      </w:r>
    </w:p>
    <w:p>
      <w:pPr>
        <w:spacing w:after="0" w:line="18" w:lineRule="exact"/>
        <w:rPr>
          <w:rFonts w:ascii="Arial" w:cs="Arial" w:eastAsia="Arial" w:hAnsi="Arial"/>
          <w:sz w:val="18"/>
          <w:szCs w:val="18"/>
          <w:color w:val="auto"/>
        </w:rPr>
      </w:pPr>
    </w:p>
    <w:p>
      <w:pPr>
        <w:jc w:val="both"/>
        <w:ind w:left="200"/>
        <w:spacing w:after="0" w:line="256" w:lineRule="auto"/>
        <w:rPr>
          <w:rFonts w:ascii="Arial" w:cs="Arial" w:eastAsia="Arial" w:hAnsi="Arial"/>
          <w:sz w:val="18"/>
          <w:szCs w:val="18"/>
          <w:color w:val="auto"/>
        </w:rPr>
      </w:pPr>
      <w:r>
        <w:rPr>
          <w:rFonts w:ascii="Arial" w:cs="Arial" w:eastAsia="Arial" w:hAnsi="Arial"/>
          <w:sz w:val="19"/>
          <w:szCs w:val="19"/>
          <w:b w:val="1"/>
          <w:bCs w:val="1"/>
          <w:color w:val="auto"/>
        </w:rPr>
        <w:t>ARISING, IN WHOLE OR IN PART, OUT OF THE COMPARATIVE, CONTRIBUTORY OR SOLE NEGLIGENCE OF THE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such indemnity shall not, as to any Indemnitee,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9"/>
          <w:szCs w:val="19"/>
          <w:u w:val="single" w:color="auto"/>
          <w:color w:val="auto"/>
        </w:rPr>
        <w:t>Section 3.01(d)</w:t>
      </w:r>
      <w:r>
        <w:rPr>
          <w:rFonts w:ascii="Arial" w:cs="Arial" w:eastAsia="Arial" w:hAnsi="Arial"/>
          <w:sz w:val="19"/>
          <w:szCs w:val="19"/>
          <w:color w:val="auto"/>
        </w:rPr>
        <w: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36" w:name="page337"/>
    <w:bookmarkEnd w:id="336"/>
    <w:p>
      <w:pPr>
        <w:ind w:left="660" w:right="20"/>
        <w:spacing w:after="0" w:line="260" w:lineRule="auto"/>
        <w:rPr>
          <w:sz w:val="20"/>
          <w:szCs w:val="20"/>
          <w:color w:val="auto"/>
        </w:rPr>
      </w:pPr>
      <w:r>
        <w:rPr>
          <w:rFonts w:ascii="Arial" w:cs="Arial" w:eastAsia="Arial" w:hAnsi="Arial"/>
          <w:sz w:val="20"/>
          <w:szCs w:val="20"/>
          <w:u w:val="single" w:color="auto"/>
          <w:color w:val="auto"/>
        </w:rPr>
        <w:t>Section 11.04(b)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77" w:lineRule="exact"/>
        <w:rPr>
          <w:sz w:val="20"/>
          <w:szCs w:val="20"/>
          <w:color w:val="auto"/>
        </w:rPr>
      </w:pPr>
    </w:p>
    <w:p>
      <w:pPr>
        <w:jc w:val="both"/>
        <w:ind w:left="660" w:firstLine="644"/>
        <w:spacing w:after="0" w:line="269" w:lineRule="auto"/>
        <w:tabs>
          <w:tab w:leader="none" w:pos="1956"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Loan Parties for any reason fail to indefeasibly pay any amount required under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to be paid by it to the Administrative Agent (or any sub-agent thereof), any L/C Issuer, the Swingline Lender or any Related Party of any of the foregoing, each Lender severally agrees to pay to the Administrative Agent (or any such sub-agent), such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unreimbursed expense or indemnified loss, claim, damage, liability or related expense, as the case may be, was incurred by or asserted against the Administrative Agent (or any such sub-agent), such L/C Issuer or the Swingline Lender in its capacity as such, or against any Related Party of any of the foregoing acting for the Administrative Agent (or any such sub-agent), such L/C Issuer or the Swingline Lender in connection with such capacity. The obligations of the Lenders under this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60" w:firstLine="644"/>
        <w:spacing w:after="0" w:line="255" w:lineRule="auto"/>
        <w:tabs>
          <w:tab w:leader="none" w:pos="1956" w:val="left"/>
        </w:tabs>
        <w:numPr>
          <w:ilvl w:val="0"/>
          <w:numId w:val="338"/>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11.04(b)</w:t>
      </w:r>
      <w:r>
        <w:rPr>
          <w:rFonts w:ascii="Arial" w:cs="Arial" w:eastAsia="Arial" w:hAnsi="Arial"/>
          <w:sz w:val="19"/>
          <w:szCs w:val="19"/>
          <w:color w:val="auto"/>
        </w:rPr>
        <w:t xml:space="preser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4" w:lineRule="exact"/>
        <w:rPr>
          <w:rFonts w:ascii="Arial" w:cs="Arial" w:eastAsia="Arial" w:hAnsi="Arial"/>
          <w:sz w:val="19"/>
          <w:szCs w:val="19"/>
          <w:color w:val="auto"/>
        </w:rPr>
      </w:pPr>
    </w:p>
    <w:p>
      <w:pPr>
        <w:ind w:left="660" w:right="20" w:firstLine="644"/>
        <w:spacing w:after="0" w:line="260" w:lineRule="auto"/>
        <w:tabs>
          <w:tab w:leader="none" w:pos="1956"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shall be payable not later than ten (10) Business Days after demand therefor.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any L/C Issuer and the Swingline Lender, the replacement of any Lender, and the Facility Termination Date.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7" w:name="page338"/>
    <w:bookmarkEnd w:id="337"/>
    <w:p>
      <w:pPr>
        <w:jc w:val="both"/>
        <w:spacing w:after="0" w:line="274" w:lineRule="auto"/>
        <w:rPr>
          <w:sz w:val="20"/>
          <w:szCs w:val="20"/>
          <w:color w:val="auto"/>
        </w:rPr>
      </w:pPr>
      <w:r>
        <w:rPr>
          <w:rFonts w:ascii="Arial" w:cs="Arial" w:eastAsia="Arial" w:hAnsi="Arial"/>
          <w:sz w:val="18"/>
          <w:szCs w:val="18"/>
          <w:color w:val="auto"/>
        </w:rPr>
        <w:t xml:space="preserve">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55" w:lineRule="auto"/>
        <w:tabs>
          <w:tab w:leader="none" w:pos="1956" w:val="left"/>
        </w:tabs>
        <w:numPr>
          <w:ilvl w:val="0"/>
          <w:numId w:val="339"/>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81" w:lineRule="exact"/>
        <w:rPr>
          <w:rFonts w:ascii="Arial" w:cs="Arial" w:eastAsia="Arial" w:hAnsi="Arial"/>
          <w:sz w:val="19"/>
          <w:szCs w:val="19"/>
          <w:color w:val="auto"/>
        </w:rPr>
      </w:pPr>
    </w:p>
    <w:p>
      <w:pPr>
        <w:jc w:val="both"/>
        <w:ind w:left="660" w:firstLine="644"/>
        <w:spacing w:after="0" w:line="244" w:lineRule="auto"/>
        <w:tabs>
          <w:tab w:leader="none" w:pos="1956"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participations in L/C Obligations and in Swingline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any such assignment shall be subject to the following conditions:</w:t>
      </w:r>
    </w:p>
    <w:p>
      <w:pPr>
        <w:spacing w:after="0" w:line="194" w:lineRule="exact"/>
        <w:rPr>
          <w:rFonts w:ascii="Arial" w:cs="Arial" w:eastAsia="Arial" w:hAnsi="Arial"/>
          <w:sz w:val="20"/>
          <w:szCs w:val="20"/>
          <w:color w:val="auto"/>
        </w:rPr>
      </w:pPr>
    </w:p>
    <w:p>
      <w:pPr>
        <w:ind w:left="2600" w:hanging="648"/>
        <w:spacing w:after="0"/>
        <w:tabs>
          <w:tab w:leader="none" w:pos="2600" w:val="left"/>
        </w:tabs>
        <w:numPr>
          <w:ilvl w:val="1"/>
          <w:numId w:val="33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960" w:firstLine="640"/>
        <w:spacing w:after="0" w:line="259" w:lineRule="auto"/>
        <w:tabs>
          <w:tab w:leader="none" w:pos="3256" w:val="left"/>
        </w:tabs>
        <w:numPr>
          <w:ilvl w:val="2"/>
          <w:numId w:val="339"/>
        </w:numPr>
        <w:rPr>
          <w:rFonts w:ascii="Arial" w:cs="Arial" w:eastAsia="Arial" w:hAnsi="Arial"/>
          <w:sz w:val="19"/>
          <w:szCs w:val="19"/>
          <w:color w:val="auto"/>
        </w:rPr>
      </w:pPr>
      <w:r>
        <w:rPr>
          <w:rFonts w:ascii="Arial" w:cs="Arial" w:eastAsia="Arial" w:hAnsi="Arial"/>
          <w:sz w:val="19"/>
          <w:szCs w:val="19"/>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(i)(B)</w:t>
      </w:r>
      <w:r>
        <w:rPr>
          <w:rFonts w:ascii="Arial" w:cs="Arial" w:eastAsia="Arial" w:hAnsi="Arial"/>
          <w:sz w:val="19"/>
          <w:szCs w:val="19"/>
          <w:color w:val="auto"/>
        </w:rPr>
        <w:t xml:space="preserve"> in the aggregate or in the case of an assignment to a Lender, an Affiliate of a Lender or an Approved Fund, no minimum amount need be assigned.</w:t>
      </w:r>
    </w:p>
    <w:p>
      <w:pPr>
        <w:spacing w:after="0" w:line="178" w:lineRule="exact"/>
        <w:rPr>
          <w:rFonts w:ascii="Arial" w:cs="Arial" w:eastAsia="Arial" w:hAnsi="Arial"/>
          <w:sz w:val="19"/>
          <w:szCs w:val="19"/>
          <w:color w:val="auto"/>
        </w:rPr>
      </w:pPr>
    </w:p>
    <w:p>
      <w:pPr>
        <w:jc w:val="both"/>
        <w:ind w:left="1960" w:firstLine="640"/>
        <w:spacing w:after="0" w:line="257" w:lineRule="auto"/>
        <w:tabs>
          <w:tab w:leader="none" w:pos="3256" w:val="left"/>
        </w:tabs>
        <w:numPr>
          <w:ilvl w:val="2"/>
          <w:numId w:val="339"/>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Section 11.06(b)(i)(A)</w:t>
      </w:r>
      <w:r>
        <w:rPr>
          <w:rFonts w:ascii="Arial" w:cs="Arial" w:eastAsia="Arial" w:hAnsi="Arial"/>
          <w:sz w:val="19"/>
          <w:szCs w:val="19"/>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38" w:name="page339"/>
    <w:bookmarkEnd w:id="338"/>
    <w:p>
      <w:pPr>
        <w:jc w:val="both"/>
        <w:ind w:left="1500"/>
        <w:spacing w:after="0" w:line="269" w:lineRule="auto"/>
        <w:rPr>
          <w:sz w:val="20"/>
          <w:szCs w:val="20"/>
          <w:color w:val="auto"/>
        </w:rPr>
      </w:pPr>
      <w:r>
        <w:rPr>
          <w:rFonts w:ascii="Arial" w:cs="Arial" w:eastAsia="Arial" w:hAnsi="Arial"/>
          <w:sz w:val="19"/>
          <w:szCs w:val="19"/>
          <w:color w:val="auto"/>
        </w:rPr>
        <w:t>$1,000,000, in the case of any assignment in respect of any Term Facility, unless each of the Administrative Agent and, so long as no Event of Default has occurred and is continuing, the Borrower otherwise consents (each such consent not to be unreasonably withheld or delayed).</w:t>
      </w:r>
    </w:p>
    <w:p>
      <w:pPr>
        <w:spacing w:after="0" w:line="170" w:lineRule="exact"/>
        <w:rPr>
          <w:sz w:val="20"/>
          <w:szCs w:val="20"/>
          <w:color w:val="auto"/>
        </w:rPr>
      </w:pPr>
    </w:p>
    <w:p>
      <w:pPr>
        <w:jc w:val="both"/>
        <w:ind w:left="840" w:firstLine="652"/>
        <w:spacing w:after="0" w:line="243" w:lineRule="auto"/>
        <w:tabs>
          <w:tab w:leader="none" w:pos="2136" w:val="left"/>
        </w:tabs>
        <w:numPr>
          <w:ilvl w:val="0"/>
          <w:numId w:val="340"/>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11.06(b)(ii)</w:t>
      </w:r>
      <w:r>
        <w:rPr>
          <w:rFonts w:ascii="Arial" w:cs="Arial" w:eastAsia="Arial" w:hAnsi="Arial"/>
          <w:sz w:val="20"/>
          <w:szCs w:val="20"/>
          <w:color w:val="auto"/>
        </w:rPr>
        <w:t xml:space="preserve"> shall not (A) apply to the Swingline Lender’s rights and obligations in respect of Swingline Loans, or (B) prohibit any Lender from assigning all or a portion of its rights and obligations among separate Facilities on a non-pro rata basis.</w:t>
      </w:r>
    </w:p>
    <w:p>
      <w:pPr>
        <w:spacing w:after="0" w:line="195" w:lineRule="exact"/>
        <w:rPr>
          <w:rFonts w:ascii="Arial" w:cs="Arial" w:eastAsia="Arial" w:hAnsi="Arial"/>
          <w:sz w:val="20"/>
          <w:szCs w:val="20"/>
          <w:color w:val="auto"/>
        </w:rPr>
      </w:pPr>
    </w:p>
    <w:p>
      <w:pPr>
        <w:ind w:left="840" w:firstLine="652"/>
        <w:spacing w:after="0" w:line="260" w:lineRule="auto"/>
        <w:tabs>
          <w:tab w:leader="none" w:pos="2136" w:val="left"/>
        </w:tabs>
        <w:numPr>
          <w:ilvl w:val="0"/>
          <w:numId w:val="340"/>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Section 11.06(b)(i)(B)</w:t>
      </w:r>
      <w:r>
        <w:rPr>
          <w:rFonts w:ascii="Arial" w:cs="Arial" w:eastAsia="Arial" w:hAnsi="Arial"/>
          <w:sz w:val="20"/>
          <w:szCs w:val="20"/>
          <w:color w:val="auto"/>
        </w:rPr>
        <w:t xml:space="preserve"> and, in addition:</w:t>
      </w:r>
    </w:p>
    <w:p>
      <w:pPr>
        <w:spacing w:after="0" w:line="176" w:lineRule="exact"/>
        <w:rPr>
          <w:rFonts w:ascii="Arial" w:cs="Arial" w:eastAsia="Arial" w:hAnsi="Arial"/>
          <w:sz w:val="20"/>
          <w:szCs w:val="20"/>
          <w:color w:val="auto"/>
        </w:rPr>
      </w:pPr>
    </w:p>
    <w:p>
      <w:pPr>
        <w:jc w:val="both"/>
        <w:ind w:left="1500" w:firstLine="640"/>
        <w:spacing w:after="0" w:line="259" w:lineRule="auto"/>
        <w:tabs>
          <w:tab w:leader="none" w:pos="2796" w:val="left"/>
        </w:tabs>
        <w:numPr>
          <w:ilvl w:val="1"/>
          <w:numId w:val="340"/>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Borrower shall be deemed to have consented to any such assignment unless it shall object thereto by written notice to the Administrative Agent within five (5) Business Days after having received written notice thereof;</w:t>
      </w:r>
    </w:p>
    <w:p>
      <w:pPr>
        <w:spacing w:after="0" w:line="178" w:lineRule="exact"/>
        <w:rPr>
          <w:rFonts w:ascii="Arial" w:cs="Arial" w:eastAsia="Arial" w:hAnsi="Arial"/>
          <w:sz w:val="19"/>
          <w:szCs w:val="19"/>
          <w:color w:val="auto"/>
        </w:rPr>
      </w:pPr>
    </w:p>
    <w:p>
      <w:pPr>
        <w:jc w:val="both"/>
        <w:ind w:left="1500" w:firstLine="640"/>
        <w:spacing w:after="0" w:line="278" w:lineRule="auto"/>
        <w:tabs>
          <w:tab w:leader="none" w:pos="279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any Revolving Commitment if such assignment is to a Person that is not a Lender with a Revolving Commitment, an Affiliate of such Lender or an Approved Fund with respect to such Lender, or (2) any Term Loan to a Person that is not a Lender, an Affiliate of a Lender or an Approved Fund; and</w:t>
      </w:r>
    </w:p>
    <w:p>
      <w:pPr>
        <w:spacing w:after="0" w:line="164" w:lineRule="exact"/>
        <w:rPr>
          <w:rFonts w:ascii="Arial" w:cs="Arial" w:eastAsia="Arial" w:hAnsi="Arial"/>
          <w:sz w:val="18"/>
          <w:szCs w:val="18"/>
          <w:color w:val="auto"/>
        </w:rPr>
      </w:pPr>
    </w:p>
    <w:p>
      <w:pPr>
        <w:ind w:left="1500" w:right="20" w:firstLine="640"/>
        <w:spacing w:after="0" w:line="260" w:lineRule="auto"/>
        <w:tabs>
          <w:tab w:leader="none" w:pos="2796" w:val="left"/>
        </w:tabs>
        <w:numPr>
          <w:ilvl w:val="1"/>
          <w:numId w:val="340"/>
        </w:numPr>
        <w:rPr>
          <w:rFonts w:ascii="Arial" w:cs="Arial" w:eastAsia="Arial" w:hAnsi="Arial"/>
          <w:sz w:val="20"/>
          <w:szCs w:val="20"/>
          <w:color w:val="auto"/>
        </w:rPr>
      </w:pPr>
      <w:r>
        <w:rPr>
          <w:rFonts w:ascii="Arial" w:cs="Arial" w:eastAsia="Arial" w:hAnsi="Arial"/>
          <w:sz w:val="20"/>
          <w:szCs w:val="20"/>
          <w:color w:val="auto"/>
        </w:rPr>
        <w:t>the consent of each L/C Issuer and the Swingline Lender shall be required for any assignment in respect of the Revolving Facility.</w:t>
      </w:r>
    </w:p>
    <w:p>
      <w:pPr>
        <w:spacing w:after="0" w:line="176" w:lineRule="exact"/>
        <w:rPr>
          <w:rFonts w:ascii="Arial" w:cs="Arial" w:eastAsia="Arial" w:hAnsi="Arial"/>
          <w:sz w:val="20"/>
          <w:szCs w:val="20"/>
          <w:color w:val="auto"/>
        </w:rPr>
      </w:pPr>
    </w:p>
    <w:p>
      <w:pPr>
        <w:jc w:val="both"/>
        <w:ind w:left="840" w:firstLine="652"/>
        <w:spacing w:after="0" w:line="278" w:lineRule="auto"/>
        <w:tabs>
          <w:tab w:leader="none" w:pos="213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4" w:lineRule="exact"/>
        <w:rPr>
          <w:rFonts w:ascii="Arial" w:cs="Arial" w:eastAsia="Arial" w:hAnsi="Arial"/>
          <w:sz w:val="18"/>
          <w:szCs w:val="18"/>
          <w:color w:val="auto"/>
        </w:rPr>
      </w:pPr>
    </w:p>
    <w:p>
      <w:pPr>
        <w:jc w:val="both"/>
        <w:ind w:left="840" w:firstLine="652"/>
        <w:spacing w:after="0" w:line="278" w:lineRule="auto"/>
        <w:tabs>
          <w:tab w:leader="none" w:pos="213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by or for the primary benefit of one or more natural Persons).</w:t>
      </w:r>
    </w:p>
    <w:p>
      <w:pPr>
        <w:spacing w:after="0" w:line="164" w:lineRule="exact"/>
        <w:rPr>
          <w:rFonts w:ascii="Arial" w:cs="Arial" w:eastAsia="Arial" w:hAnsi="Arial"/>
          <w:sz w:val="18"/>
          <w:szCs w:val="18"/>
          <w:color w:val="auto"/>
        </w:rPr>
      </w:pPr>
    </w:p>
    <w:p>
      <w:pPr>
        <w:jc w:val="both"/>
        <w:ind w:left="840" w:firstLine="652"/>
        <w:spacing w:after="0" w:line="250" w:lineRule="auto"/>
        <w:tabs>
          <w:tab w:leader="none" w:pos="2136" w:val="left"/>
        </w:tabs>
        <w:numPr>
          <w:ilvl w:val="0"/>
          <w:numId w:val="340"/>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 until, in addition to the other conditions thereto set forth herein, the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39" w:name="page340"/>
    <w:bookmarkEnd w:id="339"/>
    <w:p>
      <w:pPr>
        <w:jc w:val="both"/>
        <w:ind w:left="840"/>
        <w:spacing w:after="0" w:line="270" w:lineRule="auto"/>
        <w:rPr>
          <w:sz w:val="20"/>
          <w:szCs w:val="20"/>
          <w:color w:val="auto"/>
        </w:rPr>
      </w:pPr>
      <w:r>
        <w:rPr>
          <w:rFonts w:ascii="Arial" w:cs="Arial" w:eastAsia="Arial" w:hAnsi="Arial"/>
          <w:sz w:val="18"/>
          <w:szCs w:val="18"/>
          <w:color w:val="auto"/>
        </w:rPr>
        <w:t xml:space="preserve">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8"/>
          <w:szCs w:val="18"/>
          <w:u w:val="single" w:color="auto"/>
          <w:color w:val="auto"/>
        </w:rPr>
        <w:t>Section 11.06(b)(vi)</w:t>
      </w:r>
      <w:r>
        <w:rPr>
          <w:rFonts w:ascii="Arial" w:cs="Arial" w:eastAsia="Arial" w:hAnsi="Arial"/>
          <w:sz w:val="18"/>
          <w:szCs w:val="18"/>
          <w:color w:val="auto"/>
        </w:rPr>
        <w:t>, then the assignee of such interest shall be deemed to be a Defaulting Lender for all purposes of this Agreement until such compliance occurs.</w:t>
      </w:r>
    </w:p>
    <w:p>
      <w:pPr>
        <w:spacing w:after="0" w:line="172" w:lineRule="exact"/>
        <w:rPr>
          <w:sz w:val="20"/>
          <w:szCs w:val="20"/>
          <w:color w:val="auto"/>
        </w:rPr>
      </w:pPr>
    </w:p>
    <w:p>
      <w:pPr>
        <w:jc w:val="both"/>
        <w:ind w:left="200"/>
        <w:spacing w:after="0" w:line="269"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Section 11.06(c)</w:t>
      </w:r>
      <w:r>
        <w:rPr>
          <w:rFonts w:ascii="Arial" w:cs="Arial" w:eastAsia="Arial" w:hAnsi="Arial"/>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81" w:lineRule="exact"/>
        <w:rPr>
          <w:sz w:val="20"/>
          <w:szCs w:val="20"/>
          <w:color w:val="auto"/>
        </w:rPr>
      </w:pPr>
    </w:p>
    <w:p>
      <w:pPr>
        <w:jc w:val="both"/>
        <w:ind w:left="200" w:firstLine="644"/>
        <w:spacing w:after="0" w:line="255" w:lineRule="auto"/>
        <w:tabs>
          <w:tab w:leader="none" w:pos="1496" w:val="left"/>
        </w:tabs>
        <w:numPr>
          <w:ilvl w:val="0"/>
          <w:numId w:val="341"/>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89" w:lineRule="exact"/>
        <w:rPr>
          <w:rFonts w:ascii="Arial" w:cs="Arial" w:eastAsia="Arial" w:hAnsi="Arial"/>
          <w:sz w:val="19"/>
          <w:szCs w:val="19"/>
          <w:color w:val="auto"/>
        </w:rPr>
      </w:pPr>
    </w:p>
    <w:p>
      <w:pPr>
        <w:jc w:val="both"/>
        <w:ind w:left="200" w:firstLine="644"/>
        <w:spacing w:after="0" w:line="246" w:lineRule="auto"/>
        <w:tabs>
          <w:tab w:leader="none" w:pos="1496" w:val="left"/>
        </w:tabs>
        <w:numPr>
          <w:ilvl w:val="0"/>
          <w:numId w:val="341"/>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40" w:name="page341"/>
    <w:bookmarkEnd w:id="340"/>
    <w:p>
      <w:pPr>
        <w:jc w:val="both"/>
        <w:ind w:left="200"/>
        <w:spacing w:after="0" w:line="273" w:lineRule="auto"/>
        <w:rPr>
          <w:sz w:val="20"/>
          <w:szCs w:val="20"/>
          <w:color w:val="auto"/>
        </w:rPr>
      </w:pPr>
      <w:r>
        <w:rPr>
          <w:rFonts w:ascii="Arial" w:cs="Arial" w:eastAsia="Arial" w:hAnsi="Arial"/>
          <w:sz w:val="18"/>
          <w:szCs w:val="18"/>
          <w:color w:val="auto"/>
        </w:rPr>
        <w:t>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without regard to the existence of any participations.</w:t>
      </w:r>
    </w:p>
    <w:p>
      <w:pPr>
        <w:spacing w:after="0" w:line="168" w:lineRule="exact"/>
        <w:rPr>
          <w:sz w:val="20"/>
          <w:szCs w:val="20"/>
          <w:color w:val="auto"/>
        </w:rPr>
      </w:pPr>
    </w:p>
    <w:p>
      <w:pPr>
        <w:jc w:val="both"/>
        <w:ind w:left="200" w:firstLine="648"/>
        <w:spacing w:after="0" w:line="302"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firstLine="644"/>
        <w:spacing w:after="0" w:line="246" w:lineRule="auto"/>
        <w:tabs>
          <w:tab w:leader="none" w:pos="1496" w:val="left"/>
        </w:tabs>
        <w:numPr>
          <w:ilvl w:val="0"/>
          <w:numId w:val="34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 such pledge or assignment shall release such Lender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41" w:name="page342"/>
    <w:bookmarkEnd w:id="341"/>
    <w:p>
      <w:pPr>
        <w:jc w:val="center"/>
        <w:ind w:right="40"/>
        <w:spacing w:after="0"/>
        <w:rPr>
          <w:sz w:val="20"/>
          <w:szCs w:val="20"/>
          <w:color w:val="auto"/>
        </w:rPr>
      </w:pPr>
      <w:r>
        <w:rPr>
          <w:rFonts w:ascii="Arial" w:cs="Arial" w:eastAsia="Arial" w:hAnsi="Arial"/>
          <w:sz w:val="20"/>
          <w:szCs w:val="20"/>
          <w:color w:val="auto"/>
        </w:rPr>
        <w:t>any of its obligations hereunder or substitute any such pledgee or assignee for such Lender as a party hereto.</w:t>
      </w:r>
    </w:p>
    <w:p>
      <w:pPr>
        <w:spacing w:after="0" w:line="216" w:lineRule="exact"/>
        <w:rPr>
          <w:sz w:val="20"/>
          <w:szCs w:val="20"/>
          <w:color w:val="auto"/>
        </w:rPr>
      </w:pPr>
    </w:p>
    <w:p>
      <w:pPr>
        <w:jc w:val="both"/>
        <w:ind w:left="660" w:firstLine="644"/>
        <w:spacing w:after="0" w:line="268" w:lineRule="auto"/>
        <w:tabs>
          <w:tab w:leader="none" w:pos="1956"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Swingline Lender after Assignment</w:t>
      </w:r>
      <w:r>
        <w:rPr>
          <w:rFonts w:ascii="Arial" w:cs="Arial" w:eastAsia="Arial" w:hAnsi="Arial"/>
          <w:sz w:val="18"/>
          <w:szCs w:val="18"/>
          <w:color w:val="auto"/>
        </w:rPr>
        <w:t xml:space="preserve">. Notwithstanding anything to the contrary contained herein, if at any time any Lender assigns all of its Revolving Commitment and Revolving Loans pursuant to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such Lender may, (i) upon thirty (30) days’ notice to the Administrative Agent, the Borrower and the Lenders, resign as an L/C Issuer, and/or (ii) upon thirty (30) days’ notice to the Borrower, resign as the Swingline Lender. In the event of any such resignation as an L/C Issuer or the Swingline Lender, the Borrower shall be entitled to appoint from among the Lenders a successor L/C Issuer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failure by the Borrower to appoint any such successor shall affect the resignation of such Lender as an L/C Issuer or the Swingline Lender, as the case may be. If a Lender resigns as an L/C Issuer pursuant to this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it shall retain all the rights, powers, privileges and duties of an L/C Issuer hereunder with respect to all Letters of Credit issued by it outstanding as of the effective date of its resignation as an L/C Issuer and all L/C Obligations with respect thereto (including the right to require the Lenders to make Revolving Loans that are Base Rate Loans or fund risk participations in Unreimbursed Amounts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2.03(f)</w:t>
      </w:r>
      <w:r>
        <w:rPr>
          <w:rFonts w:ascii="Arial" w:cs="Arial" w:eastAsia="Arial" w:hAnsi="Arial"/>
          <w:sz w:val="18"/>
          <w:szCs w:val="18"/>
          <w:color w:val="auto"/>
        </w:rPr>
        <w:t xml:space="preserve">). If Bank of America resigns as the Swingline Lender, it shall retain all the rights of the Swingline Lender provided for hereunder with respect to Swingline Loans made by it and outstanding as of the effective date of such resignation, including the right to require the Lenders to make Revolving Loans that are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the retiring L/C Issuer to effectively assume the obligations of such retiring L/C Issuer with respect to such Letters of Credit.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xml:space="preserve">. Each of the Administrative Agent, the Lenders and the L/C Issuers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in which case the Administrative Agent, such Lender, or such L/C Issuer, as applicable, shall notify the Borrower promptly prior to such disclosure to the extent practicable and not prohibited by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to (A)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2.02(g)</w:t>
      </w:r>
      <w:r>
        <w:rPr>
          <w:rFonts w:ascii="Arial" w:cs="Arial" w:eastAsia="Arial" w:hAnsi="Arial"/>
          <w:sz w:val="18"/>
          <w:szCs w:val="18"/>
          <w:color w:val="auto"/>
        </w:rPr>
        <w: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(B) the provider of any Platform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2" w:name="page343"/>
    <w:bookmarkEnd w:id="342"/>
    <w:p>
      <w:pPr>
        <w:jc w:val="both"/>
        <w:ind w:left="200"/>
        <w:spacing w:after="0" w:line="270" w:lineRule="auto"/>
        <w:rPr>
          <w:sz w:val="20"/>
          <w:szCs w:val="20"/>
          <w:color w:val="auto"/>
        </w:rPr>
      </w:pPr>
      <w:r>
        <w:rPr>
          <w:rFonts w:ascii="Arial" w:cs="Arial" w:eastAsia="Arial" w:hAnsi="Arial"/>
          <w:sz w:val="18"/>
          <w:szCs w:val="18"/>
          <w:color w:val="auto"/>
        </w:rPr>
        <w:t>electronic delivery service used by the Administrative Agent, any L/C Issuer and/or the Swingline Lender to deliver Borrower Materials or notices to the Lenders, or (C) the CUSIP Service Bureau or any similar agency in connection with the application, issuance, publishing and monitoring of CUSIP numbers or other market identifiers with respect to the credit facilities provided hereunder, (viii) with the consent of the Borrower, (ix) to the extent such Information</w:t>
      </w:r>
    </w:p>
    <w:p>
      <w:pPr>
        <w:spacing w:after="0" w:line="3" w:lineRule="exact"/>
        <w:rPr>
          <w:sz w:val="20"/>
          <w:szCs w:val="20"/>
          <w:color w:val="auto"/>
        </w:rPr>
      </w:pPr>
    </w:p>
    <w:p>
      <w:pPr>
        <w:jc w:val="both"/>
        <w:ind w:left="200" w:hanging="4"/>
        <w:spacing w:after="0" w:line="268" w:lineRule="auto"/>
        <w:tabs>
          <w:tab w:leader="none" w:pos="53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becomes publicly available other than as a result of a breach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or (B) becomes available to the Administrative Agent, any Lender, any L/C Issuer or any of their respective Affiliates on a nonconfidential basis from a source other than the Borrower, or (x) to the extent such Information is independently discovered or developed by a party hereto without utilizing any Information received from the Borrower or violating the terms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information received from the Borrower or any Subsidiary after the Closing Date, such information is clearly identified at the time of delivery as confidential. Any Person required to maintain the confidentiality of Information as provided in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3" w:lineRule="exact"/>
        <w:rPr>
          <w:rFonts w:ascii="Arial" w:cs="Arial" w:eastAsia="Arial" w:hAnsi="Arial"/>
          <w:sz w:val="18"/>
          <w:szCs w:val="18"/>
          <w:color w:val="auto"/>
        </w:rPr>
      </w:pPr>
    </w:p>
    <w:p>
      <w:pPr>
        <w:jc w:val="both"/>
        <w:ind w:left="200" w:firstLine="644"/>
        <w:spacing w:after="0" w:line="244" w:lineRule="auto"/>
        <w:tabs>
          <w:tab w:leader="none" w:pos="1496" w:val="left"/>
        </w:tabs>
        <w:numPr>
          <w:ilvl w:val="1"/>
          <w:numId w:val="345"/>
        </w:numPr>
        <w:rPr>
          <w:rFonts w:ascii="Arial" w:cs="Arial" w:eastAsia="Arial" w:hAnsi="Arial"/>
          <w:sz w:val="20"/>
          <w:szCs w:val="20"/>
          <w:color w:val="auto"/>
        </w:rPr>
      </w:pPr>
      <w:r>
        <w:rPr>
          <w:rFonts w:ascii="Arial" w:cs="Arial" w:eastAsia="Arial" w:hAnsi="Arial"/>
          <w:sz w:val="20"/>
          <w:szCs w:val="20"/>
          <w:u w:val="single" w:color="auto"/>
          <w:color w:val="auto"/>
        </w:rPr>
        <w:t>Non-Public Information</w:t>
      </w:r>
      <w:r>
        <w:rPr>
          <w:rFonts w:ascii="Arial" w:cs="Arial" w:eastAsia="Arial" w:hAnsi="Arial"/>
          <w:sz w:val="20"/>
          <w:szCs w:val="20"/>
          <w:color w:val="auto"/>
        </w:rPr>
        <w:t>. Each of the Administrative Agent, the Lenders and the L/C Issuers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94"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1"/>
          <w:numId w:val="345"/>
        </w:numPr>
        <w:rPr>
          <w:rFonts w:ascii="Arial" w:cs="Arial" w:eastAsia="Arial" w:hAnsi="Arial"/>
          <w:sz w:val="20"/>
          <w:szCs w:val="20"/>
          <w:color w:val="auto"/>
        </w:rPr>
      </w:pPr>
      <w:r>
        <w:rPr>
          <w:rFonts w:ascii="Arial" w:cs="Arial" w:eastAsia="Arial" w:hAnsi="Arial"/>
          <w:sz w:val="20"/>
          <w:szCs w:val="20"/>
          <w:u w:val="single" w:color="auto"/>
          <w:color w:val="auto"/>
        </w:rPr>
        <w:t>Press Releases</w:t>
      </w:r>
      <w:r>
        <w:rPr>
          <w:rFonts w:ascii="Arial" w:cs="Arial" w:eastAsia="Arial" w:hAnsi="Arial"/>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95" w:lineRule="exact"/>
        <w:rPr>
          <w:rFonts w:ascii="Arial" w:cs="Arial" w:eastAsia="Arial" w:hAnsi="Arial"/>
          <w:sz w:val="20"/>
          <w:szCs w:val="20"/>
          <w:color w:val="auto"/>
        </w:rPr>
      </w:pPr>
    </w:p>
    <w:p>
      <w:pPr>
        <w:jc w:val="both"/>
        <w:ind w:left="200" w:firstLine="644"/>
        <w:spacing w:after="0" w:line="242" w:lineRule="auto"/>
        <w:tabs>
          <w:tab w:leader="none" w:pos="1496" w:val="left"/>
        </w:tabs>
        <w:numPr>
          <w:ilvl w:val="1"/>
          <w:numId w:val="345"/>
        </w:numPr>
        <w:rPr>
          <w:rFonts w:ascii="Arial" w:cs="Arial" w:eastAsia="Arial" w:hAnsi="Arial"/>
          <w:sz w:val="20"/>
          <w:szCs w:val="20"/>
          <w:color w:val="auto"/>
        </w:rPr>
      </w:pPr>
      <w:r>
        <w:rPr>
          <w:rFonts w:ascii="Arial" w:cs="Arial" w:eastAsia="Arial" w:hAnsi="Arial"/>
          <w:sz w:val="20"/>
          <w:szCs w:val="20"/>
          <w:u w:val="single" w:color="auto"/>
          <w:color w:val="auto"/>
        </w:rPr>
        <w:t>Customary Advertising Material</w:t>
      </w:r>
      <w:r>
        <w:rPr>
          <w:rFonts w:ascii="Arial" w:cs="Arial" w:eastAsia="Arial" w:hAnsi="Arial"/>
          <w:sz w:val="20"/>
          <w:szCs w:val="20"/>
          <w:color w:val="auto"/>
        </w:rPr>
        <w:t>. Without the prior written consent of the Borrower, neither the Administrative Agent nor any Lender shall publish any advertising material relating to the transactions contemplated hereby, including by using the name, product photographs, logo or trademark of the Loan Parties, to the extent such advertising material contains information that is not otherwise publicly available at the time such material is published (it being understood and agreed that neither the Administrative Agent nor any Lender shall be required to obtain the Borrower’s prior written consent to publish customary advertising material relating to the transactions contemplated hereby if such material contains information which is otherwise publicly available at the time such material is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43" w:name="page344"/>
    <w:bookmarkEnd w:id="343"/>
    <w:p>
      <w:pPr>
        <w:spacing w:after="0"/>
        <w:tabs>
          <w:tab w:leader="none" w:pos="64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the Borrower or such Loan Party may be contingent or unmatured, secured or unsecured, or are owed to a branch, office or Affiliate of such Lender or such L/C Issuer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Issuers and the Lenders, and (b) the Defaulting Lender shall provide promptly to the Administrative Agent a statement describing in reasonable detail the Secured Obligations owing to such Defaulting Lender as to which it exercised such right of setoff. The rights of each Lender, each L/C Issuer and their respective Affiliates under this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failure to give such notice shall not affect the validity of such setoff and application.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4" w:name="page345"/>
    <w:bookmarkEnd w:id="344"/>
    <w:p>
      <w:pPr>
        <w:jc w:val="both"/>
        <w:spacing w:after="0" w:line="250" w:lineRule="auto"/>
        <w:rPr>
          <w:sz w:val="20"/>
          <w:szCs w:val="20"/>
          <w:color w:val="auto"/>
        </w:rPr>
      </w:pPr>
      <w:r>
        <w:rPr>
          <w:rFonts w:ascii="Arial" w:cs="Arial" w:eastAsia="Arial" w:hAnsi="Arial"/>
          <w:sz w:val="20"/>
          <w:szCs w:val="20"/>
          <w:color w:val="auto"/>
        </w:rPr>
        <w:t>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(other than contingent indemnification obligations for which no claim has been asserted) shall remain unpaid or unsatisfied or any Letter of Credit shall remain outstanding.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applicable L/C Issuer or the Swingline Lender, as applicable, then such provisions shall be deemed to be in effect only to the extent not so limited.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If the Borrower is entitled to replace a Lender pursuant to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or if any Lender is a Defaulting Lender or a Non-Consenting Lender, then, in each case,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w:t>
      </w:r>
    </w:p>
    <w:p>
      <w:pPr>
        <w:spacing w:after="0" w:line="185" w:lineRule="exact"/>
        <w:rPr>
          <w:sz w:val="20"/>
          <w:szCs w:val="20"/>
          <w:color w:val="auto"/>
        </w:rPr>
      </w:pPr>
    </w:p>
    <w:p>
      <w:pPr>
        <w:ind w:left="660" w:firstLine="644"/>
        <w:spacing w:after="0" w:line="260" w:lineRule="auto"/>
        <w:tabs>
          <w:tab w:leader="none" w:pos="1956" w:val="left"/>
        </w:tabs>
        <w:numPr>
          <w:ilvl w:val="0"/>
          <w:numId w:val="346"/>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0"/>
          <w:numId w:val="346"/>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one hundred percent (100%) of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5" w:name="page346"/>
    <w:bookmarkEnd w:id="345"/>
    <w:p>
      <w:pPr>
        <w:jc w:val="both"/>
        <w:ind w:left="660" w:firstLine="644"/>
        <w:spacing w:after="0" w:line="250" w:lineRule="auto"/>
        <w:tabs>
          <w:tab w:leader="none" w:pos="1956" w:val="left"/>
        </w:tabs>
        <w:numPr>
          <w:ilvl w:val="0"/>
          <w:numId w:val="347"/>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347"/>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party hereto agrees that (a) an assignment required pursuant to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such documents shall be without recourse to or warranty by the parties thereto.</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to the contrary, (a) no Lender that acts as an L/C Issuer may be replaced hereunder at any time it has any Letter of Credit outstanding unless arrangements satisfactory to such Lender (including the furnishing of a backstop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u w:val="single" w:color="auto"/>
          <w:color w:val="auto"/>
        </w:rPr>
        <w:t>Governing Law; Jurisdiction; Etc.</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34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4"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0"/>
          <w:numId w:val="348"/>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6" w:name="page347"/>
    <w:bookmarkEnd w:id="346"/>
    <w:p>
      <w:pPr>
        <w:jc w:val="both"/>
        <w:ind w:left="660"/>
        <w:spacing w:after="0" w:line="254" w:lineRule="auto"/>
        <w:rPr>
          <w:sz w:val="20"/>
          <w:szCs w:val="20"/>
          <w:color w:val="auto"/>
        </w:rPr>
      </w:pPr>
      <w:r>
        <w:rPr>
          <w:rFonts w:ascii="Arial" w:cs="Arial" w:eastAsia="Arial" w:hAnsi="Arial"/>
          <w:sz w:val="19"/>
          <w:szCs w:val="19"/>
          <w:color w:val="auto"/>
        </w:rPr>
        <w:t>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192" w:lineRule="exact"/>
        <w:rPr>
          <w:sz w:val="20"/>
          <w:szCs w:val="20"/>
          <w:color w:val="auto"/>
        </w:rPr>
      </w:pPr>
    </w:p>
    <w:p>
      <w:pPr>
        <w:jc w:val="both"/>
        <w:ind w:left="660" w:firstLine="644"/>
        <w:spacing w:after="0" w:line="257" w:lineRule="auto"/>
        <w:tabs>
          <w:tab w:leader="none" w:pos="1956" w:val="left"/>
        </w:tabs>
        <w:numPr>
          <w:ilvl w:val="0"/>
          <w:numId w:val="349"/>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9"/>
          <w:szCs w:val="19"/>
          <w:u w:val="single" w:color="auto"/>
          <w:color w:val="auto"/>
        </w:rPr>
        <w:t>SECTION 11.14(b)</w:t>
      </w:r>
      <w:r>
        <w:rPr>
          <w:rFonts w:ascii="Arial" w:cs="Arial" w:eastAsia="Arial" w:hAnsi="Arial"/>
          <w:sz w:val="19"/>
          <w:szCs w:val="19"/>
          <w:color w:val="auto"/>
        </w:rPr>
        <w:t>. THE BORROWER AND EACH OTHER LOAN PARTY IRREVOCABLY AND UNCONDITIONALLY WAIVES, TO THE FULLEST EXTENT PERMITTED BY APPLICABLE LAW, THE DEFENSE OF AN INCONVENIENT FORUM TO THE MAINTENANCE OF SUCH ACTION OR PROCEEDING IN ANY SUCH COURT.</w:t>
      </w:r>
    </w:p>
    <w:p>
      <w:pPr>
        <w:spacing w:after="0" w:line="180" w:lineRule="exact"/>
        <w:rPr>
          <w:rFonts w:ascii="Arial" w:cs="Arial" w:eastAsia="Arial" w:hAnsi="Arial"/>
          <w:sz w:val="19"/>
          <w:szCs w:val="19"/>
          <w:color w:val="auto"/>
        </w:rPr>
      </w:pPr>
    </w:p>
    <w:p>
      <w:pPr>
        <w:jc w:val="both"/>
        <w:ind w:left="660" w:firstLine="644"/>
        <w:spacing w:after="0" w:line="246" w:lineRule="auto"/>
        <w:tabs>
          <w:tab w:leader="none" w:pos="1956" w:val="left"/>
        </w:tabs>
        <w:numPr>
          <w:ilvl w:val="0"/>
          <w:numId w:val="349"/>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jc w:val="both"/>
        <w:ind w:firstLine="8"/>
        <w:spacing w:after="0" w:line="241" w:lineRule="auto"/>
        <w:tabs>
          <w:tab w:leader="none" w:pos="303" w:val="left"/>
        </w:tabs>
        <w:numPr>
          <w:ilvl w:val="0"/>
          <w:numId w:val="350"/>
        </w:numPr>
        <w:rPr>
          <w:rFonts w:ascii="Arial" w:cs="Arial" w:eastAsia="Arial" w:hAnsi="Arial"/>
          <w:sz w:val="20"/>
          <w:szCs w:val="20"/>
          <w:color w:val="auto"/>
        </w:rPr>
      </w:pPr>
      <w:r>
        <w:rPr>
          <w:rFonts w:ascii="Arial" w:cs="Arial" w:eastAsia="Arial" w:hAnsi="Arial"/>
          <w:sz w:val="20"/>
          <w:szCs w:val="20"/>
          <w:color w:val="auto"/>
        </w:rPr>
        <w:t xml:space="preserve">ACKNOWLEDGES THAT IT AND THE OTHER PARTIES HERETO HAVE BEEN INDUCED TO ENTER INTO THIS AGREEMENT AND THE OTHER LOAN DOCUMENTS BY, AMONG OTHER THINGS, THE MUTUAL WAIVERS AND CERTIFICATIONS IN THIS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7" w:name="page348"/>
    <w:bookmarkEnd w:id="347"/>
    <w:p>
      <w:pPr>
        <w:spacing w:after="0"/>
        <w:tabs>
          <w:tab w:leader="none" w:pos="64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Loan Party (a “</w:t>
      </w:r>
      <w:r>
        <w:rPr>
          <w:rFonts w:ascii="Arial" w:cs="Arial" w:eastAsia="Arial" w:hAnsi="Arial"/>
          <w:sz w:val="19"/>
          <w:szCs w:val="19"/>
          <w:u w:val="single" w:color="auto"/>
          <w:color w:val="auto"/>
        </w:rPr>
        <w:t>Subordinating Loan Party</w:t>
      </w:r>
      <w:r>
        <w:rPr>
          <w:rFonts w:ascii="Arial" w:cs="Arial" w:eastAsia="Arial" w:hAnsi="Arial"/>
          <w:sz w:val="19"/>
          <w:szCs w:val="19"/>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the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in the event that any Loan Party receives any payment of any Intercompany Debt at a time when such payment is prohibited by this </w:t>
      </w:r>
      <w:r>
        <w:rPr>
          <w:rFonts w:ascii="Arial" w:cs="Arial" w:eastAsia="Arial" w:hAnsi="Arial"/>
          <w:sz w:val="19"/>
          <w:szCs w:val="19"/>
          <w:u w:val="single" w:color="auto"/>
          <w:color w:val="auto"/>
        </w:rPr>
        <w:t>Section 11.16</w:t>
      </w:r>
      <w:r>
        <w:rPr>
          <w:rFonts w:ascii="Arial" w:cs="Arial" w:eastAsia="Arial" w:hAnsi="Arial"/>
          <w:sz w:val="19"/>
          <w:szCs w:val="19"/>
          <w:color w:val="auto"/>
        </w:rPr>
        <w:t>, such payment shall be held by such Loan Party, in trust for the benefit of, and shall be paid forthwith over and delivered, upon written request, to the Administrative Agent.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(a)(i) the arranging and other services regarding this Agreement provided by the Administrative Agent, each Arranger, each Lender, and their respective Affiliates are arm’s-length commercial transactions between the Borrower, each other Loan Party and their respective Affiliates, on the one hand, and the Administrative Agent, each Arranger, each Lender,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(b)(i) the Administrative Agent, each Arranger, each Lender, and each of their respective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w:t>
      </w:r>
    </w:p>
    <w:p>
      <w:pPr>
        <w:spacing w:after="0" w:line="181" w:lineRule="exact"/>
        <w:rPr>
          <w:sz w:val="20"/>
          <w:szCs w:val="20"/>
          <w:color w:val="auto"/>
        </w:rPr>
      </w:pPr>
    </w:p>
    <w:p>
      <w:pPr>
        <w:jc w:val="both"/>
        <w:ind w:firstLine="8"/>
        <w:spacing w:after="0" w:line="269" w:lineRule="auto"/>
        <w:tabs>
          <w:tab w:leader="none" w:pos="30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none of the Administrative Agent, any Arranger, any Lender, 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each Arranger, and each Lender may be engaged in a broad range of transactions that involve interests that differ from those of the Borrower, the other Loan Parties and their respective Affiliates, and none of the Administrative Agent, any Arranger, any Lender, 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any Arranger, any Lender, or any of their respective Affiliates with respect to any breach or alleged breach of agency or fiduciary duty in connection with any aspect of any transactions contemplated hereby.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8"/>
          <w:szCs w:val="18"/>
          <w:u w:val="single" w:color="auto"/>
          <w:color w:val="auto"/>
        </w:rPr>
        <w:t>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Agreement, any other Loan Document, and any other document, amendment, approval, consent, information, notice, certificate, request, statement, disclosure or authorization related to this Agreement or any other Loan Document (each, a “</w:t>
      </w:r>
      <w:r>
        <w:rPr>
          <w:rFonts w:ascii="Arial" w:cs="Arial" w:eastAsia="Arial" w:hAnsi="Arial"/>
          <w:sz w:val="20"/>
          <w:szCs w:val="20"/>
          <w:u w:val="single" w:color="auto"/>
          <w:color w:val="auto"/>
        </w:rPr>
        <w:t>Communication</w:t>
      </w:r>
      <w:r>
        <w:rPr>
          <w:rFonts w:ascii="Arial" w:cs="Arial" w:eastAsia="Arial" w:hAnsi="Arial"/>
          <w:sz w:val="20"/>
          <w:szCs w:val="20"/>
          <w:color w:val="auto"/>
        </w:rPr>
        <w:t>”), including Communications required to be in writing, may be in the form of an Electronic Record and may be executed using Electronic Signatures. Each Loan Party agrees that any Electronic Signature on or associated with any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8" w:name="page349"/>
    <w:bookmarkEnd w:id="348"/>
    <w:p>
      <w:pPr>
        <w:jc w:val="both"/>
        <w:spacing w:after="0" w:line="268" w:lineRule="auto"/>
        <w:rPr>
          <w:sz w:val="20"/>
          <w:szCs w:val="20"/>
          <w:color w:val="auto"/>
        </w:rPr>
      </w:pPr>
      <w:r>
        <w:rPr>
          <w:rFonts w:ascii="Arial" w:cs="Arial" w:eastAsia="Arial" w:hAnsi="Arial"/>
          <w:sz w:val="18"/>
          <w:szCs w:val="18"/>
          <w:color w:val="auto"/>
        </w:rPr>
        <w:t xml:space="preserve">shall be valid and binding on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Arial" w:cs="Arial" w:eastAsia="Arial" w:hAnsi="Arial"/>
          <w:sz w:val="18"/>
          <w:szCs w:val="18"/>
          <w:u w:val="single" w:color="auto"/>
          <w:color w:val="auto"/>
        </w:rPr>
        <w:t>Section 11.18</w:t>
      </w:r>
      <w:r>
        <w:rPr>
          <w:rFonts w:ascii="Arial" w:cs="Arial" w:eastAsia="Arial" w:hAnsi="Arial"/>
          <w:sz w:val="18"/>
          <w:szCs w:val="18"/>
          <w:color w:val="auto"/>
        </w:rPr>
        <w:t xml:space="preserve"> may include use or acceptance by the Administrative Agent and each of the Lenders of a manually signed paper Communication which has been converted into electronic form (such as scanned into .pdf), or an electronically signed Communication converted into another format, for transmission, delivery and/or retention. The Administrative Agent and each of the Lenders may, at its option, create one or more copies of any Communication in the form of an imaged Electronic Record (each, an “</w:t>
      </w:r>
      <w:r>
        <w:rPr>
          <w:rFonts w:ascii="Arial" w:cs="Arial" w:eastAsia="Arial" w:hAnsi="Arial"/>
          <w:sz w:val="18"/>
          <w:szCs w:val="18"/>
          <w:u w:val="single" w:color="auto"/>
          <w:color w:val="auto"/>
        </w:rPr>
        <w:t>Electronic Copy</w:t>
      </w:r>
      <w:r>
        <w:rPr>
          <w:rFonts w:ascii="Arial" w:cs="Arial" w:eastAsia="Arial" w:hAnsi="Arial"/>
          <w:sz w:val="18"/>
          <w:szCs w:val="18"/>
          <w:color w:val="auto"/>
        </w:rPr>
        <w:t xml:space="preserve">”),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to the extent the Administrative Agent has agreed to accept such Electronic Signature, the Administrative Agent and each of the Lenders shall be entitled to rely on any such Electronic Signature purportedly given by or on behalf of any Loan Party without further verification, and (b) upon the request of the Administrative Agent or any Lender, any Electronic Signature shall be promptly followed by such manually executed counterpart.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Each Lender that is subject to the PATRIOT Act, each L/C Issuer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and each other Loan Party, which information includes the name and address of each such Person and other information that will allow such Lender, such L/C Issuer or the Administrative Agent, as applicable, to identify each such Person in accordance with the PATRIOT Act. The Loan Parties agree to, promptly following a request by the Administrative Agent, any L/C Issuer or any Lender, provide all such other documentation and information that the Administrative Agent, such L/C Issuer or such Lender requests in order to comply with its ongoing obligations under applicable “know your customer” and anti-money laundering rules and regulations, including the PATRIOT Act and the Beneficial Ownership Regulation.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49" w:name="page350"/>
    <w:bookmarkEnd w:id="349"/>
    <w:p>
      <w:pPr>
        <w:jc w:val="both"/>
        <w:spacing w:after="0" w:line="250" w:lineRule="auto"/>
        <w:rPr>
          <w:sz w:val="20"/>
          <w:szCs w:val="20"/>
          <w:color w:val="auto"/>
        </w:rPr>
      </w:pPr>
      <w:r>
        <w:rPr>
          <w:rFonts w:ascii="Arial" w:cs="Arial" w:eastAsia="Arial" w:hAnsi="Arial"/>
          <w:sz w:val="20"/>
          <w:szCs w:val="20"/>
          <w:color w:val="auto"/>
        </w:rPr>
        <w:t>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To the extent that the Loan Documents provide support, through a 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50" w:name="page351"/>
    <w:bookmarkEnd w:id="350"/>
    <w:p>
      <w:pPr>
        <w:ind w:right="2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as of the date first above written.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3"/>
          </w:tcPr>
          <w:p>
            <w:pPr>
              <w:spacing w:after="0"/>
              <w:rPr>
                <w:sz w:val="20"/>
                <w:szCs w:val="20"/>
                <w:color w:val="auto"/>
              </w:rPr>
            </w:pPr>
            <w:r>
              <w:rPr>
                <w:rFonts w:ascii="Arial" w:cs="Arial" w:eastAsia="Arial" w:hAnsi="Arial"/>
                <w:sz w:val="20"/>
                <w:szCs w:val="20"/>
                <w:color w:val="auto"/>
              </w:rPr>
              <w:t>BORROWER:</w:t>
            </w:r>
          </w:p>
        </w:tc>
        <w:tc>
          <w:tcPr>
            <w:tcW w:w="6720" w:type="dxa"/>
            <w:vAlign w:val="bottom"/>
            <w:gridSpan w:val="2"/>
          </w:tcPr>
          <w:p>
            <w:pPr>
              <w:ind w:left="1780"/>
              <w:spacing w:after="0"/>
              <w:rPr>
                <w:sz w:val="20"/>
                <w:szCs w:val="20"/>
                <w:color w:val="auto"/>
              </w:rPr>
            </w:pPr>
            <w:r>
              <w:rPr>
                <w:rFonts w:ascii="Arial" w:cs="Arial" w:eastAsia="Arial" w:hAnsi="Arial"/>
                <w:sz w:val="20"/>
                <w:szCs w:val="20"/>
                <w:color w:val="auto"/>
              </w:rPr>
              <w:t>AEROVIRONMENT, INC.,</w:t>
            </w:r>
          </w:p>
        </w:tc>
      </w:tr>
      <w:tr>
        <w:trPr>
          <w:trHeight w:val="254"/>
        </w:trPr>
        <w:tc>
          <w:tcPr>
            <w:tcW w:w="11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720" w:type="dxa"/>
            <w:vAlign w:val="bottom"/>
            <w:gridSpan w:val="2"/>
          </w:tcPr>
          <w:p>
            <w:pPr>
              <w:ind w:left="1780"/>
              <w:spacing w:after="0"/>
              <w:rPr>
                <w:sz w:val="20"/>
                <w:szCs w:val="20"/>
                <w:color w:val="auto"/>
              </w:rPr>
            </w:pPr>
            <w:r>
              <w:rPr>
                <w:rFonts w:ascii="Arial" w:cs="Arial" w:eastAsia="Arial" w:hAnsi="Arial"/>
                <w:sz w:val="20"/>
                <w:szCs w:val="20"/>
                <w:color w:val="auto"/>
              </w:rPr>
              <w:t>a Delaware corporation</w:t>
            </w:r>
          </w:p>
        </w:tc>
      </w:tr>
      <w:tr>
        <w:trPr>
          <w:trHeight w:val="448"/>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40" w:type="dxa"/>
            <w:vAlign w:val="bottom"/>
          </w:tcPr>
          <w:p>
            <w:pPr>
              <w:ind w:left="178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/s/Kevin McDonnell</w:t>
            </w: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340" w:type="dxa"/>
            <w:vAlign w:val="bottom"/>
          </w:tcPr>
          <w:p>
            <w:pPr>
              <w:ind w:left="1780"/>
              <w:spacing w:after="0" w:line="212" w:lineRule="exact"/>
              <w:rPr>
                <w:sz w:val="20"/>
                <w:szCs w:val="20"/>
                <w:color w:val="auto"/>
              </w:rPr>
            </w:pPr>
            <w:r>
              <w:rPr>
                <w:rFonts w:ascii="Arial" w:cs="Arial" w:eastAsia="Arial" w:hAnsi="Arial"/>
                <w:sz w:val="20"/>
                <w:szCs w:val="20"/>
                <w:color w:val="auto"/>
                <w:w w:val="91"/>
              </w:rPr>
              <w:t>Name:</w:t>
            </w:r>
          </w:p>
        </w:tc>
        <w:tc>
          <w:tcPr>
            <w:tcW w:w="4380" w:type="dxa"/>
            <w:vAlign w:val="bottom"/>
          </w:tcPr>
          <w:p>
            <w:pPr>
              <w:spacing w:after="0" w:line="212" w:lineRule="exact"/>
              <w:rPr>
                <w:sz w:val="20"/>
                <w:szCs w:val="20"/>
                <w:color w:val="auto"/>
              </w:rPr>
            </w:pPr>
            <w:r>
              <w:rPr>
                <w:rFonts w:ascii="Arial" w:cs="Arial" w:eastAsia="Arial" w:hAnsi="Arial"/>
                <w:sz w:val="20"/>
                <w:szCs w:val="20"/>
                <w:color w:val="auto"/>
              </w:rPr>
              <w:t>Kevin McDonnell</w:t>
            </w:r>
          </w:p>
        </w:tc>
      </w:tr>
      <w:tr>
        <w:trPr>
          <w:trHeight w:val="250"/>
        </w:trPr>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340" w:type="dxa"/>
            <w:vAlign w:val="bottom"/>
          </w:tcPr>
          <w:p>
            <w:pPr>
              <w:ind w:left="1780"/>
              <w:spacing w:after="0"/>
              <w:rPr>
                <w:sz w:val="20"/>
                <w:szCs w:val="20"/>
                <w:color w:val="auto"/>
              </w:rPr>
            </w:pPr>
            <w:r>
              <w:rPr>
                <w:rFonts w:ascii="Arial" w:cs="Arial" w:eastAsia="Arial" w:hAnsi="Arial"/>
                <w:sz w:val="20"/>
                <w:szCs w:val="20"/>
                <w:color w:val="auto"/>
              </w:rPr>
              <w:t>Title:</w:t>
            </w:r>
          </w:p>
        </w:tc>
        <w:tc>
          <w:tcPr>
            <w:tcW w:w="4380" w:type="dxa"/>
            <w:vAlign w:val="bottom"/>
          </w:tcPr>
          <w:p>
            <w:pPr>
              <w:spacing w:after="0"/>
              <w:rPr>
                <w:sz w:val="20"/>
                <w:szCs w:val="20"/>
                <w:color w:val="auto"/>
              </w:rPr>
            </w:pPr>
            <w:r>
              <w:rPr>
                <w:rFonts w:ascii="Arial" w:cs="Arial" w:eastAsia="Arial" w:hAnsi="Arial"/>
                <w:sz w:val="20"/>
                <w:szCs w:val="20"/>
                <w:color w:val="auto"/>
              </w:rPr>
              <w:t>Senior Vice President and Chief Financial Officer</w:t>
            </w:r>
          </w:p>
        </w:tc>
      </w:tr>
      <w:tr>
        <w:trPr>
          <w:trHeight w:val="428"/>
        </w:trPr>
        <w:tc>
          <w:tcPr>
            <w:tcW w:w="3200" w:type="dxa"/>
            <w:vAlign w:val="bottom"/>
            <w:gridSpan w:val="3"/>
          </w:tcPr>
          <w:p>
            <w:pPr>
              <w:spacing w:after="0"/>
              <w:rPr>
                <w:sz w:val="20"/>
                <w:szCs w:val="20"/>
                <w:color w:val="auto"/>
              </w:rPr>
            </w:pPr>
            <w:r>
              <w:rPr>
                <w:rFonts w:ascii="Arial" w:cs="Arial" w:eastAsia="Arial" w:hAnsi="Arial"/>
                <w:sz w:val="20"/>
                <w:szCs w:val="20"/>
                <w:color w:val="auto"/>
              </w:rPr>
              <w:t>GUARANTORS:</w:t>
            </w:r>
          </w:p>
        </w:tc>
        <w:tc>
          <w:tcPr>
            <w:tcW w:w="6720" w:type="dxa"/>
            <w:vAlign w:val="bottom"/>
            <w:gridSpan w:val="2"/>
          </w:tcPr>
          <w:p>
            <w:pPr>
              <w:ind w:left="1780"/>
              <w:spacing w:after="0"/>
              <w:rPr>
                <w:sz w:val="20"/>
                <w:szCs w:val="20"/>
                <w:color w:val="auto"/>
              </w:rPr>
            </w:pPr>
            <w:r>
              <w:rPr>
                <w:rFonts w:ascii="Arial" w:cs="Arial" w:eastAsia="Arial" w:hAnsi="Arial"/>
                <w:sz w:val="20"/>
                <w:szCs w:val="20"/>
                <w:color w:val="auto"/>
              </w:rPr>
              <w:t>ARCTURUS UAV, INC.,</w:t>
            </w:r>
          </w:p>
        </w:tc>
      </w:tr>
      <w:tr>
        <w:trPr>
          <w:trHeight w:val="254"/>
        </w:trPr>
        <w:tc>
          <w:tcPr>
            <w:tcW w:w="1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6720" w:type="dxa"/>
            <w:vAlign w:val="bottom"/>
            <w:gridSpan w:val="2"/>
          </w:tcPr>
          <w:p>
            <w:pPr>
              <w:ind w:left="1780"/>
              <w:spacing w:after="0"/>
              <w:rPr>
                <w:sz w:val="20"/>
                <w:szCs w:val="20"/>
                <w:color w:val="auto"/>
              </w:rPr>
            </w:pPr>
            <w:r>
              <w:rPr>
                <w:rFonts w:ascii="Arial" w:cs="Arial" w:eastAsia="Arial" w:hAnsi="Arial"/>
                <w:sz w:val="20"/>
                <w:szCs w:val="20"/>
                <w:color w:val="auto"/>
              </w:rPr>
              <w:t>a California corporation</w:t>
            </w:r>
          </w:p>
        </w:tc>
      </w:tr>
      <w:tr>
        <w:trPr>
          <w:trHeight w:val="448"/>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40" w:type="dxa"/>
            <w:vAlign w:val="bottom"/>
          </w:tcPr>
          <w:p>
            <w:pPr>
              <w:ind w:left="178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/s/Kristy Benson</w:t>
            </w: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340" w:type="dxa"/>
            <w:vAlign w:val="bottom"/>
          </w:tcPr>
          <w:p>
            <w:pPr>
              <w:ind w:left="1780"/>
              <w:spacing w:after="0" w:line="212" w:lineRule="exact"/>
              <w:rPr>
                <w:sz w:val="20"/>
                <w:szCs w:val="20"/>
                <w:color w:val="auto"/>
              </w:rPr>
            </w:pPr>
            <w:r>
              <w:rPr>
                <w:rFonts w:ascii="Arial" w:cs="Arial" w:eastAsia="Arial" w:hAnsi="Arial"/>
                <w:sz w:val="20"/>
                <w:szCs w:val="20"/>
                <w:color w:val="auto"/>
                <w:w w:val="91"/>
              </w:rPr>
              <w:t>Name:</w:t>
            </w:r>
          </w:p>
        </w:tc>
        <w:tc>
          <w:tcPr>
            <w:tcW w:w="4380" w:type="dxa"/>
            <w:vAlign w:val="bottom"/>
          </w:tcPr>
          <w:p>
            <w:pPr>
              <w:spacing w:after="0" w:line="212" w:lineRule="exact"/>
              <w:rPr>
                <w:sz w:val="20"/>
                <w:szCs w:val="20"/>
                <w:color w:val="auto"/>
              </w:rPr>
            </w:pPr>
            <w:r>
              <w:rPr>
                <w:rFonts w:ascii="Arial" w:cs="Arial" w:eastAsia="Arial" w:hAnsi="Arial"/>
                <w:sz w:val="20"/>
                <w:szCs w:val="20"/>
                <w:color w:val="auto"/>
              </w:rPr>
              <w:t>Kristy Benson</w:t>
            </w:r>
          </w:p>
        </w:tc>
      </w:tr>
      <w:tr>
        <w:trPr>
          <w:trHeight w:val="250"/>
        </w:trPr>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340" w:type="dxa"/>
            <w:vAlign w:val="bottom"/>
          </w:tcPr>
          <w:p>
            <w:pPr>
              <w:ind w:left="1780"/>
              <w:spacing w:after="0"/>
              <w:rPr>
                <w:sz w:val="20"/>
                <w:szCs w:val="20"/>
                <w:color w:val="auto"/>
              </w:rPr>
            </w:pPr>
            <w:r>
              <w:rPr>
                <w:rFonts w:ascii="Arial" w:cs="Arial" w:eastAsia="Arial" w:hAnsi="Arial"/>
                <w:sz w:val="20"/>
                <w:szCs w:val="20"/>
                <w:color w:val="auto"/>
              </w:rPr>
              <w:t>Title:</w:t>
            </w:r>
          </w:p>
        </w:tc>
        <w:tc>
          <w:tcPr>
            <w:tcW w:w="4380" w:type="dxa"/>
            <w:vAlign w:val="bottom"/>
          </w:tcPr>
          <w:p>
            <w:pPr>
              <w:spacing w:after="0"/>
              <w:rPr>
                <w:sz w:val="20"/>
                <w:szCs w:val="20"/>
                <w:color w:val="auto"/>
              </w:rPr>
            </w:pPr>
            <w:r>
              <w:rPr>
                <w:rFonts w:ascii="Arial" w:cs="Arial" w:eastAsia="Arial" w:hAnsi="Arial"/>
                <w:sz w:val="20"/>
                <w:szCs w:val="20"/>
                <w:color w:val="auto"/>
              </w:rPr>
              <w:t>Vice President and Treasurer</w:t>
            </w:r>
          </w:p>
        </w:tc>
      </w:tr>
      <w:tr>
        <w:trPr>
          <w:trHeight w:val="1677"/>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6" w:right="999" w:bottom="1440" w:gutter="0" w:footer="0" w:header="0"/>
        </w:sectPr>
      </w:pPr>
    </w:p>
    <w:bookmarkStart w:id="351" w:name="page352"/>
    <w:bookmarkEnd w:id="3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6200" w:type="dxa"/>
            <w:vAlign w:val="bottom"/>
            <w:gridSpan w:val="2"/>
          </w:tcPr>
          <w:p>
            <w:pPr>
              <w:ind w:left="126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6200" w:type="dxa"/>
            <w:vAlign w:val="bottom"/>
            <w:gridSpan w:val="2"/>
          </w:tcPr>
          <w:p>
            <w:pPr>
              <w:ind w:left="1260"/>
              <w:spacing w:after="0"/>
              <w:rPr>
                <w:sz w:val="20"/>
                <w:szCs w:val="20"/>
                <w:color w:val="auto"/>
              </w:rPr>
            </w:pPr>
            <w:r>
              <w:rPr>
                <w:rFonts w:ascii="Arial" w:cs="Arial" w:eastAsia="Arial" w:hAnsi="Arial"/>
                <w:sz w:val="20"/>
                <w:szCs w:val="20"/>
                <w:color w:val="auto"/>
              </w:rPr>
              <w:t>as the Administrative Agent</w:t>
            </w:r>
          </w:p>
        </w:tc>
      </w:tr>
      <w:tr>
        <w:trPr>
          <w:trHeight w:val="448"/>
        </w:trPr>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/s/Taelitha Bonds-Harris</w:t>
            </w:r>
          </w:p>
        </w:tc>
      </w:tr>
      <w:tr>
        <w:trPr>
          <w:trHeight w:val="213"/>
        </w:trPr>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20" w:type="dxa"/>
            <w:vAlign w:val="bottom"/>
          </w:tcPr>
          <w:p>
            <w:pPr>
              <w:ind w:left="1260"/>
              <w:spacing w:after="0" w:line="212" w:lineRule="exact"/>
              <w:rPr>
                <w:sz w:val="20"/>
                <w:szCs w:val="20"/>
                <w:color w:val="auto"/>
              </w:rPr>
            </w:pPr>
            <w:r>
              <w:rPr>
                <w:rFonts w:ascii="Arial" w:cs="Arial" w:eastAsia="Arial" w:hAnsi="Arial"/>
                <w:sz w:val="20"/>
                <w:szCs w:val="20"/>
                <w:color w:val="auto"/>
                <w:w w:val="91"/>
              </w:rPr>
              <w:t>Name:</w:t>
            </w:r>
          </w:p>
        </w:tc>
        <w:tc>
          <w:tcPr>
            <w:tcW w:w="4380" w:type="dxa"/>
            <w:vAlign w:val="bottom"/>
          </w:tcPr>
          <w:p>
            <w:pPr>
              <w:spacing w:after="0" w:line="212" w:lineRule="exact"/>
              <w:rPr>
                <w:sz w:val="20"/>
                <w:szCs w:val="20"/>
                <w:color w:val="auto"/>
              </w:rPr>
            </w:pPr>
            <w:r>
              <w:rPr>
                <w:rFonts w:ascii="Arial" w:cs="Arial" w:eastAsia="Arial" w:hAnsi="Arial"/>
                <w:sz w:val="20"/>
                <w:szCs w:val="20"/>
                <w:color w:val="auto"/>
              </w:rPr>
              <w:t>Taelitha Bonds-Harris</w:t>
            </w:r>
          </w:p>
        </w:tc>
      </w:tr>
      <w:tr>
        <w:trPr>
          <w:trHeight w:val="250"/>
        </w:trPr>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20" w:type="dxa"/>
            <w:vAlign w:val="bottom"/>
          </w:tcPr>
          <w:p>
            <w:pPr>
              <w:ind w:left="1260"/>
              <w:spacing w:after="0"/>
              <w:rPr>
                <w:sz w:val="20"/>
                <w:szCs w:val="20"/>
                <w:color w:val="auto"/>
              </w:rPr>
            </w:pPr>
            <w:r>
              <w:rPr>
                <w:rFonts w:ascii="Arial" w:cs="Arial" w:eastAsia="Arial" w:hAnsi="Arial"/>
                <w:sz w:val="20"/>
                <w:szCs w:val="20"/>
                <w:color w:val="auto"/>
              </w:rPr>
              <w:t>Title:</w:t>
            </w:r>
          </w:p>
        </w:tc>
        <w:tc>
          <w:tcPr>
            <w:tcW w:w="4380" w:type="dxa"/>
            <w:vAlign w:val="bottom"/>
          </w:tcPr>
          <w:p>
            <w:pPr>
              <w:spacing w:after="0"/>
              <w:rPr>
                <w:sz w:val="20"/>
                <w:szCs w:val="20"/>
                <w:color w:val="auto"/>
              </w:rPr>
            </w:pPr>
            <w:r>
              <w:rPr>
                <w:rFonts w:ascii="Arial" w:cs="Arial" w:eastAsia="Arial" w:hAnsi="Arial"/>
                <w:sz w:val="20"/>
                <w:szCs w:val="20"/>
                <w:color w:val="auto"/>
              </w:rPr>
              <w:t>Assistant Vice President</w:t>
            </w:r>
          </w:p>
        </w:tc>
      </w:tr>
      <w:tr>
        <w:trPr>
          <w:trHeight w:val="1677"/>
        </w:trPr>
        <w:tc>
          <w:tcPr>
            <w:tcW w:w="2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2" w:right="999" w:bottom="1440" w:gutter="0" w:footer="0" w:header="0"/>
        </w:sectPr>
      </w:pPr>
    </w:p>
    <w:bookmarkStart w:id="352" w:name="page353"/>
    <w:bookmarkEnd w:id="3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6960" w:type="dxa"/>
            <w:vAlign w:val="bottom"/>
            <w:gridSpan w:val="2"/>
          </w:tcPr>
          <w:p>
            <w:pPr>
              <w:ind w:left="2020"/>
              <w:spacing w:after="0"/>
              <w:rPr>
                <w:sz w:val="20"/>
                <w:szCs w:val="20"/>
                <w:color w:val="auto"/>
              </w:rPr>
            </w:pPr>
            <w:r>
              <w:rPr>
                <w:rFonts w:ascii="Arial" w:cs="Arial" w:eastAsia="Arial" w:hAnsi="Arial"/>
                <w:sz w:val="20"/>
                <w:szCs w:val="20"/>
                <w:color w:val="auto"/>
              </w:rPr>
              <w:t>BANK OF AMERICA, N.A.,</w:t>
            </w:r>
          </w:p>
        </w:tc>
      </w:tr>
      <w:tr>
        <w:trPr>
          <w:trHeight w:val="254"/>
        </w:trPr>
        <w:tc>
          <w:tcPr>
            <w:tcW w:w="900" w:type="dxa"/>
            <w:vAlign w:val="bottom"/>
            <w:tcBorders>
              <w:top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6960" w:type="dxa"/>
            <w:vAlign w:val="bottom"/>
            <w:gridSpan w:val="2"/>
          </w:tcPr>
          <w:p>
            <w:pPr>
              <w:ind w:left="2020"/>
              <w:spacing w:after="0"/>
              <w:rPr>
                <w:sz w:val="20"/>
                <w:szCs w:val="20"/>
                <w:color w:val="auto"/>
              </w:rPr>
            </w:pPr>
            <w:r>
              <w:rPr>
                <w:rFonts w:ascii="Arial" w:cs="Arial" w:eastAsia="Arial" w:hAnsi="Arial"/>
                <w:sz w:val="20"/>
                <w:szCs w:val="20"/>
                <w:color w:val="auto"/>
              </w:rPr>
              <w:t>as a Lender, an L/C Issuer, and the Swingline Lender</w:t>
            </w:r>
          </w:p>
        </w:tc>
      </w:tr>
      <w:tr>
        <w:trPr>
          <w:trHeight w:val="448"/>
        </w:trPr>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/s/Angel Sutoyo</w:t>
            </w:r>
          </w:p>
        </w:tc>
      </w:tr>
      <w:tr>
        <w:trPr>
          <w:trHeight w:val="213"/>
        </w:trPr>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80" w:type="dxa"/>
            <w:vAlign w:val="bottom"/>
          </w:tcPr>
          <w:p>
            <w:pPr>
              <w:ind w:left="2020"/>
              <w:spacing w:after="0" w:line="212" w:lineRule="exact"/>
              <w:rPr>
                <w:sz w:val="20"/>
                <w:szCs w:val="20"/>
                <w:color w:val="auto"/>
              </w:rPr>
            </w:pPr>
            <w:r>
              <w:rPr>
                <w:rFonts w:ascii="Arial" w:cs="Arial" w:eastAsia="Arial" w:hAnsi="Arial"/>
                <w:sz w:val="20"/>
                <w:szCs w:val="20"/>
                <w:color w:val="auto"/>
                <w:w w:val="91"/>
              </w:rPr>
              <w:t>Name:</w:t>
            </w:r>
          </w:p>
        </w:tc>
        <w:tc>
          <w:tcPr>
            <w:tcW w:w="4380" w:type="dxa"/>
            <w:vAlign w:val="bottom"/>
          </w:tcPr>
          <w:p>
            <w:pPr>
              <w:spacing w:after="0" w:line="212" w:lineRule="exact"/>
              <w:rPr>
                <w:sz w:val="20"/>
                <w:szCs w:val="20"/>
                <w:color w:val="auto"/>
              </w:rPr>
            </w:pPr>
            <w:r>
              <w:rPr>
                <w:rFonts w:ascii="Arial" w:cs="Arial" w:eastAsia="Arial" w:hAnsi="Arial"/>
                <w:sz w:val="20"/>
                <w:szCs w:val="20"/>
                <w:color w:val="auto"/>
              </w:rPr>
              <w:t>Angel Sutoyo</w:t>
            </w:r>
          </w:p>
        </w:tc>
      </w:tr>
      <w:tr>
        <w:trPr>
          <w:trHeight w:val="250"/>
        </w:trPr>
        <w:tc>
          <w:tcPr>
            <w:tcW w:w="9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580" w:type="dxa"/>
            <w:vAlign w:val="bottom"/>
          </w:tcPr>
          <w:p>
            <w:pPr>
              <w:ind w:left="2020"/>
              <w:spacing w:after="0"/>
              <w:rPr>
                <w:sz w:val="20"/>
                <w:szCs w:val="20"/>
                <w:color w:val="auto"/>
              </w:rPr>
            </w:pPr>
            <w:r>
              <w:rPr>
                <w:rFonts w:ascii="Arial" w:cs="Arial" w:eastAsia="Arial" w:hAnsi="Arial"/>
                <w:sz w:val="20"/>
                <w:szCs w:val="20"/>
                <w:color w:val="auto"/>
              </w:rPr>
              <w:t>Title:</w:t>
            </w:r>
          </w:p>
        </w:tc>
        <w:tc>
          <w:tcPr>
            <w:tcW w:w="4380" w:type="dxa"/>
            <w:vAlign w:val="bottom"/>
          </w:tcPr>
          <w:p>
            <w:pPr>
              <w:spacing w:after="0"/>
              <w:rPr>
                <w:sz w:val="20"/>
                <w:szCs w:val="20"/>
                <w:color w:val="auto"/>
              </w:rPr>
            </w:pPr>
            <w:r>
              <w:rPr>
                <w:rFonts w:ascii="Arial" w:cs="Arial" w:eastAsia="Arial" w:hAnsi="Arial"/>
                <w:sz w:val="20"/>
                <w:szCs w:val="20"/>
                <w:color w:val="auto"/>
              </w:rPr>
              <w:t>Senior Vice President</w:t>
            </w:r>
          </w:p>
        </w:tc>
      </w:tr>
      <w:tr>
        <w:trPr>
          <w:trHeight w:val="1677"/>
        </w:trPr>
        <w:tc>
          <w:tcPr>
            <w:tcW w:w="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2" w:right="999" w:bottom="1440" w:gutter="0" w:footer="0" w:header="0"/>
        </w:sectPr>
      </w:pPr>
    </w:p>
    <w:bookmarkStart w:id="353" w:name="page354"/>
    <w:bookmarkEnd w:id="353"/>
    <w:p>
      <w:pPr>
        <w:ind w:left="452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4520"/>
        <w:spacing w:after="0" w:line="244" w:lineRule="auto"/>
        <w:rPr>
          <w:sz w:val="20"/>
          <w:szCs w:val="20"/>
          <w:color w:val="auto"/>
        </w:rPr>
      </w:pPr>
      <w:r>
        <w:rPr>
          <w:rFonts w:ascii="Arial" w:cs="Arial" w:eastAsia="Arial" w:hAnsi="Arial"/>
          <w:sz w:val="20"/>
          <w:szCs w:val="20"/>
          <w:color w:val="auto"/>
        </w:rPr>
        <w:t>as a Lender and an L/C Issuer (solely with respect to the Existing JPMorgan Letters of Credit)</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20"/>
          <w:szCs w:val="20"/>
          <w:color w:val="auto"/>
        </w:rPr>
        <w:t>By:</w:t>
        <w:tab/>
        <w:t>/s/Anna C. Araya</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Anna C. Araya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1054735</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906" w:right="1019" w:bottom="1440" w:gutter="0" w:footer="0" w:header="0"/>
        </w:sectPr>
      </w:pPr>
    </w:p>
    <w:bookmarkStart w:id="354" w:name="page355"/>
    <w:bookmarkEnd w:id="354"/>
    <w:p>
      <w:pPr>
        <w:ind w:left="4520"/>
        <w:spacing w:after="0"/>
        <w:rPr>
          <w:sz w:val="20"/>
          <w:szCs w:val="20"/>
          <w:color w:val="auto"/>
        </w:rPr>
      </w:pPr>
      <w:r>
        <w:rPr>
          <w:rFonts w:ascii="Arial" w:cs="Arial" w:eastAsia="Arial" w:hAnsi="Arial"/>
          <w:sz w:val="19"/>
          <w:szCs w:val="19"/>
          <w:color w:val="auto"/>
        </w:rPr>
        <w:t>U.S. 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20"/>
          <w:szCs w:val="20"/>
          <w:color w:val="auto"/>
        </w:rPr>
        <w:t>By:</w:t>
        <w:tab/>
        <w:t>/s/G. Scott Lambert</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G. Scott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1054735</wp:posOffset>
            </wp:positionV>
            <wp:extent cx="629221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55" w:name="page356"/>
    <w:bookmarkEnd w:id="35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ASSIGNMENT AND ASSUMPTION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identified below (as amended, restated, amended and restated, extended, supplemented or otherwise modified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part of this Assignment and Assumption as if set forth herein in full.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w:t>
      </w:r>
    </w:p>
    <w:p>
      <w:pPr>
        <w:spacing w:after="0" w:line="1" w:lineRule="exact"/>
        <w:rPr>
          <w:sz w:val="20"/>
          <w:szCs w:val="20"/>
          <w:color w:val="auto"/>
        </w:rPr>
      </w:pPr>
    </w:p>
    <w:p>
      <w:pPr>
        <w:ind w:right="80" w:firstLine="8"/>
        <w:spacing w:after="0" w:line="268" w:lineRule="auto"/>
        <w:tabs>
          <w:tab w:leader="none" w:pos="26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all of the Assignor’s rights and obligations as a Lender under the Credit Agreement and any other documents or instruments delivered pursuant thereto in the amount[s] and equal to the percentage interest[s] identified below of all the outstanding rights and obligations of the Assignor under the respective facilities identified below (including Letters of Credit, Swingline Loans and Guarantees included in such facilities),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rights and obligations sold and assigned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u w:val="single" w:color="auto"/>
          <w:color w:val="auto"/>
        </w:rPr>
        <w:t>Assigned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0" w:type="dxa"/>
            <w:vAlign w:val="bottom"/>
          </w:tcPr>
          <w:p>
            <w:pPr>
              <w:jc w:val="right"/>
              <w:spacing w:after="0"/>
              <w:rPr>
                <w:sz w:val="20"/>
                <w:szCs w:val="20"/>
                <w:color w:val="auto"/>
              </w:rPr>
            </w:pPr>
            <w:r>
              <w:rPr>
                <w:rFonts w:ascii="Arial" w:cs="Arial" w:eastAsia="Arial" w:hAnsi="Arial"/>
                <w:sz w:val="20"/>
                <w:szCs w:val="20"/>
                <w:color w:val="auto"/>
                <w:w w:val="83"/>
              </w:rPr>
              <w:t>1.</w:t>
            </w:r>
          </w:p>
        </w:tc>
        <w:tc>
          <w:tcPr>
            <w:tcW w:w="2460" w:type="dxa"/>
            <w:vAlign w:val="bottom"/>
          </w:tcPr>
          <w:p>
            <w:pPr>
              <w:ind w:left="20"/>
              <w:spacing w:after="0"/>
              <w:rPr>
                <w:sz w:val="20"/>
                <w:szCs w:val="20"/>
                <w:color w:val="auto"/>
              </w:rPr>
            </w:pPr>
            <w:r>
              <w:rPr>
                <w:rFonts w:ascii="Arial" w:cs="Arial" w:eastAsia="Arial" w:hAnsi="Arial"/>
                <w:sz w:val="20"/>
                <w:szCs w:val="20"/>
                <w:color w:val="auto"/>
              </w:rPr>
              <w:t>Assignor:</w:t>
            </w:r>
          </w:p>
        </w:tc>
        <w:tc>
          <w:tcPr>
            <w:tcW w:w="4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r>
      <w:tr>
        <w:trPr>
          <w:trHeight w:val="249"/>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auto"/>
              </w:rPr>
              <w:t>[Assignor [is][is not] a Defaulting Lender.]</w:t>
            </w:r>
          </w:p>
        </w:tc>
      </w:tr>
      <w:tr>
        <w:trPr>
          <w:trHeight w:val="474"/>
        </w:trPr>
        <w:tc>
          <w:tcPr>
            <w:tcW w:w="180" w:type="dxa"/>
            <w:vAlign w:val="bottom"/>
          </w:tcPr>
          <w:p>
            <w:pPr>
              <w:jc w:val="right"/>
              <w:spacing w:after="0"/>
              <w:rPr>
                <w:sz w:val="20"/>
                <w:szCs w:val="20"/>
                <w:color w:val="auto"/>
              </w:rPr>
            </w:pPr>
            <w:r>
              <w:rPr>
                <w:rFonts w:ascii="Arial" w:cs="Arial" w:eastAsia="Arial" w:hAnsi="Arial"/>
                <w:sz w:val="20"/>
                <w:szCs w:val="20"/>
                <w:color w:val="auto"/>
                <w:w w:val="83"/>
              </w:rPr>
              <w:t>2.</w:t>
            </w:r>
          </w:p>
        </w:tc>
        <w:tc>
          <w:tcPr>
            <w:tcW w:w="2460" w:type="dxa"/>
            <w:vAlign w:val="bottom"/>
          </w:tcPr>
          <w:p>
            <w:pPr>
              <w:ind w:left="20"/>
              <w:spacing w:after="0"/>
              <w:rPr>
                <w:sz w:val="20"/>
                <w:szCs w:val="20"/>
                <w:color w:val="auto"/>
              </w:rPr>
            </w:pPr>
            <w:r>
              <w:rPr>
                <w:rFonts w:ascii="Arial" w:cs="Arial" w:eastAsia="Arial" w:hAnsi="Arial"/>
                <w:sz w:val="20"/>
                <w:szCs w:val="20"/>
                <w:color w:val="auto"/>
              </w:rPr>
              <w:t>Assignee:</w:t>
            </w:r>
          </w:p>
        </w:tc>
        <w:tc>
          <w:tcPr>
            <w:tcW w:w="4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385"/>
        </w:trPr>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auto"/>
              </w:rPr>
              <w:t>[and is an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r>
              <w:rPr>
                <w:rFonts w:ascii="Arial" w:cs="Arial" w:eastAsia="Arial" w:hAnsi="Arial"/>
                <w:sz w:val="29"/>
                <w:szCs w:val="29"/>
                <w:color w:val="auto"/>
                <w:vertAlign w:val="superscript"/>
              </w:rPr>
              <w:t>1</w:t>
            </w:r>
            <w:r>
              <w:rPr>
                <w:rFonts w:ascii="Arial" w:cs="Arial" w:eastAsia="Arial" w:hAnsi="Arial"/>
                <w:sz w:val="20"/>
                <w:szCs w:val="20"/>
                <w:color w:val="auto"/>
              </w:rPr>
              <w:t>]</w:t>
            </w:r>
          </w:p>
        </w:tc>
      </w:tr>
      <w:tr>
        <w:trPr>
          <w:trHeight w:val="288"/>
        </w:trPr>
        <w:tc>
          <w:tcPr>
            <w:tcW w:w="180" w:type="dxa"/>
            <w:vAlign w:val="bottom"/>
          </w:tcPr>
          <w:p>
            <w:pPr>
              <w:jc w:val="right"/>
              <w:spacing w:after="0"/>
              <w:rPr>
                <w:sz w:val="20"/>
                <w:szCs w:val="20"/>
                <w:color w:val="auto"/>
              </w:rPr>
            </w:pPr>
            <w:r>
              <w:rPr>
                <w:rFonts w:ascii="Arial" w:cs="Arial" w:eastAsia="Arial" w:hAnsi="Arial"/>
                <w:sz w:val="20"/>
                <w:szCs w:val="20"/>
                <w:color w:val="auto"/>
                <w:w w:val="83"/>
              </w:rPr>
              <w:t>3.</w:t>
            </w:r>
          </w:p>
        </w:tc>
        <w:tc>
          <w:tcPr>
            <w:tcW w:w="2460" w:type="dxa"/>
            <w:vAlign w:val="bottom"/>
          </w:tcPr>
          <w:p>
            <w:pPr>
              <w:ind w:left="20"/>
              <w:spacing w:after="0"/>
              <w:rPr>
                <w:sz w:val="20"/>
                <w:szCs w:val="20"/>
                <w:color w:val="auto"/>
              </w:rPr>
            </w:pPr>
            <w:r>
              <w:rPr>
                <w:rFonts w:ascii="Arial" w:cs="Arial" w:eastAsia="Arial" w:hAnsi="Arial"/>
                <w:sz w:val="20"/>
                <w:szCs w:val="20"/>
                <w:color w:val="auto"/>
              </w:rPr>
              <w:t>Borrower:</w:t>
            </w:r>
          </w:p>
        </w:tc>
        <w:tc>
          <w:tcPr>
            <w:tcW w:w="7280" w:type="dxa"/>
            <w:vAlign w:val="bottom"/>
            <w:gridSpan w:val="3"/>
          </w:tcPr>
          <w:p>
            <w:pPr>
              <w:spacing w:after="0"/>
              <w:rPr>
                <w:sz w:val="20"/>
                <w:szCs w:val="20"/>
                <w:color w:val="auto"/>
              </w:rPr>
            </w:pPr>
            <w:r>
              <w:rPr>
                <w:rFonts w:ascii="Arial" w:cs="Arial" w:eastAsia="Arial" w:hAnsi="Arial"/>
                <w:sz w:val="20"/>
                <w:szCs w:val="20"/>
                <w:color w:val="auto"/>
              </w:rPr>
              <w:t>AeroVironment, Inc., a Delaware corporation (the “Borrower”)</w:t>
            </w:r>
          </w:p>
        </w:tc>
      </w:tr>
      <w:tr>
        <w:trPr>
          <w:trHeight w:val="20"/>
        </w:trPr>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510"/>
        </w:trPr>
        <w:tc>
          <w:tcPr>
            <w:tcW w:w="180" w:type="dxa"/>
            <w:vAlign w:val="bottom"/>
          </w:tcPr>
          <w:p>
            <w:pPr>
              <w:jc w:val="right"/>
              <w:spacing w:after="0"/>
              <w:rPr>
                <w:sz w:val="20"/>
                <w:szCs w:val="20"/>
                <w:color w:val="auto"/>
              </w:rPr>
            </w:pPr>
            <w:r>
              <w:rPr>
                <w:rFonts w:ascii="Arial" w:cs="Arial" w:eastAsia="Arial" w:hAnsi="Arial"/>
                <w:sz w:val="20"/>
                <w:szCs w:val="20"/>
                <w:color w:val="auto"/>
                <w:w w:val="83"/>
              </w:rPr>
              <w:t>4.</w:t>
            </w:r>
          </w:p>
        </w:tc>
        <w:tc>
          <w:tcPr>
            <w:tcW w:w="2460" w:type="dxa"/>
            <w:vAlign w:val="bottom"/>
          </w:tcPr>
          <w:p>
            <w:pPr>
              <w:ind w:left="20"/>
              <w:spacing w:after="0"/>
              <w:rPr>
                <w:sz w:val="20"/>
                <w:szCs w:val="20"/>
                <w:color w:val="auto"/>
              </w:rPr>
            </w:pPr>
            <w:r>
              <w:rPr>
                <w:rFonts w:ascii="Arial" w:cs="Arial" w:eastAsia="Arial" w:hAnsi="Arial"/>
                <w:sz w:val="20"/>
                <w:szCs w:val="20"/>
                <w:color w:val="auto"/>
              </w:rPr>
              <w:t>Administrative Agent:</w:t>
            </w:r>
          </w:p>
        </w:tc>
        <w:tc>
          <w:tcPr>
            <w:tcW w:w="7280" w:type="dxa"/>
            <w:vAlign w:val="bottom"/>
            <w:gridSpan w:val="3"/>
          </w:tcPr>
          <w:p>
            <w:pPr>
              <w:spacing w:after="0"/>
              <w:rPr>
                <w:sz w:val="20"/>
                <w:szCs w:val="20"/>
                <w:color w:val="auto"/>
              </w:rPr>
            </w:pPr>
            <w:r>
              <w:rPr>
                <w:rFonts w:ascii="Arial" w:cs="Arial" w:eastAsia="Arial" w:hAnsi="Arial"/>
                <w:sz w:val="20"/>
                <w:szCs w:val="20"/>
                <w:color w:val="auto"/>
              </w:rPr>
              <w:t>Bank of America, N.A., as the administrative agent under the Credit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53"/>
        </w:numPr>
        <w:rPr>
          <w:rFonts w:ascii="Arial" w:cs="Arial" w:eastAsia="Arial" w:hAnsi="Arial"/>
          <w:sz w:val="30"/>
          <w:szCs w:val="30"/>
          <w:color w:val="auto"/>
          <w:vertAlign w:val="superscript"/>
        </w:rPr>
      </w:pPr>
      <w:r>
        <w:rPr>
          <w:rFonts w:ascii="Arial" w:cs="Arial" w:eastAsia="Arial" w:hAnsi="Arial"/>
          <w:sz w:val="20"/>
          <w:szCs w:val="20"/>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56" w:name="page357"/>
    <w:bookmarkEnd w:id="356"/>
    <w:tbl>
      <w:tblPr>
        <w:tblLayout w:type="fixed"/>
        <w:tblInd w:w="1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5. Credit Agreement:</w:t>
            </w:r>
          </w:p>
        </w:tc>
        <w:tc>
          <w:tcPr>
            <w:tcW w:w="7440" w:type="dxa"/>
            <w:vAlign w:val="bottom"/>
            <w:gridSpan w:val="3"/>
          </w:tcPr>
          <w:p>
            <w:pPr>
              <w:ind w:left="160"/>
              <w:spacing w:after="0"/>
              <w:rPr>
                <w:sz w:val="20"/>
                <w:szCs w:val="20"/>
                <w:color w:val="auto"/>
              </w:rPr>
            </w:pPr>
            <w:r>
              <w:rPr>
                <w:rFonts w:ascii="Arial" w:cs="Arial" w:eastAsia="Arial" w:hAnsi="Arial"/>
                <w:sz w:val="20"/>
                <w:szCs w:val="20"/>
                <w:color w:val="auto"/>
                <w:w w:val="92"/>
              </w:rPr>
              <w:t>Credit Agreement, dated as of February [__], 2021, among the Borrower, the Guarantors</w:t>
            </w:r>
          </w:p>
        </w:tc>
      </w:tr>
      <w:tr>
        <w:trPr>
          <w:trHeight w:val="230"/>
        </w:trPr>
        <w:tc>
          <w:tcPr>
            <w:tcW w:w="2480" w:type="dxa"/>
            <w:vAlign w:val="bottom"/>
          </w:tcPr>
          <w:p>
            <w:pPr>
              <w:spacing w:after="0"/>
              <w:rPr>
                <w:sz w:val="19"/>
                <w:szCs w:val="19"/>
                <w:color w:val="auto"/>
              </w:rPr>
            </w:pPr>
          </w:p>
        </w:tc>
        <w:tc>
          <w:tcPr>
            <w:tcW w:w="7440" w:type="dxa"/>
            <w:vAlign w:val="bottom"/>
            <w:gridSpan w:val="3"/>
          </w:tcPr>
          <w:p>
            <w:pPr>
              <w:ind w:left="160"/>
              <w:spacing w:after="0"/>
              <w:rPr>
                <w:sz w:val="20"/>
                <w:szCs w:val="20"/>
                <w:color w:val="auto"/>
              </w:rPr>
            </w:pPr>
            <w:r>
              <w:rPr>
                <w:rFonts w:ascii="Arial" w:cs="Arial" w:eastAsia="Arial" w:hAnsi="Arial"/>
                <w:sz w:val="20"/>
                <w:szCs w:val="20"/>
                <w:color w:val="auto"/>
                <w:w w:val="93"/>
              </w:rPr>
              <w:t>party thereto, the Lenders from time to time party thereto, Bank of America, N.A., as the</w:t>
            </w:r>
          </w:p>
        </w:tc>
      </w:tr>
      <w:tr>
        <w:trPr>
          <w:trHeight w:val="229"/>
        </w:trPr>
        <w:tc>
          <w:tcPr>
            <w:tcW w:w="2480" w:type="dxa"/>
            <w:vAlign w:val="bottom"/>
          </w:tcPr>
          <w:p>
            <w:pPr>
              <w:spacing w:after="0"/>
              <w:rPr>
                <w:sz w:val="19"/>
                <w:szCs w:val="19"/>
                <w:color w:val="auto"/>
              </w:rPr>
            </w:pPr>
          </w:p>
        </w:tc>
        <w:tc>
          <w:tcPr>
            <w:tcW w:w="7440" w:type="dxa"/>
            <w:vAlign w:val="bottom"/>
            <w:gridSpan w:val="3"/>
          </w:tcPr>
          <w:p>
            <w:pPr>
              <w:ind w:left="160"/>
              <w:spacing w:after="0"/>
              <w:rPr>
                <w:sz w:val="20"/>
                <w:szCs w:val="20"/>
                <w:color w:val="auto"/>
              </w:rPr>
            </w:pPr>
            <w:r>
              <w:rPr>
                <w:rFonts w:ascii="Arial" w:cs="Arial" w:eastAsia="Arial" w:hAnsi="Arial"/>
                <w:sz w:val="20"/>
                <w:szCs w:val="20"/>
                <w:color w:val="auto"/>
                <w:w w:val="92"/>
              </w:rPr>
              <w:t>Administrative Agent, the Swingline Lender, and an L/C Issuer, and the other L/C Issuers</w:t>
            </w:r>
          </w:p>
        </w:tc>
      </w:tr>
      <w:tr>
        <w:trPr>
          <w:trHeight w:val="250"/>
        </w:trPr>
        <w:tc>
          <w:tcPr>
            <w:tcW w:w="2480" w:type="dxa"/>
            <w:vAlign w:val="bottom"/>
          </w:tcPr>
          <w:p>
            <w:pPr>
              <w:spacing w:after="0"/>
              <w:rPr>
                <w:sz w:val="21"/>
                <w:szCs w:val="21"/>
                <w:color w:val="auto"/>
              </w:rPr>
            </w:pPr>
          </w:p>
        </w:tc>
        <w:tc>
          <w:tcPr>
            <w:tcW w:w="2500" w:type="dxa"/>
            <w:vAlign w:val="bottom"/>
          </w:tcPr>
          <w:p>
            <w:pPr>
              <w:ind w:left="160"/>
              <w:spacing w:after="0"/>
              <w:rPr>
                <w:sz w:val="20"/>
                <w:szCs w:val="20"/>
                <w:color w:val="auto"/>
              </w:rPr>
            </w:pPr>
            <w:r>
              <w:rPr>
                <w:rFonts w:ascii="Arial" w:cs="Arial" w:eastAsia="Arial" w:hAnsi="Arial"/>
                <w:sz w:val="20"/>
                <w:szCs w:val="20"/>
                <w:color w:val="auto"/>
              </w:rPr>
              <w:t>party thereto</w:t>
            </w:r>
          </w:p>
        </w:tc>
        <w:tc>
          <w:tcPr>
            <w:tcW w:w="252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73"/>
        </w:trPr>
        <w:tc>
          <w:tcPr>
            <w:tcW w:w="2480" w:type="dxa"/>
            <w:vAlign w:val="bottom"/>
          </w:tcPr>
          <w:p>
            <w:pPr>
              <w:spacing w:after="0"/>
              <w:rPr>
                <w:sz w:val="20"/>
                <w:szCs w:val="20"/>
                <w:color w:val="auto"/>
              </w:rPr>
            </w:pPr>
            <w:r>
              <w:rPr>
                <w:rFonts w:ascii="Arial" w:cs="Arial" w:eastAsia="Arial" w:hAnsi="Arial"/>
                <w:sz w:val="20"/>
                <w:szCs w:val="20"/>
                <w:color w:val="auto"/>
              </w:rPr>
              <w:t>6. Assigned Interest:</w:t>
            </w:r>
          </w:p>
        </w:tc>
        <w:tc>
          <w:tcPr>
            <w:tcW w:w="2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5"/>
        </w:trPr>
        <w:tc>
          <w:tcPr>
            <w:tcW w:w="24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r>
      <w:tr>
        <w:trPr>
          <w:trHeight w:val="206"/>
        </w:trPr>
        <w:tc>
          <w:tcPr>
            <w:tcW w:w="2480" w:type="dxa"/>
            <w:vAlign w:val="bottom"/>
            <w:tcBorders>
              <w:left w:val="single" w:sz="8" w:color="auto"/>
              <w:right w:val="single" w:sz="8" w:color="auto"/>
            </w:tcBorders>
          </w:tcPr>
          <w:p>
            <w:pPr>
              <w:ind w:left="500"/>
              <w:spacing w:after="0" w:line="207" w:lineRule="exact"/>
              <w:rPr>
                <w:sz w:val="20"/>
                <w:szCs w:val="20"/>
                <w:color w:val="auto"/>
              </w:rPr>
            </w:pPr>
            <w:r>
              <w:rPr>
                <w:rFonts w:ascii="Arial" w:cs="Arial" w:eastAsia="Arial" w:hAnsi="Arial"/>
                <w:sz w:val="16"/>
                <w:szCs w:val="16"/>
                <w:color w:val="auto"/>
              </w:rPr>
              <w:t>Facility Assigned</w:t>
            </w:r>
            <w:r>
              <w:rPr>
                <w:rFonts w:ascii="Arial" w:cs="Arial" w:eastAsia="Arial" w:hAnsi="Arial"/>
                <w:sz w:val="23"/>
                <w:szCs w:val="23"/>
                <w:color w:val="auto"/>
                <w:vertAlign w:val="superscript"/>
              </w:rPr>
              <w:t>2</w:t>
            </w:r>
          </w:p>
        </w:tc>
        <w:tc>
          <w:tcPr>
            <w:tcW w:w="25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Aggregate Amount of</w:t>
            </w:r>
          </w:p>
        </w:tc>
        <w:tc>
          <w:tcPr>
            <w:tcW w:w="25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Amount of</w:t>
            </w:r>
          </w:p>
        </w:tc>
        <w:tc>
          <w:tcPr>
            <w:tcW w:w="24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Percentage Assigned</w:t>
            </w:r>
          </w:p>
        </w:tc>
      </w:tr>
      <w:tr>
        <w:trPr>
          <w:trHeight w:val="229"/>
        </w:trPr>
        <w:tc>
          <w:tcPr>
            <w:tcW w:w="2480" w:type="dxa"/>
            <w:vAlign w:val="bottom"/>
            <w:tcBorders>
              <w:left w:val="single" w:sz="8" w:color="auto"/>
              <w:right w:val="single" w:sz="8" w:color="auto"/>
            </w:tcBorders>
          </w:tcPr>
          <w:p>
            <w:pPr>
              <w:spacing w:after="0"/>
              <w:rPr>
                <w:sz w:val="19"/>
                <w:szCs w:val="19"/>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Commitments/Loans for all</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Commitment/Loans</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of</w:t>
            </w:r>
          </w:p>
        </w:tc>
      </w:tr>
      <w:tr>
        <w:trPr>
          <w:trHeight w:val="246"/>
        </w:trPr>
        <w:tc>
          <w:tcPr>
            <w:tcW w:w="2480" w:type="dxa"/>
            <w:vAlign w:val="bottom"/>
            <w:tcBorders>
              <w:left w:val="single" w:sz="8" w:color="auto"/>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jc w:val="center"/>
              <w:spacing w:after="0" w:line="246" w:lineRule="exact"/>
              <w:rPr>
                <w:sz w:val="20"/>
                <w:szCs w:val="20"/>
                <w:color w:val="auto"/>
              </w:rPr>
            </w:pPr>
            <w:r>
              <w:rPr>
                <w:rFonts w:ascii="Arial" w:cs="Arial" w:eastAsia="Arial" w:hAnsi="Arial"/>
                <w:sz w:val="19"/>
                <w:szCs w:val="19"/>
                <w:color w:val="auto"/>
                <w:w w:val="92"/>
              </w:rPr>
              <w:t>Lenders</w:t>
            </w:r>
            <w:r>
              <w:rPr>
                <w:rFonts w:ascii="Arial" w:cs="Arial" w:eastAsia="Arial" w:hAnsi="Arial"/>
                <w:sz w:val="28"/>
                <w:szCs w:val="28"/>
                <w:color w:val="auto"/>
                <w:w w:val="92"/>
                <w:vertAlign w:val="superscript"/>
              </w:rPr>
              <w:t>*</w:t>
            </w:r>
          </w:p>
        </w:tc>
        <w:tc>
          <w:tcPr>
            <w:tcW w:w="2520" w:type="dxa"/>
            <w:vAlign w:val="bottom"/>
            <w:tcBorders>
              <w:bottom w:val="single" w:sz="8" w:color="auto"/>
              <w:right w:val="single" w:sz="8" w:color="auto"/>
            </w:tcBorders>
          </w:tcPr>
          <w:p>
            <w:pPr>
              <w:jc w:val="center"/>
              <w:spacing w:after="0" w:line="246" w:lineRule="exact"/>
              <w:rPr>
                <w:sz w:val="20"/>
                <w:szCs w:val="20"/>
                <w:color w:val="auto"/>
              </w:rPr>
            </w:pPr>
            <w:r>
              <w:rPr>
                <w:rFonts w:ascii="Arial" w:cs="Arial" w:eastAsia="Arial" w:hAnsi="Arial"/>
                <w:sz w:val="19"/>
                <w:szCs w:val="19"/>
                <w:color w:val="auto"/>
                <w:w w:val="95"/>
              </w:rPr>
              <w:t>Assigned</w:t>
            </w:r>
            <w:r>
              <w:rPr>
                <w:rFonts w:ascii="Arial" w:cs="Arial" w:eastAsia="Arial" w:hAnsi="Arial"/>
                <w:sz w:val="28"/>
                <w:szCs w:val="28"/>
                <w:color w:val="auto"/>
                <w:w w:val="95"/>
                <w:vertAlign w:val="superscript"/>
              </w:rPr>
              <w:t>*</w:t>
            </w:r>
          </w:p>
        </w:tc>
        <w:tc>
          <w:tcPr>
            <w:tcW w:w="2420" w:type="dxa"/>
            <w:vAlign w:val="bottom"/>
            <w:tcBorders>
              <w:bottom w:val="single" w:sz="8" w:color="auto"/>
              <w:right w:val="single" w:sz="8" w:color="auto"/>
            </w:tcBorders>
          </w:tcPr>
          <w:p>
            <w:pPr>
              <w:jc w:val="center"/>
              <w:spacing w:after="0" w:line="246" w:lineRule="exact"/>
              <w:rPr>
                <w:sz w:val="20"/>
                <w:szCs w:val="20"/>
                <w:color w:val="auto"/>
              </w:rPr>
            </w:pPr>
            <w:r>
              <w:rPr>
                <w:rFonts w:ascii="Arial" w:cs="Arial" w:eastAsia="Arial" w:hAnsi="Arial"/>
                <w:sz w:val="19"/>
                <w:szCs w:val="19"/>
                <w:color w:val="auto"/>
                <w:w w:val="93"/>
              </w:rPr>
              <w:t>Commitments/Loans</w:t>
            </w:r>
            <w:r>
              <w:rPr>
                <w:rFonts w:ascii="Arial" w:cs="Arial" w:eastAsia="Arial" w:hAnsi="Arial"/>
                <w:sz w:val="28"/>
                <w:szCs w:val="28"/>
                <w:color w:val="auto"/>
                <w:w w:val="93"/>
                <w:vertAlign w:val="superscript"/>
              </w:rPr>
              <w:t>3</w:t>
            </w:r>
          </w:p>
        </w:tc>
      </w:tr>
      <w:tr>
        <w:trPr>
          <w:trHeight w:val="223"/>
        </w:trPr>
        <w:tc>
          <w:tcPr>
            <w:tcW w:w="248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right"/>
              <w:ind w:right="2242"/>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w:t>
            </w:r>
          </w:p>
        </w:tc>
      </w:tr>
      <w:tr>
        <w:trPr>
          <w:trHeight w:val="223"/>
        </w:trPr>
        <w:tc>
          <w:tcPr>
            <w:tcW w:w="248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right"/>
              <w:ind w:right="2242"/>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w:t>
            </w:r>
          </w:p>
        </w:tc>
      </w:tr>
      <w:tr>
        <w:trPr>
          <w:trHeight w:val="223"/>
        </w:trPr>
        <w:tc>
          <w:tcPr>
            <w:tcW w:w="248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right"/>
              <w:ind w:right="2242"/>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[7. Trade Date: ______________]</w:t>
      </w:r>
      <w:r>
        <w:rPr>
          <w:rFonts w:ascii="Arial" w:cs="Arial" w:eastAsia="Arial" w:hAnsi="Arial"/>
          <w:sz w:val="29"/>
          <w:szCs w:val="29"/>
          <w:color w:val="auto"/>
          <w:vertAlign w:val="superscript"/>
        </w:rPr>
        <w:t>4</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 ___, 20___ [TO BE INSERTED BY ADMINISTRATIVE AGENT AND WHICH SHALL</w:t>
      </w:r>
    </w:p>
    <w:p>
      <w:pPr>
        <w:spacing w:after="0" w:line="27" w:lineRule="exact"/>
        <w:rPr>
          <w:sz w:val="20"/>
          <w:szCs w:val="20"/>
          <w:color w:val="auto"/>
        </w:rPr>
      </w:pPr>
    </w:p>
    <w:p>
      <w:pPr>
        <w:ind w:left="4000" w:right="1600" w:hanging="3991"/>
        <w:spacing w:after="0" w:line="469" w:lineRule="auto"/>
        <w:rPr>
          <w:sz w:val="20"/>
          <w:szCs w:val="20"/>
          <w:color w:val="auto"/>
        </w:rPr>
      </w:pPr>
      <w:r>
        <w:rPr>
          <w:rFonts w:ascii="Arial" w:cs="Arial" w:eastAsia="Arial" w:hAnsi="Arial"/>
          <w:sz w:val="20"/>
          <w:szCs w:val="20"/>
          <w:color w:val="auto"/>
        </w:rPr>
        <w:t>BE THE EFFECTIVE DATE OF RECORDATION OF TRANSFER IN THE REGISTER THEREFOR.] [</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15684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6" w:lineRule="exact"/>
        <w:rPr>
          <w:sz w:val="20"/>
          <w:szCs w:val="20"/>
          <w:color w:val="auto"/>
        </w:rPr>
      </w:pPr>
    </w:p>
    <w:p>
      <w:pPr>
        <w:ind w:left="340" w:right="240" w:hanging="332"/>
        <w:spacing w:after="0" w:line="198" w:lineRule="auto"/>
        <w:tabs>
          <w:tab w:leader="none" w:pos="340" w:val="left"/>
        </w:tabs>
        <w:numPr>
          <w:ilvl w:val="0"/>
          <w:numId w:val="354"/>
        </w:numPr>
        <w:rPr>
          <w:rFonts w:ascii="Arial" w:cs="Arial" w:eastAsia="Arial" w:hAnsi="Arial"/>
          <w:sz w:val="30"/>
          <w:szCs w:val="30"/>
          <w:color w:val="auto"/>
          <w:vertAlign w:val="superscript"/>
        </w:rPr>
      </w:pPr>
      <w:r>
        <w:rPr>
          <w:rFonts w:ascii="Arial" w:cs="Arial" w:eastAsia="Arial" w:hAnsi="Arial"/>
          <w:sz w:val="20"/>
          <w:szCs w:val="20"/>
          <w:color w:val="auto"/>
        </w:rPr>
        <w:t>Fill in the appropriate terminology for the types of facilities under the Credit Agreement that are being assigned under this Assignment and Assumption (e.g. “Revolving Facility”, “Term A Loans”, etc.)</w:t>
      </w:r>
    </w:p>
    <w:p>
      <w:pPr>
        <w:spacing w:after="0" w:line="1" w:lineRule="exact"/>
        <w:rPr>
          <w:sz w:val="20"/>
          <w:szCs w:val="20"/>
          <w:color w:val="auto"/>
        </w:rPr>
      </w:pPr>
    </w:p>
    <w:p>
      <w:pPr>
        <w:ind w:left="340" w:right="80" w:hanging="332"/>
        <w:spacing w:after="0" w:line="191" w:lineRule="auto"/>
        <w:tabs>
          <w:tab w:leader="none" w:pos="340" w:val="left"/>
        </w:tabs>
        <w:numPr>
          <w:ilvl w:val="0"/>
          <w:numId w:val="355"/>
        </w:numPr>
        <w:rPr>
          <w:rFonts w:ascii="Arial" w:cs="Arial" w:eastAsia="Arial" w:hAnsi="Arial"/>
          <w:sz w:val="30"/>
          <w:szCs w:val="30"/>
          <w:color w:val="auto"/>
          <w:vertAlign w:val="superscript"/>
        </w:rPr>
      </w:pPr>
      <w:r>
        <w:rPr>
          <w:rFonts w:ascii="Arial" w:cs="Arial" w:eastAsia="Arial" w:hAnsi="Arial"/>
          <w:sz w:val="20"/>
          <w:szCs w:val="20"/>
          <w:color w:val="auto"/>
        </w:rPr>
        <w:t>Amount to be adjusted by the counterparties to take into account any payments or prepayments made between the Trade Date and the Effective Date.</w:t>
      </w:r>
    </w:p>
    <w:p>
      <w:pPr>
        <w:ind w:left="340" w:hanging="332"/>
        <w:spacing w:after="0" w:line="185" w:lineRule="auto"/>
        <w:tabs>
          <w:tab w:leader="none" w:pos="340" w:val="left"/>
        </w:tabs>
        <w:numPr>
          <w:ilvl w:val="0"/>
          <w:numId w:val="356"/>
        </w:numPr>
        <w:rPr>
          <w:rFonts w:ascii="Arial" w:cs="Arial" w:eastAsia="Arial" w:hAnsi="Arial"/>
          <w:sz w:val="26"/>
          <w:szCs w:val="26"/>
          <w:color w:val="auto"/>
          <w:vertAlign w:val="superscript"/>
        </w:rPr>
      </w:pPr>
      <w:r>
        <w:rPr>
          <w:rFonts w:ascii="Arial" w:cs="Arial" w:eastAsia="Arial" w:hAnsi="Arial"/>
          <w:sz w:val="18"/>
          <w:szCs w:val="18"/>
          <w:color w:val="auto"/>
        </w:rPr>
        <w:t>Set forth, to at least 9 decimals, as a percentage of the Commitments/Loans of all Lenders thereunder.</w:t>
      </w:r>
    </w:p>
    <w:p>
      <w:pPr>
        <w:ind w:left="340" w:right="80" w:hanging="332"/>
        <w:spacing w:after="0" w:line="193" w:lineRule="auto"/>
        <w:tabs>
          <w:tab w:leader="none" w:pos="340" w:val="left"/>
        </w:tabs>
        <w:numPr>
          <w:ilvl w:val="0"/>
          <w:numId w:val="357"/>
        </w:numPr>
        <w:rPr>
          <w:rFonts w:ascii="Arial" w:cs="Arial" w:eastAsia="Arial" w:hAnsi="Arial"/>
          <w:sz w:val="30"/>
          <w:szCs w:val="30"/>
          <w:color w:val="auto"/>
          <w:vertAlign w:val="superscript"/>
        </w:rPr>
      </w:pPr>
      <w:r>
        <w:rPr>
          <w:rFonts w:ascii="Arial" w:cs="Arial" w:eastAsia="Arial" w:hAnsi="Arial"/>
          <w:sz w:val="20"/>
          <w:szCs w:val="20"/>
          <w:color w:val="auto"/>
        </w:rPr>
        <w:t>To be completed if the Assignor and the Assignee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906780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5" w:right="999" w:bottom="1440" w:gutter="0" w:footer="0" w:header="0"/>
        </w:sectPr>
      </w:pPr>
    </w:p>
    <w:bookmarkStart w:id="357" w:name="page358"/>
    <w:bookmarkEnd w:id="357"/>
    <w:p>
      <w:pPr>
        <w:ind w:left="6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OF ASSIGNOR],</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as the Assignor</w:t>
      </w: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ind w:left="49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OF ASSIGNEE],</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As the Assignee</w:t>
      </w: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ind w:left="49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9"/>
          <w:szCs w:val="29"/>
          <w:color w:val="auto"/>
          <w:vertAlign w:val="superscript"/>
        </w:rPr>
        <w:t>5</w:t>
      </w:r>
      <w:r>
        <w:rPr>
          <w:rFonts w:ascii="Arial" w:cs="Arial" w:eastAsia="Arial" w:hAnsi="Arial"/>
          <w:sz w:val="20"/>
          <w:szCs w:val="20"/>
          <w:color w:val="auto"/>
        </w:rPr>
        <w:t xml:space="preserve"> Accepted: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9"/>
          <w:szCs w:val="29"/>
          <w:color w:val="auto"/>
          <w:vertAlign w:val="superscript"/>
        </w:rPr>
        <w:t>6</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Swingline Lender][[and] the L/C Issuer]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an L/C Issuer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358"/>
        </w:numPr>
        <w:rPr>
          <w:rFonts w:ascii="Arial" w:cs="Arial" w:eastAsia="Arial" w:hAnsi="Arial"/>
          <w:sz w:val="29"/>
          <w:szCs w:val="29"/>
          <w:color w:val="auto"/>
          <w:vertAlign w:val="superscript"/>
        </w:rPr>
      </w:pPr>
      <w:r>
        <w:rPr>
          <w:rFonts w:ascii="Arial" w:cs="Arial" w:eastAsia="Arial" w:hAnsi="Arial"/>
          <w:sz w:val="19"/>
          <w:szCs w:val="19"/>
          <w:color w:val="auto"/>
        </w:rPr>
        <w:t>To be added only if the consent of the Administrative Agent is required by the terms of the Credit Agreement.</w:t>
      </w:r>
    </w:p>
    <w:p>
      <w:pPr>
        <w:ind w:left="340" w:hanging="332"/>
        <w:spacing w:after="0" w:line="193" w:lineRule="auto"/>
        <w:tabs>
          <w:tab w:leader="none" w:pos="340" w:val="left"/>
        </w:tabs>
        <w:numPr>
          <w:ilvl w:val="0"/>
          <w:numId w:val="359"/>
        </w:numPr>
        <w:rPr>
          <w:rFonts w:ascii="Arial" w:cs="Arial" w:eastAsia="Arial" w:hAnsi="Arial"/>
          <w:sz w:val="30"/>
          <w:szCs w:val="30"/>
          <w:color w:val="auto"/>
          <w:vertAlign w:val="superscript"/>
        </w:rPr>
      </w:pPr>
      <w:r>
        <w:rPr>
          <w:rFonts w:ascii="Arial" w:cs="Arial" w:eastAsia="Arial" w:hAnsi="Arial"/>
          <w:sz w:val="20"/>
          <w:szCs w:val="20"/>
          <w:color w:val="auto"/>
        </w:rPr>
        <w:t>To be added only if the consent of the Borrower and/or other parties (e.g. the L/C Issuer)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915670</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906" w:right="1139" w:bottom="1440" w:gutter="0" w:footer="0" w:header="0"/>
        </w:sectPr>
      </w:pPr>
    </w:p>
    <w:bookmarkStart w:id="358" w:name="page359"/>
    <w:bookmarkEnd w:id="358"/>
    <w:p>
      <w:pPr>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[AEROVIRONMENT,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917575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906" w:right="1440" w:bottom="1440" w:gutter="0" w:footer="0" w:header="0"/>
        </w:sectPr>
      </w:pPr>
    </w:p>
    <w:bookmarkStart w:id="359" w:name="page360"/>
    <w:bookmarkEnd w:id="359"/>
    <w:p>
      <w:pPr>
        <w:jc w:val="right"/>
        <w:spacing w:after="0"/>
        <w:rPr>
          <w:sz w:val="20"/>
          <w:szCs w:val="20"/>
          <w:color w:val="auto"/>
        </w:rPr>
      </w:pPr>
      <w:r>
        <w:rPr>
          <w:rFonts w:ascii="Arial" w:cs="Arial" w:eastAsia="Arial" w:hAnsi="Arial"/>
          <w:sz w:val="20"/>
          <w:szCs w:val="20"/>
          <w:color w:val="auto"/>
        </w:rPr>
        <w:t>ANNEX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ind w:left="1300" w:hanging="644"/>
        <w:spacing w:after="0"/>
        <w:tabs>
          <w:tab w:leader="none" w:pos="1300" w:val="left"/>
        </w:tabs>
        <w:numPr>
          <w:ilvl w:val="0"/>
          <w:numId w:val="36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to be an assignee under the terms of the Credit Agreement (subject to such consents, if any, as may be required under the terms of the Credit Agreement), (iii) from and after the Effective Date, it shall be bound by the provisions of the Credit Agreement and the other Loan Documents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3" w:lineRule="exact"/>
        <w:rPr>
          <w:sz w:val="20"/>
          <w:szCs w:val="20"/>
          <w:color w:val="auto"/>
        </w:rPr>
      </w:pPr>
    </w:p>
    <w:p>
      <w:pPr>
        <w:jc w:val="both"/>
        <w:ind w:firstLine="656"/>
        <w:spacing w:after="0" w:line="260" w:lineRule="auto"/>
        <w:tabs>
          <w:tab w:leader="none" w:pos="1296"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Administrative Agent shall make all payments of interest, fees or other amounts paid or payable in kind from and after the Effective Date to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1033780</wp:posOffset>
            </wp:positionV>
            <wp:extent cx="629221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60" w:name="page361"/>
    <w:bookmarkEnd w:id="360"/>
    <w:p>
      <w:pPr>
        <w:jc w:val="both"/>
        <w:ind w:left="-460" w:firstLine="656"/>
        <w:spacing w:after="0" w:line="255" w:lineRule="auto"/>
        <w:tabs>
          <w:tab w:leader="none" w:pos="836" w:val="left"/>
        </w:tabs>
        <w:numPr>
          <w:ilvl w:val="0"/>
          <w:numId w:val="362"/>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fax transmission or e-mail transmission (e.g. “pdf” or “tif”) shall be effective as delivery of a manually executed counterpart of this Assignment and Assumption. THIS ASSIGNMENT AND ASSUMPTION AND ANY CLAIMS, CONTROVERSY, DISPUTE OR CAUSE OF ACTION (WHETHER IN CONTRACT OR TORT OR OTHERWISE) BASED UPON, ARISING OUT OF OR RELATING TO THIS ASSIGNMENT AND ASSUMPTION AND THE TRANSACTIONS CONTEMPLATED HEREBY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1039495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06" w:right="999" w:bottom="1440" w:gutter="0" w:footer="0" w:header="0"/>
        </w:sectPr>
      </w:pPr>
    </w:p>
    <w:bookmarkStart w:id="361" w:name="page362"/>
    <w:bookmarkEnd w:id="361"/>
    <w:p>
      <w:pPr>
        <w:ind w:left="1000"/>
        <w:spacing w:after="0"/>
        <w:rPr>
          <w:sz w:val="20"/>
          <w:szCs w:val="20"/>
          <w:color w:val="auto"/>
        </w:rPr>
      </w:pPr>
      <w:r>
        <w:rPr>
          <w:sz w:val="1"/>
          <w:szCs w:val="1"/>
          <w:color w:val="auto"/>
        </w:rPr>
        <w:drawing>
          <wp:inline distT="0" distB="0" distL="0" distR="0">
            <wp:extent cx="394335" cy="17145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394335" cy="171450"/>
                    </a:xfrm>
                    <a:prstGeom prst="rect">
                      <a:avLst/>
                    </a:prstGeom>
                    <a:noFill/>
                    <a:ln>
                      <a:noFill/>
                    </a:ln>
                  </pic:spPr>
                </pic:pic>
              </a:graphicData>
            </a:graphic>
          </wp:inline>
        </w:drawing>
        <w:drawing>
          <wp:inline distT="0" distB="0" distL="0" distR="0">
            <wp:extent cx="8890" cy="17145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22"/>
          <w:szCs w:val="22"/>
          <w:b w:val="1"/>
          <w:bCs w:val="1"/>
          <w:color w:val="auto"/>
        </w:rPr>
        <w:t xml:space="preserve">Check for distribution to Public Lenders </w:t>
      </w:r>
      <w:r>
        <w:rPr>
          <w:rFonts w:ascii="Arial" w:cs="Arial" w:eastAsia="Arial" w:hAnsi="Arial"/>
          <w:sz w:val="22"/>
          <w:szCs w:val="22"/>
          <w:b w:val="1"/>
          <w:bCs w:val="1"/>
          <w:u w:val="single" w:color="auto"/>
          <w:color w:val="auto"/>
        </w:rPr>
        <w:t>and</w:t>
      </w:r>
      <w:r>
        <w:rPr>
          <w:rFonts w:ascii="Arial" w:cs="Arial" w:eastAsia="Arial" w:hAnsi="Arial"/>
          <w:sz w:val="22"/>
          <w:szCs w:val="22"/>
          <w:b w:val="1"/>
          <w:bCs w:val="1"/>
          <w:color w:val="auto"/>
        </w:rPr>
        <w:t xml:space="preserve"> Private side Lenders</w:t>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-8255</wp:posOffset>
            </wp:positionV>
            <wp:extent cx="3943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69" w:lineRule="exact"/>
        <w:rPr>
          <w:sz w:val="20"/>
          <w:szCs w:val="20"/>
          <w:color w:val="auto"/>
        </w:rPr>
      </w:pPr>
    </w:p>
    <w:p>
      <w:pPr>
        <w:ind w:left="440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Date:____________</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______________________, [Chief Executive Officer][Chief Financial Officer][Treasurer][Controller] of</w:t>
      </w:r>
    </w:p>
    <w:p>
      <w:pPr>
        <w:spacing w:after="0" w:line="43"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 hereby certify that, to the best of my knowledge and belief, in my capacity as [Chief Executive Officer][Chief Financial Officer][Treasurer][Controller] and not in my individual capacity, with respect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the Borrower, the Guarantors party thereto, the Lenders from time to time party thereto, Bank of America, N.A., as the Administrative Agent, the Swingline Lender, and an L/C Issuer, and the other L/C Issuers party thereto:</w:t>
      </w:r>
    </w:p>
    <w:p>
      <w:pPr>
        <w:spacing w:after="0" w:line="159" w:lineRule="exact"/>
        <w:rPr>
          <w:sz w:val="20"/>
          <w:szCs w:val="20"/>
          <w:color w:val="auto"/>
        </w:rPr>
      </w:pPr>
    </w:p>
    <w:p>
      <w:pPr>
        <w:ind w:left="1300" w:hanging="644"/>
        <w:spacing w:after="0"/>
        <w:tabs>
          <w:tab w:leader="none" w:pos="1300" w:val="left"/>
        </w:tabs>
        <w:numPr>
          <w:ilvl w:val="0"/>
          <w:numId w:val="363"/>
        </w:numPr>
        <w:rPr>
          <w:rFonts w:ascii="Arial" w:cs="Arial" w:eastAsia="Arial" w:hAnsi="Arial"/>
          <w:sz w:val="21"/>
          <w:szCs w:val="21"/>
          <w:color w:val="auto"/>
        </w:rPr>
      </w:pPr>
      <w:r>
        <w:rPr>
          <w:rFonts w:ascii="Arial" w:cs="Arial" w:eastAsia="Arial" w:hAnsi="Arial"/>
          <w:sz w:val="21"/>
          <w:szCs w:val="21"/>
          <w:color w:val="auto"/>
        </w:rPr>
        <w:t>This Compliance Certificate is delivered for the fiscal [year][quarter] of the Borrower ended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_________________, 20___.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Use following paragraph 2 for fiscal year-end financial statements:</w:t>
      </w:r>
      <w:r>
        <w:rPr>
          <w:rFonts w:ascii="Arial" w:cs="Arial" w:eastAsia="Arial" w:hAnsi="Arial"/>
          <w:sz w:val="22"/>
          <w:szCs w:val="22"/>
          <w:color w:val="auto"/>
        </w:rPr>
        <w:t>]</w:t>
      </w:r>
    </w:p>
    <w:p>
      <w:pPr>
        <w:spacing w:after="0" w:line="206"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22"/>
          <w:szCs w:val="22"/>
          <w:color w:val="auto"/>
        </w:rPr>
        <w:t>[2. The year-end audited financial statements required by Section 6.01(a) of the Credit Agreement for the fiscal year of the Borrower ended as of the date set forth in paragraph 1, together with the report and opinion of an independent certified public accountant required by such section, have been delivered to the Administrative Agent.]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Use following paragraph 2 for fiscal quarter-end financial statements:</w:t>
      </w:r>
      <w:r>
        <w:rPr>
          <w:rFonts w:ascii="Arial" w:cs="Arial" w:eastAsia="Arial" w:hAnsi="Arial"/>
          <w:sz w:val="22"/>
          <w:szCs w:val="22"/>
          <w:color w:val="auto"/>
        </w:rPr>
        <w:t>]</w:t>
      </w:r>
    </w:p>
    <w:p>
      <w:pPr>
        <w:spacing w:after="0" w:line="206" w:lineRule="exact"/>
        <w:rPr>
          <w:sz w:val="20"/>
          <w:szCs w:val="20"/>
          <w:color w:val="auto"/>
        </w:rPr>
      </w:pPr>
    </w:p>
    <w:p>
      <w:pPr>
        <w:ind w:right="380" w:firstLine="648"/>
        <w:spacing w:after="0" w:line="235" w:lineRule="auto"/>
        <w:rPr>
          <w:sz w:val="20"/>
          <w:szCs w:val="20"/>
          <w:color w:val="auto"/>
        </w:rPr>
      </w:pPr>
      <w:r>
        <w:rPr>
          <w:rFonts w:ascii="Arial" w:cs="Arial" w:eastAsia="Arial" w:hAnsi="Arial"/>
          <w:sz w:val="22"/>
          <w:szCs w:val="22"/>
          <w:color w:val="auto"/>
        </w:rPr>
        <w:t>[2. The unaudited financial statements required by Section 6.01(b) of the Credit Agreement for the fiscal quarter of the Borrower ended as of the date set forth in paragraph 1 have been delivered to the Administrative Agent. The Consolidated financial statements required by Section 6.01(b) of the Credit Agreement fairly present the financial condition, results of operations and cash flows of the Borrower and its Subsidiaries as at such date and for such period, subject only to normal year-end audit adjustments and the absence of footnotes.]</w:t>
      </w:r>
    </w:p>
    <w:p>
      <w:pPr>
        <w:spacing w:after="0" w:line="188" w:lineRule="exact"/>
        <w:rPr>
          <w:sz w:val="20"/>
          <w:szCs w:val="20"/>
          <w:color w:val="auto"/>
        </w:rPr>
      </w:pPr>
    </w:p>
    <w:p>
      <w:pPr>
        <w:jc w:val="both"/>
        <w:ind w:right="520" w:firstLine="656"/>
        <w:spacing w:after="0" w:line="297" w:lineRule="auto"/>
        <w:tabs>
          <w:tab w:leader="none" w:pos="1296"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The undersigned has reviewed and is familiar with the terms of the Credit Agreement and has made, or has caused to be made, a review of the transactions and financial condition of the Borrower and its Subsidiaries during the accounting period covered by the financial statements delivered herewith.</w:t>
      </w:r>
    </w:p>
    <w:p>
      <w:pPr>
        <w:spacing w:after="0" w:line="133" w:lineRule="exact"/>
        <w:rPr>
          <w:rFonts w:ascii="Arial" w:cs="Arial" w:eastAsia="Arial" w:hAnsi="Arial"/>
          <w:sz w:val="19"/>
          <w:szCs w:val="19"/>
          <w:color w:val="auto"/>
        </w:rPr>
      </w:pPr>
    </w:p>
    <w:p>
      <w:pPr>
        <w:ind w:right="220" w:firstLine="656"/>
        <w:spacing w:after="0" w:line="250" w:lineRule="auto"/>
        <w:tabs>
          <w:tab w:leader="none" w:pos="1296" w:val="left"/>
        </w:tabs>
        <w:numPr>
          <w:ilvl w:val="0"/>
          <w:numId w:val="364"/>
        </w:numPr>
        <w:rPr>
          <w:rFonts w:ascii="Arial" w:cs="Arial" w:eastAsia="Arial" w:hAnsi="Arial"/>
          <w:sz w:val="22"/>
          <w:szCs w:val="22"/>
          <w:color w:val="auto"/>
        </w:rPr>
      </w:pPr>
      <w:r>
        <w:rPr>
          <w:rFonts w:ascii="Arial" w:cs="Arial" w:eastAsia="Arial" w:hAnsi="Arial"/>
          <w:sz w:val="22"/>
          <w:szCs w:val="22"/>
          <w:color w:val="auto"/>
        </w:rPr>
        <w:t>A review of the activities of the Loan Borrower and its Subsidiaries during such fiscal period has been made under the supervision of the undersigned with a view to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15684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8" w:lineRule="exact"/>
        <w:rPr>
          <w:sz w:val="20"/>
          <w:szCs w:val="20"/>
          <w:color w:val="auto"/>
        </w:rPr>
      </w:pPr>
    </w:p>
    <w:p>
      <w:pPr>
        <w:ind w:left="340" w:hanging="332"/>
        <w:spacing w:after="0"/>
        <w:tabs>
          <w:tab w:leader="none" w:pos="340" w:val="left"/>
        </w:tabs>
        <w:numPr>
          <w:ilvl w:val="0"/>
          <w:numId w:val="365"/>
        </w:numPr>
        <w:rPr>
          <w:rFonts w:ascii="Arial" w:cs="Arial" w:eastAsia="Arial" w:hAnsi="Arial"/>
          <w:sz w:val="30"/>
          <w:szCs w:val="30"/>
          <w:color w:val="auto"/>
          <w:vertAlign w:val="superscript"/>
        </w:rPr>
      </w:pPr>
      <w:r>
        <w:rPr>
          <w:rFonts w:ascii="Arial" w:cs="Arial" w:eastAsia="Arial" w:hAnsi="Arial"/>
          <w:sz w:val="20"/>
          <w:szCs w:val="20"/>
          <w:color w:val="auto"/>
        </w:rPr>
        <w:t>If this box is not checked, this Compliance Certificate will only be posted to Private side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914400</wp:posOffset>
            </wp:positionV>
            <wp:extent cx="629221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6" w:right="999" w:bottom="1440" w:gutter="0" w:footer="0" w:header="0"/>
        </w:sectPr>
      </w:pPr>
    </w:p>
    <w:bookmarkStart w:id="362" w:name="page363"/>
    <w:bookmarkEnd w:id="362"/>
    <w:p>
      <w:pPr>
        <w:ind w:right="220"/>
        <w:spacing w:after="0" w:line="250" w:lineRule="auto"/>
        <w:rPr>
          <w:sz w:val="20"/>
          <w:szCs w:val="20"/>
          <w:color w:val="auto"/>
        </w:rPr>
      </w:pPr>
      <w:r>
        <w:rPr>
          <w:rFonts w:ascii="Arial" w:cs="Arial" w:eastAsia="Arial" w:hAnsi="Arial"/>
          <w:sz w:val="22"/>
          <w:szCs w:val="22"/>
          <w:color w:val="auto"/>
        </w:rPr>
        <w:t>whether during such fiscal period the Borrower and its Subsidiaries performed and observed all their respective obligations under the Loan Documents, and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select one:</w:t>
      </w:r>
      <w:r>
        <w:rPr>
          <w:rFonts w:ascii="Arial" w:cs="Arial" w:eastAsia="Arial" w:hAnsi="Arial"/>
          <w:sz w:val="22"/>
          <w:szCs w:val="22"/>
          <w:color w:val="auto"/>
        </w:rPr>
        <w:t>]</w:t>
      </w:r>
    </w:p>
    <w:p>
      <w:pPr>
        <w:spacing w:after="0" w:line="206" w:lineRule="exact"/>
        <w:rPr>
          <w:sz w:val="20"/>
          <w:szCs w:val="20"/>
          <w:color w:val="auto"/>
        </w:rPr>
      </w:pPr>
    </w:p>
    <w:p>
      <w:pPr>
        <w:ind w:right="1000" w:firstLine="648"/>
        <w:spacing w:after="0" w:line="250" w:lineRule="auto"/>
        <w:rPr>
          <w:sz w:val="20"/>
          <w:szCs w:val="20"/>
          <w:color w:val="auto"/>
        </w:rPr>
      </w:pPr>
      <w:r>
        <w:rPr>
          <w:rFonts w:ascii="Arial" w:cs="Arial" w:eastAsia="Arial" w:hAnsi="Arial"/>
          <w:sz w:val="22"/>
          <w:szCs w:val="22"/>
          <w:color w:val="auto"/>
        </w:rPr>
        <w:t>[to the knowledge of the undersigned, during such fiscal period, no Default has occurred and is continuing.]</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w:t>
      </w:r>
    </w:p>
    <w:p>
      <w:pPr>
        <w:spacing w:after="0" w:line="206"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[to the knowledge of the undersigned, during such fiscal period, the following is a list of each Default that has occurred and is continuing, the nature and status of such Default, and actions that have been taken or are proposed to be taken to cure such Default:]</w:t>
      </w:r>
    </w:p>
    <w:p>
      <w:pPr>
        <w:spacing w:after="0" w:line="186" w:lineRule="exact"/>
        <w:rPr>
          <w:sz w:val="20"/>
          <w:szCs w:val="20"/>
          <w:color w:val="auto"/>
        </w:rPr>
      </w:pPr>
    </w:p>
    <w:p>
      <w:pPr>
        <w:jc w:val="both"/>
        <w:ind w:firstLine="656"/>
        <w:spacing w:after="0" w:line="236" w:lineRule="auto"/>
        <w:tabs>
          <w:tab w:leader="none" w:pos="1296"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are calculations of (a) the financial covenants set forth in Section 7.11 of the Credit Agreement as of the last day of and for the Measurement Period ending on the last day of the period covered by the financial statements delivered herewith, and (b) the Available Amount as of the date of this Compliance Certificate. Such calculations are true, correct and complete on and as of the date of this Compliance Certificate.</w:t>
      </w:r>
    </w:p>
    <w:p>
      <w:pPr>
        <w:spacing w:after="0" w:line="187" w:lineRule="exact"/>
        <w:rPr>
          <w:rFonts w:ascii="Arial" w:cs="Arial" w:eastAsia="Arial" w:hAnsi="Arial"/>
          <w:sz w:val="22"/>
          <w:szCs w:val="22"/>
          <w:color w:val="auto"/>
        </w:rPr>
      </w:pPr>
    </w:p>
    <w:p>
      <w:pPr>
        <w:ind w:right="80" w:firstLine="656"/>
        <w:spacing w:after="0" w:line="272" w:lineRule="auto"/>
        <w:tabs>
          <w:tab w:leader="none" w:pos="1296"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is a listing of (a) all applications with the United States Patent and Trademark Office or the United States Copyright Office by any Loan Party, if any, for any Intellectual Property made since the date of the most recently delivered Compliance Certificate (or, in the case of the first Compliance Certificate delivered after the Closing Date pursuant to Section 6.02(a) of the Credit Agreement, the Closing Date), (b) all issuances of registrations or letters on existing applications with the United States Patent and Trademark Office or the United States Copyright Office by any Loan Party, if any, for any Intellectual Property received since the date of such prior Compliance Certificate (or, in the case of the first Compliance Certificate delivered after the Closing Date pursuant to Section 6.02(a) of the Credit Agreement, the Closing Date), and (c) all licenses relating to any Intellectual Property registered with the United States Patent and Trademark Office or the United States Copyright Office entered into by any Loan Party since the date of such prior Compliance Certificate (or, in the case of the first Compliance Certificate delivered after the Closing Date pursuant to Section 6.02(a) of the Credit Agreement, the Closing Date).</w:t>
      </w:r>
      <w:r>
        <w:rPr>
          <w:rFonts w:ascii="Arial" w:cs="Arial" w:eastAsia="Arial" w:hAnsi="Arial"/>
          <w:sz w:val="14"/>
          <w:szCs w:val="14"/>
          <w:color w:val="auto"/>
        </w:rPr>
        <w:t>8</w:t>
      </w:r>
    </w:p>
    <w:p>
      <w:pPr>
        <w:spacing w:after="0" w:line="161" w:lineRule="exact"/>
        <w:rPr>
          <w:sz w:val="20"/>
          <w:szCs w:val="20"/>
          <w:color w:val="auto"/>
        </w:rPr>
      </w:pPr>
    </w:p>
    <w:p>
      <w:pPr>
        <w:jc w:val="both"/>
        <w:ind w:right="120" w:firstLine="648"/>
        <w:spacing w:after="0" w:line="328" w:lineRule="auto"/>
        <w:rPr>
          <w:sz w:val="20"/>
          <w:szCs w:val="20"/>
          <w:color w:val="auto"/>
        </w:rPr>
      </w:pPr>
      <w:r>
        <w:rPr>
          <w:rFonts w:ascii="Arial" w:cs="Arial" w:eastAsia="Arial" w:hAnsi="Arial"/>
          <w:sz w:val="19"/>
          <w:szCs w:val="19"/>
          <w:color w:val="auto"/>
        </w:rPr>
        <w:t xml:space="preserve">[7. Attached hereto as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is updated evidence of insurance for any insurance coverage of the Loan Parties that was renewed, replaced or modified during the period covered by this Compliance Certificate.</w:t>
      </w:r>
      <w:r>
        <w:rPr>
          <w:rFonts w:ascii="Arial" w:cs="Arial" w:eastAsia="Arial" w:hAnsi="Arial"/>
          <w:sz w:val="14"/>
          <w:szCs w:val="14"/>
          <w:color w:val="auto"/>
        </w:rPr>
        <w:t>9</w:t>
      </w:r>
      <w:r>
        <w:rPr>
          <w:rFonts w:ascii="Arial" w:cs="Arial" w:eastAsia="Arial" w:hAnsi="Arial"/>
          <w:sz w:val="19"/>
          <w:szCs w:val="19"/>
          <w:color w:val="auto"/>
        </w:rPr>
        <w:t>]</w:t>
      </w:r>
    </w:p>
    <w:p>
      <w:pPr>
        <w:spacing w:after="0" w:line="10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[7.][8.] Attached hereto as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is a copy of management’s discussion and analysis with respect to the financial statements delivered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15684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367"/>
        </w:numPr>
        <w:rPr>
          <w:rFonts w:ascii="Arial" w:cs="Arial" w:eastAsia="Arial" w:hAnsi="Arial"/>
          <w:sz w:val="30"/>
          <w:szCs w:val="30"/>
          <w:color w:val="auto"/>
          <w:vertAlign w:val="superscript"/>
        </w:rPr>
      </w:pPr>
      <w:r>
        <w:rPr>
          <w:rFonts w:ascii="Arial" w:cs="Arial" w:eastAsia="Arial" w:hAnsi="Arial"/>
          <w:sz w:val="20"/>
          <w:szCs w:val="20"/>
          <w:color w:val="auto"/>
        </w:rPr>
        <w:t xml:space="preserve">If no such updates are applicable,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should reflect “None”.</w:t>
      </w:r>
    </w:p>
    <w:p>
      <w:pPr>
        <w:ind w:left="340" w:right="280" w:hanging="332"/>
        <w:spacing w:after="0" w:line="206" w:lineRule="auto"/>
        <w:tabs>
          <w:tab w:leader="none" w:pos="340" w:val="left"/>
        </w:tabs>
        <w:numPr>
          <w:ilvl w:val="0"/>
          <w:numId w:val="368"/>
        </w:numPr>
        <w:rPr>
          <w:rFonts w:ascii="Arial" w:cs="Arial" w:eastAsia="Arial" w:hAnsi="Arial"/>
          <w:sz w:val="30"/>
          <w:szCs w:val="30"/>
          <w:color w:val="auto"/>
          <w:vertAlign w:val="superscript"/>
        </w:rPr>
      </w:pPr>
      <w:r>
        <w:rPr>
          <w:rFonts w:ascii="Arial" w:cs="Arial" w:eastAsia="Arial" w:hAnsi="Arial"/>
          <w:sz w:val="20"/>
          <w:szCs w:val="20"/>
          <w:color w:val="auto"/>
        </w:rPr>
        <w:t xml:space="preserve">Only required to be included for Compliance Certificates delivered in connection with financial statements delivered pursuant to Section 6.01(a) of the Credit Agreement. If no such updates are applicable,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should reflect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916305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901" w:right="1059" w:bottom="1440" w:gutter="0" w:footer="0" w:header="0"/>
        </w:sectPr>
      </w:pPr>
    </w:p>
    <w:bookmarkStart w:id="363" w:name="page364"/>
    <w:bookmarkEnd w:id="363"/>
    <w:p>
      <w:pPr>
        <w:ind w:left="37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1237615</wp:posOffset>
            </wp:positionV>
            <wp:extent cx="629221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364" w:name="page365"/>
    <w:bookmarkEnd w:id="364"/>
    <w:p>
      <w:pPr>
        <w:ind w:left="660"/>
        <w:spacing w:after="0"/>
        <w:rPr>
          <w:sz w:val="20"/>
          <w:szCs w:val="20"/>
          <w:color w:val="auto"/>
        </w:rPr>
      </w:pPr>
      <w:r>
        <w:rPr>
          <w:rFonts w:ascii="Arial" w:cs="Arial" w:eastAsia="Arial" w:hAnsi="Arial"/>
          <w:sz w:val="18"/>
          <w:szCs w:val="18"/>
          <w:color w:val="auto"/>
        </w:rPr>
        <w:t>IN WITNESS WHEREOF, the undersigned has executed this Compliance Certificate as of the date first written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80"/>
          </w:cols>
          <w:pgMar w:left="980" w:top="906" w:right="1439" w:bottom="1440" w:gutter="0" w:footer="0" w:header="0"/>
        </w:sectPr>
      </w:pPr>
    </w:p>
    <w:bookmarkStart w:id="365" w:name="page366"/>
    <w:bookmarkEnd w:id="365"/>
    <w:p>
      <w:pPr>
        <w:jc w:val="center"/>
        <w:ind w:right="-119"/>
        <w:spacing w:after="0"/>
        <w:rPr>
          <w:sz w:val="20"/>
          <w:szCs w:val="20"/>
          <w:color w:val="auto"/>
        </w:rPr>
      </w:pPr>
      <w:r>
        <w:rPr>
          <w:rFonts w:ascii="Arial" w:cs="Arial" w:eastAsia="Arial" w:hAnsi="Arial"/>
          <w:sz w:val="20"/>
          <w:szCs w:val="20"/>
          <w:u w:val="single" w:color="auto"/>
          <w:color w:val="auto"/>
        </w:rPr>
        <w:t>Schedule 1</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Calculation of Financial Covenants and Consolidated Total Leverage Ratio</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In the event of conflict between the provisions and formulas set forth in this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and the provisions and formulas set forth in the Credit Agreement, the provisions and formulas of the Credit Agreement shall prevail.</w:t>
      </w:r>
    </w:p>
    <w:p>
      <w:pPr>
        <w:spacing w:after="0" w:line="198" w:lineRule="exact"/>
        <w:rPr>
          <w:sz w:val="20"/>
          <w:szCs w:val="20"/>
          <w:color w:val="auto"/>
        </w:rPr>
      </w:pPr>
    </w:p>
    <w:p>
      <w:pPr>
        <w:ind w:left="700" w:hanging="587"/>
        <w:spacing w:after="0"/>
        <w:tabs>
          <w:tab w:leader="none" w:pos="700" w:val="left"/>
        </w:tabs>
        <w:numPr>
          <w:ilvl w:val="0"/>
          <w:numId w:val="369"/>
        </w:numPr>
        <w:rPr>
          <w:rFonts w:ascii="Arial" w:cs="Arial" w:eastAsia="Arial" w:hAnsi="Arial"/>
          <w:sz w:val="20"/>
          <w:szCs w:val="20"/>
          <w:b w:val="1"/>
          <w:bCs w:val="1"/>
          <w:color w:val="auto"/>
        </w:rPr>
      </w:pPr>
      <w:r>
        <w:rPr>
          <w:rFonts w:ascii="Arial" w:cs="Arial" w:eastAsia="Arial" w:hAnsi="Arial"/>
          <w:sz w:val="20"/>
          <w:szCs w:val="20"/>
          <w:b w:val="1"/>
          <w:bCs w:val="1"/>
          <w:color w:val="auto"/>
        </w:rPr>
        <w:t>Section 7.11(a) – Consolidated Leverage Ratio.</w:t>
      </w:r>
    </w:p>
    <w:p>
      <w:pPr>
        <w:spacing w:after="0" w:line="222" w:lineRule="exact"/>
        <w:rPr>
          <w:sz w:val="20"/>
          <w:szCs w:val="20"/>
          <w:color w:val="auto"/>
        </w:rPr>
      </w:pPr>
    </w:p>
    <w:p>
      <w:pPr>
        <w:ind w:left="700" w:hanging="587"/>
        <w:spacing w:after="0"/>
        <w:tabs>
          <w:tab w:leader="none" w:pos="70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Consolidated Funded Indebtedness</w:t>
      </w:r>
    </w:p>
    <w:p>
      <w:pPr>
        <w:spacing w:after="0" w:line="216" w:lineRule="exact"/>
        <w:rPr>
          <w:sz w:val="20"/>
          <w:szCs w:val="20"/>
          <w:color w:val="auto"/>
        </w:rPr>
      </w:pPr>
    </w:p>
    <w:p>
      <w:pPr>
        <w:ind w:left="1580" w:right="1600"/>
        <w:spacing w:after="0" w:line="283" w:lineRule="auto"/>
        <w:rPr>
          <w:sz w:val="20"/>
          <w:szCs w:val="20"/>
          <w:color w:val="auto"/>
        </w:rPr>
      </w:pPr>
      <w:r>
        <w:rPr>
          <w:rFonts w:ascii="Arial" w:cs="Arial" w:eastAsia="Arial" w:hAnsi="Arial"/>
          <w:sz w:val="20"/>
          <w:szCs w:val="20"/>
          <w:color w:val="auto"/>
        </w:rPr>
        <w:t>without duplication, all of the following, whether or not included as indebtedness or liabilities in accordance with GAAP:</w:t>
      </w:r>
      <w:r>
        <w:rPr>
          <w:rFonts w:ascii="Arial" w:cs="Arial" w:eastAsia="Arial" w:hAnsi="Arial"/>
          <w:sz w:val="29"/>
          <w:szCs w:val="29"/>
          <w:color w:val="auto"/>
          <w:vertAlign w:val="superscript"/>
        </w:rPr>
        <w:t>10</w:t>
      </w:r>
    </w:p>
    <w:p>
      <w:pPr>
        <w:spacing w:after="0" w:line="11" w:lineRule="exact"/>
        <w:rPr>
          <w:sz w:val="20"/>
          <w:szCs w:val="20"/>
          <w:color w:val="auto"/>
        </w:rPr>
      </w:pPr>
    </w:p>
    <w:p>
      <w:pPr>
        <w:ind w:left="1580" w:right="1560" w:hanging="887"/>
        <w:spacing w:after="0" w:line="312" w:lineRule="auto"/>
        <w:tabs>
          <w:tab w:leader="none" w:pos="15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all obligations of the Borrower and its Subsidiaries on a Consolidated basis, whether current or long-term, for borrowed money (including the Obligations) and all</w:t>
      </w:r>
    </w:p>
    <w:p>
      <w:pPr>
        <w:sectPr>
          <w:pgSz w:w="11900" w:h="16838" w:orient="portrait"/>
          <w:cols w:equalWidth="0" w:num="1">
            <w:col w:w="9820"/>
          </w:cols>
          <w:pgMar w:left="980" w:top="906" w:right="1099" w:bottom="1440" w:gutter="0" w:footer="0" w:header="0"/>
        </w:sectPr>
      </w:pPr>
    </w:p>
    <w:p>
      <w:pPr>
        <w:spacing w:after="0" w:line="1" w:lineRule="exact"/>
        <w:rPr>
          <w:sz w:val="20"/>
          <w:szCs w:val="20"/>
          <w:color w:val="auto"/>
        </w:rPr>
      </w:pPr>
    </w:p>
    <w:p>
      <w:pPr>
        <w:ind w:left="1580"/>
        <w:spacing w:after="0" w:line="358" w:lineRule="auto"/>
        <w:rPr>
          <w:sz w:val="20"/>
          <w:szCs w:val="20"/>
          <w:color w:val="auto"/>
        </w:rPr>
      </w:pPr>
      <w:r>
        <w:rPr>
          <w:rFonts w:ascii="Arial" w:cs="Arial" w:eastAsia="Arial" w:hAnsi="Arial"/>
          <w:sz w:val="16"/>
          <w:szCs w:val="16"/>
          <w:color w:val="auto"/>
        </w:rPr>
        <w:t>obligations of the Borrower and its Subsidiaries on a Consolidated basis evidenced by bonds, debentures, notes, loan agreements or other similar instruments: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120" w:space="440"/>
            <w:col w:w="1260"/>
          </w:cols>
          <w:pgMar w:left="980" w:top="906" w:right="1099" w:bottom="1440" w:gutter="0" w:footer="0" w:header="0"/>
          <w:type w:val="continuous"/>
        </w:sectPr>
      </w:pPr>
    </w:p>
    <w:p>
      <w:pPr>
        <w:ind w:left="700"/>
        <w:spacing w:after="0"/>
        <w:tabs>
          <w:tab w:leader="none" w:pos="156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all purchase money Indebtedness of the Borrower and its Subsidiaries on a</w:t>
      </w:r>
    </w:p>
    <w:p>
      <w:pPr>
        <w:spacing w:after="0" w:line="62"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Consolidated basis: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7840" w:space="720"/>
            <w:col w:w="1260"/>
          </w:cols>
          <w:pgMar w:left="980" w:top="906" w:right="1099" w:bottom="1440" w:gutter="0" w:footer="0" w:header="0"/>
          <w:type w:val="continuous"/>
        </w:sectPr>
      </w:pPr>
    </w:p>
    <w:p>
      <w:pPr>
        <w:ind w:left="1580" w:hanging="879"/>
        <w:spacing w:after="0" w:line="260" w:lineRule="auto"/>
        <w:tabs>
          <w:tab w:leader="none" w:pos="156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the principal portion of all obligations of the Borrower and its Subsidiaries on a Consolidated basis under conditional sale or other title retention agreements relating to property purchased by the Borrower or any Subsidiary thereof (other than customary reservations or retentions of title under agreements with suppliers entered into in the ordinary course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260" w:space="300"/>
            <w:col w:w="1260"/>
          </w:cols>
          <w:pgMar w:left="980" w:top="906" w:right="1099" w:bottom="1440" w:gutter="0" w:footer="0" w:header="0"/>
          <w:type w:val="continuous"/>
        </w:sectPr>
      </w:pPr>
    </w:p>
    <w:p>
      <w:pPr>
        <w:ind w:left="1580" w:right="1700" w:hanging="887"/>
        <w:spacing w:after="0" w:line="275" w:lineRule="auto"/>
        <w:tabs>
          <w:tab w:leader="none" w:pos="1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obligations of the Borrower and its Subsidiaries on a Consolidated basis arising under letters of credit (including standby and commercial), bankers’ acceptances,</w:t>
      </w:r>
    </w:p>
    <w:p>
      <w:pPr>
        <w:spacing w:after="0" w:line="1" w:lineRule="exact"/>
        <w:rPr>
          <w:sz w:val="20"/>
          <w:szCs w:val="20"/>
          <w:color w:val="auto"/>
        </w:rPr>
      </w:pPr>
    </w:p>
    <w:p>
      <w:pPr>
        <w:ind w:left="1580"/>
        <w:spacing w:after="0"/>
        <w:tabs>
          <w:tab w:leader="none" w:pos="8540" w:val="left"/>
        </w:tabs>
        <w:rPr>
          <w:sz w:val="20"/>
          <w:szCs w:val="20"/>
          <w:color w:val="auto"/>
        </w:rPr>
      </w:pPr>
      <w:r>
        <w:rPr>
          <w:rFonts w:ascii="Arial" w:cs="Arial" w:eastAsia="Arial" w:hAnsi="Arial"/>
          <w:sz w:val="20"/>
          <w:szCs w:val="20"/>
          <w:color w:val="auto"/>
        </w:rPr>
        <w:t>bank guaranties, surety bonds and similar instruments:</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1580" w:hanging="887"/>
        <w:spacing w:after="0"/>
        <w:tabs>
          <w:tab w:leader="none" w:pos="158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all obligations of the Borrower and its Subsidiaries on a Consolidated basis in respect</w:t>
      </w:r>
    </w:p>
    <w:p>
      <w:pPr>
        <w:sectPr>
          <w:pgSz w:w="11900" w:h="16838" w:orient="portrait"/>
          <w:cols w:equalWidth="0" w:num="1">
            <w:col w:w="9820"/>
          </w:cols>
          <w:pgMar w:left="980" w:top="906" w:right="1099" w:bottom="1440" w:gutter="0" w:footer="0" w:header="0"/>
          <w:type w:val="continuous"/>
        </w:sectPr>
      </w:pPr>
    </w:p>
    <w:p>
      <w:pPr>
        <w:spacing w:after="0" w:line="20" w:lineRule="exact"/>
        <w:rPr>
          <w:sz w:val="20"/>
          <w:szCs w:val="20"/>
          <w:color w:val="auto"/>
        </w:rPr>
      </w:pPr>
    </w:p>
    <w:p>
      <w:pPr>
        <w:ind w:left="1580"/>
        <w:spacing w:after="0" w:line="239" w:lineRule="auto"/>
        <w:rPr>
          <w:sz w:val="20"/>
          <w:szCs w:val="20"/>
          <w:color w:val="auto"/>
        </w:rPr>
      </w:pPr>
      <w:r>
        <w:rPr>
          <w:rFonts w:ascii="Arial" w:cs="Arial" w:eastAsia="Arial" w:hAnsi="Arial"/>
          <w:sz w:val="20"/>
          <w:szCs w:val="20"/>
          <w:color w:val="auto"/>
        </w:rPr>
        <w:t>of the deferred purchase price of property or services (other than trade accounts payable in the ordinary course of business and not past due for more than ninety (90) days after the date on which such trade account payable was created), including any Earn Out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300" w:space="260"/>
            <w:col w:w="1260"/>
          </w:cols>
          <w:pgMar w:left="980" w:top="906" w:right="1099" w:bottom="1440" w:gutter="0" w:footer="0" w:header="0"/>
          <w:type w:val="continuous"/>
        </w:sectPr>
      </w:pPr>
    </w:p>
    <w:p>
      <w:pPr>
        <w:ind w:left="1580" w:hanging="887"/>
        <w:spacing w:after="0"/>
        <w:tabs>
          <w:tab w:leader="none" w:pos="158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all Attributable Indebtedness of the Borrower and its Subsidiaries on a Consolidated</w:t>
      </w:r>
    </w:p>
    <w:p>
      <w:pPr>
        <w:spacing w:after="0" w:line="16" w:lineRule="exact"/>
        <w:rPr>
          <w:sz w:val="20"/>
          <w:szCs w:val="20"/>
          <w:color w:val="auto"/>
        </w:rPr>
      </w:pPr>
    </w:p>
    <w:p>
      <w:pPr>
        <w:ind w:left="1580"/>
        <w:spacing w:after="0"/>
        <w:tabs>
          <w:tab w:leader="none" w:pos="8540" w:val="left"/>
        </w:tabs>
        <w:rPr>
          <w:sz w:val="20"/>
          <w:szCs w:val="20"/>
          <w:color w:val="auto"/>
        </w:rPr>
      </w:pPr>
      <w:r>
        <w:rPr>
          <w:rFonts w:ascii="Arial" w:cs="Arial" w:eastAsia="Arial" w:hAnsi="Arial"/>
          <w:sz w:val="20"/>
          <w:szCs w:val="20"/>
          <w:color w:val="auto"/>
        </w:rPr>
        <w:t>basis:</w:t>
      </w:r>
      <w:r>
        <w:rPr>
          <w:sz w:val="20"/>
          <w:szCs w:val="20"/>
          <w:color w:val="auto"/>
        </w:rPr>
        <w:tab/>
      </w:r>
      <w:r>
        <w:rPr>
          <w:rFonts w:ascii="Arial" w:cs="Arial" w:eastAsia="Arial" w:hAnsi="Arial"/>
          <w:sz w:val="20"/>
          <w:szCs w:val="20"/>
          <w:color w:val="auto"/>
        </w:rPr>
        <w:t>$_________</w:t>
      </w:r>
    </w:p>
    <w:p>
      <w:pPr>
        <w:spacing w:after="0" w:line="200" w:lineRule="exact"/>
        <w:rPr>
          <w:sz w:val="20"/>
          <w:szCs w:val="20"/>
          <w:color w:val="auto"/>
        </w:rPr>
      </w:pPr>
    </w:p>
    <w:p>
      <w:pPr>
        <w:ind w:left="1580" w:right="1720" w:hanging="887"/>
        <w:spacing w:after="0" w:line="342" w:lineRule="auto"/>
        <w:tabs>
          <w:tab w:leader="none" w:pos="15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all obligations of the Borrower and its Subsidiaries on a Consolidated basis to purchase, redeem, retire, defease or otherwise make any payment in respect of any Equity Interests in the Borrower, its Subsidiaries or any other Person, valued,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15684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27" w:lineRule="exact"/>
        <w:rPr>
          <w:sz w:val="20"/>
          <w:szCs w:val="20"/>
          <w:color w:val="auto"/>
        </w:rPr>
      </w:pPr>
    </w:p>
    <w:p>
      <w:pPr>
        <w:ind w:left="340" w:hanging="332"/>
        <w:spacing w:after="0" w:line="211" w:lineRule="auto"/>
        <w:tabs>
          <w:tab w:leader="none" w:pos="340" w:val="left"/>
        </w:tabs>
        <w:numPr>
          <w:ilvl w:val="0"/>
          <w:numId w:val="376"/>
        </w:numPr>
        <w:rPr>
          <w:rFonts w:ascii="Arial" w:cs="Arial" w:eastAsia="Arial" w:hAnsi="Arial"/>
          <w:sz w:val="30"/>
          <w:szCs w:val="30"/>
          <w:color w:val="auto"/>
          <w:vertAlign w:val="superscript"/>
        </w:rPr>
      </w:pPr>
      <w:r>
        <w:rPr>
          <w:rFonts w:ascii="Arial" w:cs="Arial" w:eastAsia="Arial" w:hAnsi="Arial"/>
          <w:sz w:val="20"/>
          <w:szCs w:val="20"/>
          <w:color w:val="auto"/>
        </w:rPr>
        <w:t>The amount of any direct obligation arising under letters of credit (including standby and commercial), bankers’ acceptances, bank guaranties, surety bonds and similar instruments shall be the maximum amount available to be drawn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898525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906" w:right="1099" w:bottom="1440" w:gutter="0" w:footer="0" w:header="0"/>
          <w:type w:val="continuous"/>
        </w:sectPr>
      </w:pPr>
    </w:p>
    <w:bookmarkStart w:id="366" w:name="page367"/>
    <w:bookmarkEnd w:id="366"/>
    <w:p>
      <w:pPr>
        <w:ind w:left="1580" w:right="320"/>
        <w:spacing w:after="0" w:line="316" w:lineRule="auto"/>
        <w:rPr>
          <w:sz w:val="20"/>
          <w:szCs w:val="20"/>
          <w:color w:val="auto"/>
        </w:rPr>
      </w:pPr>
      <w:r>
        <w:rPr>
          <w:rFonts w:ascii="Arial" w:cs="Arial" w:eastAsia="Arial" w:hAnsi="Arial"/>
          <w:sz w:val="18"/>
          <w:szCs w:val="18"/>
          <w:color w:val="auto"/>
        </w:rPr>
        <w:t xml:space="preserve">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7840" w:space="720"/>
            <w:col w:w="1360"/>
          </w:cols>
          <w:pgMar w:left="980" w:top="906" w:right="999" w:bottom="1440" w:gutter="0" w:footer="0" w:header="0"/>
        </w:sectPr>
      </w:pPr>
    </w:p>
    <w:p>
      <w:pPr>
        <w:ind w:left="1580" w:hanging="887"/>
        <w:spacing w:after="0"/>
        <w:tabs>
          <w:tab w:leader="none" w:pos="158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all Funded Indebtedness of other Persons secured by (or for which the holder of such</w:t>
      </w:r>
    </w:p>
    <w:p>
      <w:pPr>
        <w:sectPr>
          <w:pgSz w:w="11900" w:h="16838" w:orient="portrait"/>
          <w:cols w:equalWidth="0" w:num="1">
            <w:col w:w="9920"/>
          </w:cols>
          <w:pgMar w:left="980" w:top="906" w:right="999" w:bottom="1440" w:gutter="0" w:footer="0" w:header="0"/>
          <w:type w:val="continuous"/>
        </w:sectPr>
      </w:pPr>
    </w:p>
    <w:p>
      <w:pPr>
        <w:spacing w:after="0" w:line="66" w:lineRule="exact"/>
        <w:rPr>
          <w:sz w:val="20"/>
          <w:szCs w:val="20"/>
          <w:color w:val="auto"/>
        </w:rPr>
      </w:pPr>
    </w:p>
    <w:p>
      <w:pPr>
        <w:ind w:left="1580"/>
        <w:spacing w:after="0" w:line="274" w:lineRule="auto"/>
        <w:rPr>
          <w:sz w:val="20"/>
          <w:szCs w:val="20"/>
          <w:color w:val="auto"/>
        </w:rPr>
      </w:pPr>
      <w:r>
        <w:rPr>
          <w:rFonts w:ascii="Arial" w:cs="Arial" w:eastAsia="Arial" w:hAnsi="Arial"/>
          <w:sz w:val="18"/>
          <w:szCs w:val="18"/>
          <w:color w:val="auto"/>
        </w:rPr>
        <w:t>Funded Indebtedness has an existing right, contingent or otherwise, to be secured by) any Lien on, or payable out of the proceeds of production from, property owned or acquired by the Borrower and its Subsidiaries on a Consolidated basis, whether or not the obligations secured thereby have been assumed: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320" w:space="240"/>
            <w:col w:w="1360"/>
          </w:cols>
          <w:pgMar w:left="980" w:top="906" w:right="999" w:bottom="1440" w:gutter="0" w:footer="0" w:header="0"/>
          <w:type w:val="continuous"/>
        </w:sectPr>
      </w:pPr>
    </w:p>
    <w:p>
      <w:pPr>
        <w:ind w:left="1580" w:hanging="887"/>
        <w:spacing w:after="0"/>
        <w:tabs>
          <w:tab w:leader="none" w:pos="158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all Guarantees provided by the Borrower and its Subsidiaries on a Consolidated basis</w:t>
      </w:r>
    </w:p>
    <w:p>
      <w:pPr>
        <w:spacing w:after="0" w:line="16" w:lineRule="exact"/>
        <w:rPr>
          <w:sz w:val="20"/>
          <w:szCs w:val="20"/>
          <w:color w:val="auto"/>
        </w:rPr>
      </w:pPr>
    </w:p>
    <w:p>
      <w:pPr>
        <w:ind w:left="1580"/>
        <w:spacing w:after="0"/>
        <w:tabs>
          <w:tab w:leader="none" w:pos="8540" w:val="left"/>
        </w:tabs>
        <w:rPr>
          <w:sz w:val="20"/>
          <w:szCs w:val="20"/>
          <w:color w:val="auto"/>
        </w:rPr>
      </w:pPr>
      <w:r>
        <w:rPr>
          <w:rFonts w:ascii="Arial" w:cs="Arial" w:eastAsia="Arial" w:hAnsi="Arial"/>
          <w:sz w:val="20"/>
          <w:szCs w:val="20"/>
          <w:color w:val="auto"/>
        </w:rPr>
        <w:t>with respect to Funded Indebtedness of another Person:</w:t>
      </w:r>
      <w:r>
        <w:rPr>
          <w:sz w:val="20"/>
          <w:szCs w:val="20"/>
          <w:color w:val="auto"/>
        </w:rPr>
        <w:tab/>
      </w:r>
      <w:r>
        <w:rPr>
          <w:rFonts w:ascii="Arial" w:cs="Arial" w:eastAsia="Arial" w:hAnsi="Arial"/>
          <w:sz w:val="16"/>
          <w:szCs w:val="16"/>
          <w:color w:val="auto"/>
        </w:rPr>
        <w:t>$_________</w:t>
      </w:r>
    </w:p>
    <w:p>
      <w:pPr>
        <w:sectPr>
          <w:pgSz w:w="11900" w:h="16838" w:orient="portrait"/>
          <w:cols w:equalWidth="0" w:num="1">
            <w:col w:w="9920"/>
          </w:cols>
          <w:pgMar w:left="980" w:top="906" w:right="999" w:bottom="1440" w:gutter="0" w:footer="0" w:header="0"/>
          <w:type w:val="continuous"/>
        </w:sectPr>
      </w:pPr>
    </w:p>
    <w:p>
      <w:pPr>
        <w:spacing w:after="0" w:line="200" w:lineRule="exact"/>
        <w:rPr>
          <w:sz w:val="20"/>
          <w:szCs w:val="20"/>
          <w:color w:val="auto"/>
        </w:rPr>
      </w:pPr>
    </w:p>
    <w:p>
      <w:pPr>
        <w:ind w:left="1580" w:hanging="879"/>
        <w:spacing w:after="0" w:line="244" w:lineRule="auto"/>
        <w:tabs>
          <w:tab w:leader="none" w:pos="1560" w:val="left"/>
        </w:tabs>
        <w:rPr>
          <w:sz w:val="20"/>
          <w:szCs w:val="20"/>
          <w:color w:val="auto"/>
        </w:rPr>
      </w:pPr>
      <w:r>
        <w:rPr>
          <w:rFonts w:ascii="Arial" w:cs="Arial" w:eastAsia="Arial" w:hAnsi="Arial"/>
          <w:sz w:val="20"/>
          <w:szCs w:val="20"/>
          <w:color w:val="auto"/>
        </w:rPr>
        <w:t>(x)</w:t>
      </w:r>
      <w:r>
        <w:rPr>
          <w:sz w:val="20"/>
          <w:szCs w:val="20"/>
          <w:color w:val="auto"/>
        </w:rPr>
        <w:tab/>
      </w:r>
      <w:r>
        <w:rPr>
          <w:rFonts w:ascii="Arial" w:cs="Arial" w:eastAsia="Arial" w:hAnsi="Arial"/>
          <w:sz w:val="20"/>
          <w:szCs w:val="20"/>
          <w:color w:val="auto"/>
        </w:rPr>
        <w:t>all Funded Indebtedness of any partnership or joint venture (other than a joint venture that is itself a corporation or limited liability company) in which the Borrower or any of its Subsidiaries is a general partner or joint venturer, except to the extent that such Funded Indebtedness is expressly made non-recourse to the Borrower and its Subsidiaries on a Consolidated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340" w:space="220"/>
            <w:col w:w="1360"/>
          </w:cols>
          <w:pgMar w:left="980" w:top="906" w:right="999" w:bottom="1440" w:gutter="0" w:footer="0" w:header="0"/>
          <w:type w:val="continuous"/>
        </w:sectPr>
      </w:pPr>
    </w:p>
    <w:p>
      <w:pPr>
        <w:ind w:left="1580" w:hanging="887"/>
        <w:spacing w:after="0"/>
        <w:tabs>
          <w:tab w:leader="none" w:pos="158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Consolidated Funded Indebtedness [</w:t>
      </w:r>
      <w:r>
        <w:rPr>
          <w:rFonts w:ascii="Arial" w:cs="Arial" w:eastAsia="Arial" w:hAnsi="Arial"/>
          <w:sz w:val="20"/>
          <w:szCs w:val="20"/>
          <w:u w:val="single" w:color="auto"/>
          <w:color w:val="auto"/>
        </w:rPr>
        <w:t>Lines (I)(a)(i)</w:t>
      </w:r>
      <w:r>
        <w:rPr>
          <w:rFonts w:ascii="Arial" w:cs="Arial" w:eastAsia="Arial" w:hAnsi="Arial"/>
          <w:sz w:val="20"/>
          <w:szCs w:val="20"/>
          <w:color w:val="auto"/>
        </w:rPr>
        <w:t xml:space="preserve"> +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 </w:t>
      </w:r>
      <w:r>
        <w:rPr>
          <w:rFonts w:ascii="Arial" w:cs="Arial" w:eastAsia="Arial" w:hAnsi="Arial"/>
          <w:sz w:val="20"/>
          <w:szCs w:val="20"/>
          <w:u w:val="single" w:color="auto"/>
          <w:color w:val="auto"/>
        </w:rPr>
        <w:t>(v)</w:t>
      </w:r>
      <w:r>
        <w:rPr>
          <w:rFonts w:ascii="Arial" w:cs="Arial" w:eastAsia="Arial" w:hAnsi="Arial"/>
          <w:sz w:val="20"/>
          <w:szCs w:val="20"/>
          <w:color w:val="auto"/>
        </w:rPr>
        <w:t xml:space="preserve"> +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w:t>
      </w:r>
    </w:p>
    <w:p>
      <w:pPr>
        <w:spacing w:after="0" w:line="16" w:lineRule="exact"/>
        <w:rPr>
          <w:sz w:val="20"/>
          <w:szCs w:val="20"/>
          <w:color w:val="auto"/>
        </w:rPr>
      </w:pPr>
    </w:p>
    <w:p>
      <w:pPr>
        <w:ind w:left="1580"/>
        <w:spacing w:after="0"/>
        <w:tabs>
          <w:tab w:leader="none" w:pos="8540" w:val="left"/>
        </w:tabs>
        <w:rPr>
          <w:sz w:val="20"/>
          <w:szCs w:val="20"/>
          <w:color w:val="auto"/>
        </w:rPr>
      </w:pPr>
      <w:r>
        <w:rPr>
          <w:rFonts w:ascii="Arial" w:cs="Arial" w:eastAsia="Arial" w:hAnsi="Arial"/>
          <w:sz w:val="20"/>
          <w:szCs w:val="20"/>
          <w:u w:val="single" w:color="auto"/>
          <w:color w:val="auto"/>
        </w:rPr>
        <w:t>(vii)</w:t>
      </w:r>
      <w:r>
        <w:rPr>
          <w:rFonts w:ascii="Arial" w:cs="Arial" w:eastAsia="Arial" w:hAnsi="Arial"/>
          <w:sz w:val="20"/>
          <w:szCs w:val="20"/>
          <w:color w:val="auto"/>
        </w:rPr>
        <w:t xml:space="preserve"> +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 </w:t>
      </w:r>
      <w:r>
        <w:rPr>
          <w:rFonts w:ascii="Arial" w:cs="Arial" w:eastAsia="Arial" w:hAnsi="Arial"/>
          <w:sz w:val="20"/>
          <w:szCs w:val="20"/>
          <w:u w:val="single" w:color="auto"/>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700" w:hanging="587"/>
        <w:spacing w:after="0"/>
        <w:tabs>
          <w:tab w:leader="none" w:pos="70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Consolidated EBITDA</w:t>
      </w:r>
    </w:p>
    <w:p>
      <w:pPr>
        <w:spacing w:after="0" w:line="216" w:lineRule="exact"/>
        <w:rPr>
          <w:sz w:val="20"/>
          <w:szCs w:val="20"/>
          <w:color w:val="auto"/>
        </w:rPr>
      </w:pPr>
    </w:p>
    <w:p>
      <w:pPr>
        <w:ind w:left="1580" w:right="1760"/>
        <w:spacing w:after="0" w:line="260" w:lineRule="auto"/>
        <w:rPr>
          <w:sz w:val="20"/>
          <w:szCs w:val="20"/>
          <w:color w:val="auto"/>
        </w:rPr>
      </w:pPr>
      <w:r>
        <w:rPr>
          <w:rFonts w:ascii="Arial" w:cs="Arial" w:eastAsia="Arial" w:hAnsi="Arial"/>
          <w:sz w:val="20"/>
          <w:szCs w:val="20"/>
          <w:color w:val="auto"/>
        </w:rPr>
        <w:t>for the Borrower and its Subsidiaries on a Consolidated basis, for the Measurement Period most recently completed, an amount equal to:</w:t>
      </w:r>
    </w:p>
    <w:p>
      <w:pPr>
        <w:spacing w:after="0" w:line="177" w:lineRule="exact"/>
        <w:rPr>
          <w:sz w:val="20"/>
          <w:szCs w:val="20"/>
          <w:color w:val="auto"/>
        </w:rPr>
      </w:pPr>
    </w:p>
    <w:p>
      <w:pPr>
        <w:ind w:left="700"/>
        <w:spacing w:after="0"/>
        <w:tabs>
          <w:tab w:leader="none" w:pos="1560" w:val="left"/>
          <w:tab w:leader="none" w:pos="85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Consolidated Net Income for such period:</w:t>
      </w:r>
      <w:r>
        <w:rPr>
          <w:sz w:val="20"/>
          <w:szCs w:val="20"/>
          <w:color w:val="auto"/>
        </w:rPr>
        <w:tab/>
      </w:r>
      <w:r>
        <w:rPr>
          <w:rFonts w:ascii="Arial" w:cs="Arial" w:eastAsia="Arial" w:hAnsi="Arial"/>
          <w:sz w:val="16"/>
          <w:szCs w:val="16"/>
          <w:color w:val="auto"/>
        </w:rPr>
        <w:t>$_________</w:t>
      </w:r>
    </w:p>
    <w:p>
      <w:pPr>
        <w:spacing w:after="0" w:line="216" w:lineRule="exact"/>
        <w:rPr>
          <w:sz w:val="20"/>
          <w:szCs w:val="20"/>
          <w:color w:val="auto"/>
        </w:rPr>
      </w:pPr>
    </w:p>
    <w:p>
      <w:pPr>
        <w:ind w:left="1580" w:right="2140"/>
        <w:spacing w:after="0" w:line="269" w:lineRule="auto"/>
        <w:rPr>
          <w:sz w:val="20"/>
          <w:szCs w:val="20"/>
          <w:color w:val="auto"/>
        </w:rPr>
      </w:pPr>
      <w:r>
        <w:rPr>
          <w:rFonts w:ascii="Arial" w:cs="Arial" w:eastAsia="Arial" w:hAnsi="Arial"/>
          <w:sz w:val="19"/>
          <w:szCs w:val="19"/>
          <w:color w:val="auto"/>
        </w:rPr>
        <w:t xml:space="preserve">the following, without duplication, to the extent deducted in calculating such Consolidated Net Income (or, in the case of amounts pursuant to </w:t>
      </w:r>
      <w:r>
        <w:rPr>
          <w:rFonts w:ascii="Arial" w:cs="Arial" w:eastAsia="Arial" w:hAnsi="Arial"/>
          <w:sz w:val="19"/>
          <w:szCs w:val="19"/>
          <w:u w:val="single" w:color="auto"/>
          <w:color w:val="auto"/>
        </w:rPr>
        <w:t>Line I(b)[(x)]</w:t>
      </w:r>
      <w:r>
        <w:rPr>
          <w:rFonts w:ascii="Arial" w:cs="Arial" w:eastAsia="Arial" w:hAnsi="Arial"/>
          <w:sz w:val="19"/>
          <w:szCs w:val="19"/>
          <w:color w:val="auto"/>
        </w:rPr>
        <w:t xml:space="preserve"> below, not already included in Consolidated Net Income):</w:t>
      </w:r>
    </w:p>
    <w:p>
      <w:pPr>
        <w:spacing w:after="0" w:line="170" w:lineRule="exact"/>
        <w:rPr>
          <w:sz w:val="20"/>
          <w:szCs w:val="20"/>
          <w:color w:val="auto"/>
        </w:rPr>
      </w:pPr>
    </w:p>
    <w:p>
      <w:pPr>
        <w:ind w:left="1580" w:hanging="887"/>
        <w:spacing w:after="0"/>
        <w:tabs>
          <w:tab w:leader="none" w:pos="158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Consolidated Interest Charges for such period:</w:t>
      </w:r>
    </w:p>
    <w:p>
      <w:pPr>
        <w:spacing w:after="0" w:line="216" w:lineRule="exact"/>
        <w:rPr>
          <w:sz w:val="20"/>
          <w:szCs w:val="20"/>
          <w:color w:val="auto"/>
        </w:rPr>
      </w:pPr>
    </w:p>
    <w:p>
      <w:pPr>
        <w:ind w:left="2080" w:right="1760" w:hanging="509"/>
        <w:spacing w:after="0" w:line="304" w:lineRule="auto"/>
        <w:tabs>
          <w:tab w:leader="none" w:pos="20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all interest, premium payments, debt discount, fees, charges and related expenses in connection with borrowed money (including capitalized interest) or in connection with the deferred purchase price of assets, in each case with respect to such period to the extent treated as interest in accordance with</w:t>
      </w:r>
    </w:p>
    <w:p>
      <w:pPr>
        <w:spacing w:after="0" w:line="2" w:lineRule="exact"/>
        <w:rPr>
          <w:sz w:val="20"/>
          <w:szCs w:val="20"/>
          <w:color w:val="auto"/>
        </w:rPr>
      </w:pPr>
    </w:p>
    <w:p>
      <w:pPr>
        <w:ind w:left="2080"/>
        <w:spacing w:after="0"/>
        <w:tabs>
          <w:tab w:leader="none" w:pos="8540" w:val="left"/>
        </w:tabs>
        <w:rPr>
          <w:sz w:val="20"/>
          <w:szCs w:val="20"/>
          <w:color w:val="auto"/>
        </w:rPr>
      </w:pPr>
      <w:r>
        <w:rPr>
          <w:rFonts w:ascii="Arial" w:cs="Arial" w:eastAsia="Arial" w:hAnsi="Arial"/>
          <w:sz w:val="20"/>
          <w:szCs w:val="20"/>
          <w:color w:val="auto"/>
        </w:rPr>
        <w:t>GAAP:</w:t>
      </w:r>
      <w:r>
        <w:rPr>
          <w:sz w:val="20"/>
          <w:szCs w:val="20"/>
          <w:color w:val="auto"/>
        </w:rPr>
        <w:tab/>
      </w:r>
      <w:r>
        <w:rPr>
          <w:rFonts w:ascii="Arial" w:cs="Arial" w:eastAsia="Arial" w:hAnsi="Arial"/>
          <w:sz w:val="20"/>
          <w:szCs w:val="20"/>
          <w:color w:val="auto"/>
        </w:rPr>
        <w:t>$_________</w:t>
      </w:r>
    </w:p>
    <w:p>
      <w:pPr>
        <w:spacing w:after="0" w:line="200" w:lineRule="exact"/>
        <w:rPr>
          <w:sz w:val="20"/>
          <w:szCs w:val="20"/>
          <w:color w:val="auto"/>
        </w:rPr>
      </w:pPr>
    </w:p>
    <w:p>
      <w:pPr>
        <w:ind w:left="2080" w:hanging="509"/>
        <w:spacing w:after="0"/>
        <w:tabs>
          <w:tab w:leader="none" w:pos="208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all interest paid or payable with respect to discontinued operations for such</w:t>
      </w:r>
    </w:p>
    <w:p>
      <w:pPr>
        <w:spacing w:after="0" w:line="16" w:lineRule="exact"/>
        <w:rPr>
          <w:sz w:val="20"/>
          <w:szCs w:val="20"/>
          <w:color w:val="auto"/>
        </w:rPr>
      </w:pPr>
    </w:p>
    <w:p>
      <w:pPr>
        <w:ind w:left="2080"/>
        <w:spacing w:after="0"/>
        <w:tabs>
          <w:tab w:leader="none" w:pos="8540" w:val="left"/>
        </w:tabs>
        <w:rPr>
          <w:sz w:val="20"/>
          <w:szCs w:val="20"/>
          <w:color w:val="auto"/>
        </w:rPr>
      </w:pPr>
      <w:r>
        <w:rPr>
          <w:rFonts w:ascii="Arial" w:cs="Arial" w:eastAsia="Arial" w:hAnsi="Arial"/>
          <w:sz w:val="20"/>
          <w:szCs w:val="20"/>
          <w:color w:val="auto"/>
        </w:rPr>
        <w:t>period:</w:t>
      </w:r>
      <w:r>
        <w:rPr>
          <w:sz w:val="20"/>
          <w:szCs w:val="20"/>
          <w:color w:val="auto"/>
        </w:rPr>
        <w:tab/>
      </w:r>
      <w:r>
        <w:rPr>
          <w:rFonts w:ascii="Arial" w:cs="Arial" w:eastAsia="Arial" w:hAnsi="Arial"/>
          <w:sz w:val="20"/>
          <w:szCs w:val="20"/>
          <w:color w:val="auto"/>
        </w:rPr>
        <w:t>$_________</w:t>
      </w:r>
    </w:p>
    <w:p>
      <w:pPr>
        <w:spacing w:after="0" w:line="200" w:lineRule="exact"/>
        <w:rPr>
          <w:sz w:val="20"/>
          <w:szCs w:val="20"/>
          <w:color w:val="auto"/>
        </w:rPr>
      </w:pPr>
    </w:p>
    <w:p>
      <w:pPr>
        <w:ind w:left="2080" w:hanging="509"/>
        <w:spacing w:after="0"/>
        <w:tabs>
          <w:tab w:leader="none" w:pos="208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the portion of rent expense under Capitalized Leases for such period that is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0" w:type="dxa"/>
            <w:vAlign w:val="bottom"/>
            <w:gridSpan w:val="7"/>
          </w:tcPr>
          <w:p>
            <w:pPr>
              <w:ind w:left="2080"/>
              <w:spacing w:after="0"/>
              <w:rPr>
                <w:sz w:val="20"/>
                <w:szCs w:val="20"/>
                <w:color w:val="auto"/>
              </w:rPr>
            </w:pPr>
            <w:r>
              <w:rPr>
                <w:rFonts w:ascii="Arial" w:cs="Arial" w:eastAsia="Arial" w:hAnsi="Arial"/>
                <w:sz w:val="20"/>
                <w:szCs w:val="20"/>
                <w:color w:val="auto"/>
              </w:rPr>
              <w:t>treated as interest in accordance with GAAP:</w:t>
            </w:r>
          </w:p>
        </w:tc>
        <w:tc>
          <w:tcPr>
            <w:tcW w:w="2120" w:type="dxa"/>
            <w:vAlign w:val="bottom"/>
          </w:tcPr>
          <w:p>
            <w:pPr>
              <w:jc w:val="right"/>
              <w:ind w:right="281"/>
              <w:spacing w:after="0"/>
              <w:rPr>
                <w:sz w:val="20"/>
                <w:szCs w:val="20"/>
                <w:color w:val="auto"/>
              </w:rPr>
            </w:pPr>
            <w:r>
              <w:rPr>
                <w:rFonts w:ascii="Arial" w:cs="Arial" w:eastAsia="Arial" w:hAnsi="Arial"/>
                <w:sz w:val="20"/>
                <w:szCs w:val="20"/>
                <w:color w:val="auto"/>
              </w:rPr>
              <w:t>$_________</w:t>
            </w:r>
          </w:p>
        </w:tc>
      </w:tr>
      <w:tr>
        <w:trPr>
          <w:trHeight w:val="385"/>
        </w:trPr>
        <w:tc>
          <w:tcPr>
            <w:tcW w:w="7800" w:type="dxa"/>
            <w:vAlign w:val="bottom"/>
            <w:gridSpan w:val="7"/>
          </w:tcPr>
          <w:p>
            <w:pPr>
              <w:ind w:left="1580"/>
              <w:spacing w:after="0"/>
              <w:rPr>
                <w:sz w:val="20"/>
                <w:szCs w:val="20"/>
                <w:color w:val="auto"/>
              </w:rPr>
            </w:pPr>
            <w:r>
              <w:rPr>
                <w:rFonts w:ascii="Arial" w:cs="Arial" w:eastAsia="Arial" w:hAnsi="Arial"/>
                <w:sz w:val="20"/>
                <w:szCs w:val="20"/>
                <w:color w:val="auto"/>
              </w:rPr>
              <w:t>(D)  Consolidated Interest Charges [Lines (I)(b)(ii)(A) + (B) + (C)]:</w:t>
            </w:r>
          </w:p>
        </w:tc>
        <w:tc>
          <w:tcPr>
            <w:tcW w:w="2120" w:type="dxa"/>
            <w:vAlign w:val="bottom"/>
          </w:tcPr>
          <w:p>
            <w:pPr>
              <w:jc w:val="right"/>
              <w:ind w:right="281"/>
              <w:spacing w:after="0"/>
              <w:rPr>
                <w:sz w:val="20"/>
                <w:szCs w:val="20"/>
                <w:color w:val="auto"/>
              </w:rPr>
            </w:pPr>
            <w:r>
              <w:rPr>
                <w:rFonts w:ascii="Arial" w:cs="Arial" w:eastAsia="Arial" w:hAnsi="Arial"/>
                <w:sz w:val="20"/>
                <w:szCs w:val="20"/>
                <w:color w:val="auto"/>
              </w:rPr>
              <w:t>$_________</w:t>
            </w:r>
          </w:p>
        </w:tc>
      </w:tr>
      <w:tr>
        <w:trPr>
          <w:trHeight w:val="1890"/>
        </w:trPr>
        <w:tc>
          <w:tcPr>
            <w:tcW w:w="456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6" w:right="999" w:bottom="1440" w:gutter="0" w:footer="0" w:header="0"/>
          <w:type w:val="continuous"/>
        </w:sectPr>
      </w:pPr>
    </w:p>
    <w:bookmarkStart w:id="367" w:name="page368"/>
    <w:bookmarkEnd w:id="367"/>
    <w:p>
      <w:pPr>
        <w:ind w:left="1572" w:hanging="887"/>
        <w:spacing w:after="0"/>
        <w:tabs>
          <w:tab w:leader="none" w:pos="157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provision for federal, state, local and foreign income taxes paid or payable for</w:t>
      </w:r>
    </w:p>
    <w:p>
      <w:pPr>
        <w:sectPr>
          <w:pgSz w:w="11900" w:h="16838" w:orient="portrait"/>
          <w:cols w:equalWidth="0" w:num="1">
            <w:col w:w="9892"/>
          </w:cols>
          <w:pgMar w:left="988" w:top="906" w:right="1019" w:bottom="1440" w:gutter="0" w:footer="0" w:header="0"/>
        </w:sectPr>
      </w:pPr>
    </w:p>
    <w:p>
      <w:pPr>
        <w:spacing w:after="0" w:line="66" w:lineRule="exact"/>
        <w:rPr>
          <w:sz w:val="20"/>
          <w:szCs w:val="20"/>
          <w:color w:val="auto"/>
        </w:rPr>
      </w:pPr>
    </w:p>
    <w:p>
      <w:pPr>
        <w:ind w:left="1572"/>
        <w:spacing w:after="0"/>
        <w:rPr>
          <w:sz w:val="20"/>
          <w:szCs w:val="20"/>
          <w:color w:val="auto"/>
        </w:rPr>
      </w:pPr>
      <w:r>
        <w:rPr>
          <w:rFonts w:ascii="Arial" w:cs="Arial" w:eastAsia="Arial" w:hAnsi="Arial"/>
          <w:sz w:val="16"/>
          <w:szCs w:val="16"/>
          <w:color w:val="auto"/>
        </w:rPr>
        <w:t>such period: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7832" w:space="720"/>
            <w:col w:w="1340"/>
          </w:cols>
          <w:pgMar w:left="988" w:top="906" w:right="1019" w:bottom="1440" w:gutter="0" w:footer="0" w:header="0"/>
          <w:type w:val="continuous"/>
        </w:sectPr>
      </w:pPr>
    </w:p>
    <w:p>
      <w:pPr>
        <w:spacing w:after="0" w:line="41" w:lineRule="exact"/>
        <w:rPr>
          <w:sz w:val="20"/>
          <w:szCs w:val="20"/>
          <w:color w:val="auto"/>
        </w:rPr>
      </w:pPr>
    </w:p>
    <w:p>
      <w:pPr>
        <w:ind w:left="692"/>
        <w:spacing w:after="0"/>
        <w:tabs>
          <w:tab w:leader="none" w:pos="1551"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depreciation and amortization expense for such period: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7832" w:space="720"/>
            <w:col w:w="1340"/>
          </w:cols>
          <w:pgMar w:left="988" w:top="906" w:right="1019" w:bottom="1440" w:gutter="0" w:footer="0" w:header="0"/>
          <w:type w:val="continuous"/>
        </w:sectPr>
      </w:pPr>
    </w:p>
    <w:p>
      <w:pPr>
        <w:spacing w:after="0" w:line="62" w:lineRule="exact"/>
        <w:rPr>
          <w:sz w:val="20"/>
          <w:szCs w:val="20"/>
          <w:color w:val="auto"/>
        </w:rPr>
      </w:pPr>
    </w:p>
    <w:p>
      <w:pPr>
        <w:ind w:left="1572" w:right="1760" w:hanging="887"/>
        <w:spacing w:after="0" w:line="312" w:lineRule="auto"/>
        <w:tabs>
          <w:tab w:leader="none" w:pos="157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any non-cash expenses, losses or charges (other than any non-cash expense, loss or charge relating to write-offs, write-downs or reserves with respect to accounts or</w:t>
      </w:r>
    </w:p>
    <w:p>
      <w:pPr>
        <w:sectPr>
          <w:pgSz w:w="11900" w:h="16838" w:orient="portrait"/>
          <w:cols w:equalWidth="0" w:num="1">
            <w:col w:w="9892"/>
          </w:cols>
          <w:pgMar w:left="988" w:top="906" w:right="1019" w:bottom="1440" w:gutter="0" w:footer="0" w:header="0"/>
          <w:type w:val="continuous"/>
        </w:sectPr>
      </w:pPr>
    </w:p>
    <w:p>
      <w:pPr>
        <w:spacing w:after="0" w:line="1" w:lineRule="exact"/>
        <w:rPr>
          <w:sz w:val="20"/>
          <w:szCs w:val="20"/>
          <w:color w:val="auto"/>
        </w:rPr>
      </w:pPr>
    </w:p>
    <w:p>
      <w:pPr>
        <w:ind w:left="1572"/>
        <w:spacing w:after="0" w:line="239" w:lineRule="auto"/>
        <w:rPr>
          <w:sz w:val="20"/>
          <w:szCs w:val="20"/>
          <w:color w:val="auto"/>
        </w:rPr>
      </w:pPr>
      <w:r>
        <w:rPr>
          <w:rFonts w:ascii="Arial" w:cs="Arial" w:eastAsia="Arial" w:hAnsi="Arial"/>
          <w:sz w:val="20"/>
          <w:szCs w:val="20"/>
          <w:color w:val="auto"/>
        </w:rPr>
        <w:t>inventory) for such period (including any non-cash stock based compensation expense for such period) which do not represent a cash item in such period or any other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032" w:space="520"/>
            <w:col w:w="1340"/>
          </w:cols>
          <w:pgMar w:left="988" w:top="906" w:right="1019" w:bottom="1440" w:gutter="0" w:footer="0" w:header="0"/>
          <w:type w:val="continuous"/>
        </w:sectPr>
      </w:pPr>
    </w:p>
    <w:p>
      <w:pPr>
        <w:ind w:left="1572" w:hanging="887"/>
        <w:spacing w:after="0"/>
        <w:tabs>
          <w:tab w:leader="none" w:pos="1572" w:val="left"/>
        </w:tabs>
        <w:numPr>
          <w:ilvl w:val="0"/>
          <w:numId w:val="387"/>
        </w:numPr>
        <w:rPr>
          <w:rFonts w:ascii="Arial" w:cs="Arial" w:eastAsia="Arial" w:hAnsi="Arial"/>
          <w:sz w:val="20"/>
          <w:szCs w:val="20"/>
          <w:color w:val="auto"/>
        </w:rPr>
      </w:pPr>
      <w:r>
        <w:rPr>
          <w:rFonts w:ascii="Arial" w:cs="Arial" w:eastAsia="Arial" w:hAnsi="Arial"/>
          <w:sz w:val="20"/>
          <w:szCs w:val="20"/>
          <w:color w:val="auto"/>
        </w:rPr>
        <w:t>fees, costs and expenses incurred by the Borrower and its Subsidiaries in such period</w:t>
      </w:r>
    </w:p>
    <w:p>
      <w:pPr>
        <w:spacing w:after="0" w:line="16" w:lineRule="exact"/>
        <w:rPr>
          <w:sz w:val="20"/>
          <w:szCs w:val="20"/>
          <w:color w:val="auto"/>
        </w:rPr>
      </w:pPr>
    </w:p>
    <w:p>
      <w:pPr>
        <w:ind w:left="1572"/>
        <w:spacing w:after="0"/>
        <w:tabs>
          <w:tab w:leader="none" w:pos="8531" w:val="left"/>
        </w:tabs>
        <w:rPr>
          <w:sz w:val="20"/>
          <w:szCs w:val="20"/>
          <w:color w:val="auto"/>
        </w:rPr>
      </w:pPr>
      <w:r>
        <w:rPr>
          <w:rFonts w:ascii="Arial" w:cs="Arial" w:eastAsia="Arial" w:hAnsi="Arial"/>
          <w:sz w:val="20"/>
          <w:szCs w:val="20"/>
          <w:color w:val="auto"/>
        </w:rPr>
        <w:t>in connection with the Transactions:</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1572" w:right="1600" w:hanging="887"/>
        <w:spacing w:after="0" w:line="309" w:lineRule="auto"/>
        <w:tabs>
          <w:tab w:leader="none" w:pos="157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fees, costs and expenses incurred by the Borrower and its Subsidiaries in such period in connection with the negotiation, execution and delivery of any amendments or</w:t>
      </w:r>
    </w:p>
    <w:p>
      <w:pPr>
        <w:spacing w:after="0" w:line="1" w:lineRule="exact"/>
        <w:rPr>
          <w:sz w:val="20"/>
          <w:szCs w:val="20"/>
          <w:color w:val="auto"/>
        </w:rPr>
      </w:pPr>
    </w:p>
    <w:p>
      <w:pPr>
        <w:ind w:left="1572"/>
        <w:spacing w:after="0"/>
        <w:tabs>
          <w:tab w:leader="none" w:pos="8531" w:val="left"/>
        </w:tabs>
        <w:rPr>
          <w:sz w:val="20"/>
          <w:szCs w:val="20"/>
          <w:color w:val="auto"/>
        </w:rPr>
      </w:pPr>
      <w:r>
        <w:rPr>
          <w:rFonts w:ascii="Arial" w:cs="Arial" w:eastAsia="Arial" w:hAnsi="Arial"/>
          <w:sz w:val="20"/>
          <w:szCs w:val="20"/>
          <w:color w:val="auto"/>
        </w:rPr>
        <w:t>modifications to the Loan Documents:</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1572" w:hanging="887"/>
        <w:spacing w:after="0"/>
        <w:tabs>
          <w:tab w:leader="none" w:pos="1572" w:val="left"/>
        </w:tabs>
        <w:numPr>
          <w:ilvl w:val="0"/>
          <w:numId w:val="389"/>
        </w:numPr>
        <w:rPr>
          <w:rFonts w:ascii="Arial" w:cs="Arial" w:eastAsia="Arial" w:hAnsi="Arial"/>
          <w:sz w:val="20"/>
          <w:szCs w:val="20"/>
          <w:color w:val="auto"/>
        </w:rPr>
      </w:pPr>
      <w:r>
        <w:rPr>
          <w:rFonts w:ascii="Arial" w:cs="Arial" w:eastAsia="Arial" w:hAnsi="Arial"/>
          <w:sz w:val="20"/>
          <w:szCs w:val="20"/>
          <w:color w:val="auto"/>
        </w:rPr>
        <w:t>restructuring charges or reserves (which shall include retention, severance, systems</w:t>
      </w:r>
    </w:p>
    <w:p>
      <w:pPr>
        <w:sectPr>
          <w:pgSz w:w="11900" w:h="16838" w:orient="portrait"/>
          <w:cols w:equalWidth="0" w:num="1">
            <w:col w:w="9892"/>
          </w:cols>
          <w:pgMar w:left="988" w:top="906" w:right="1019" w:bottom="1440" w:gutter="0" w:footer="0" w:header="0"/>
          <w:type w:val="continuous"/>
        </w:sectPr>
      </w:pPr>
    </w:p>
    <w:p>
      <w:pPr>
        <w:spacing w:after="0" w:line="20" w:lineRule="exact"/>
        <w:rPr>
          <w:sz w:val="20"/>
          <w:szCs w:val="20"/>
          <w:color w:val="auto"/>
        </w:rPr>
      </w:pPr>
    </w:p>
    <w:p>
      <w:pPr>
        <w:ind w:left="1572"/>
        <w:spacing w:after="0" w:line="239" w:lineRule="auto"/>
        <w:rPr>
          <w:sz w:val="20"/>
          <w:szCs w:val="20"/>
          <w:color w:val="auto"/>
        </w:rPr>
      </w:pPr>
      <w:r>
        <w:rPr>
          <w:rFonts w:ascii="Arial" w:cs="Arial" w:eastAsia="Arial" w:hAnsi="Arial"/>
          <w:sz w:val="20"/>
          <w:szCs w:val="20"/>
          <w:color w:val="auto"/>
        </w:rPr>
        <w:t xml:space="preserve">establishment cost, excess pension charges, contract termination costs, costs related to start up, closure, relocation or consolidation of facilities, costs to relocate employees, consulting fees, one time information technology costs, and one time branding costs): </w:t>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172" w:space="380"/>
            <w:col w:w="1340"/>
          </w:cols>
          <w:pgMar w:left="988" w:top="906" w:right="1019" w:bottom="1440" w:gutter="0" w:footer="0" w:header="0"/>
          <w:type w:val="continuous"/>
        </w:sectPr>
      </w:pPr>
    </w:p>
    <w:p>
      <w:pPr>
        <w:ind w:left="1572" w:right="1740" w:hanging="887"/>
        <w:spacing w:after="0" w:line="304" w:lineRule="auto"/>
        <w:tabs>
          <w:tab w:leader="none" w:pos="157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fees, costs, and expenses incurred in such period in connection with the issuance of Equity Interests or Indebtedness, the consummation of Permitted Acquisitions, and the consummation of other Investments permitted pursuant to Section 7.03 of the Credit Agreement (in each case whether consummated before or after the Closing</w:t>
      </w:r>
    </w:p>
    <w:p>
      <w:pPr>
        <w:spacing w:after="0" w:line="2" w:lineRule="exact"/>
        <w:rPr>
          <w:sz w:val="20"/>
          <w:szCs w:val="20"/>
          <w:color w:val="auto"/>
        </w:rPr>
      </w:pPr>
    </w:p>
    <w:p>
      <w:pPr>
        <w:ind w:left="1572"/>
        <w:spacing w:after="0"/>
        <w:tabs>
          <w:tab w:leader="none" w:pos="8531" w:val="left"/>
        </w:tabs>
        <w:rPr>
          <w:sz w:val="20"/>
          <w:szCs w:val="20"/>
          <w:color w:val="auto"/>
        </w:rPr>
      </w:pPr>
      <w:r>
        <w:rPr>
          <w:rFonts w:ascii="Arial" w:cs="Arial" w:eastAsia="Arial" w:hAnsi="Arial"/>
          <w:sz w:val="20"/>
          <w:szCs w:val="20"/>
          <w:color w:val="auto"/>
        </w:rPr>
        <w:t>Date), whether or not such transaction is actually consummated:</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1572" w:right="1560" w:hanging="887"/>
        <w:spacing w:after="0" w:line="302" w:lineRule="auto"/>
        <w:tabs>
          <w:tab w:leader="none" w:pos="1572"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amount of net cost savings and synergies related to any Permitted Acquisition or other Investment permitted pursuant to Section 7.03 of the Credit Agreement, but only to the extent that such net cost savings and synergies are reasonably identifiable, factually supportable and projected by the Borrower in good faith to result from actions that have been taken (or, if not yet taken, with respect to actions for which substantial steps have been taken) within twelve (12) months after the consummation of such Permitted Acquisition or such Investment (with the amount of any such net cost savings and synergies to be added to Consolidated EBITDA as so projected until fully realized and calculated on a Pro Forma Basis as though such net cost savings</w:t>
      </w:r>
    </w:p>
    <w:p>
      <w:pPr>
        <w:sectPr>
          <w:pgSz w:w="11900" w:h="16838" w:orient="portrait"/>
          <w:cols w:equalWidth="0" w:num="1">
            <w:col w:w="9892"/>
          </w:cols>
          <w:pgMar w:left="988" w:top="906" w:right="1019" w:bottom="1440" w:gutter="0" w:footer="0" w:header="0"/>
          <w:type w:val="continuous"/>
        </w:sectPr>
      </w:pPr>
    </w:p>
    <w:p>
      <w:pPr>
        <w:spacing w:after="0" w:line="3" w:lineRule="exact"/>
        <w:rPr>
          <w:sz w:val="20"/>
          <w:szCs w:val="20"/>
          <w:color w:val="auto"/>
        </w:rPr>
      </w:pPr>
    </w:p>
    <w:p>
      <w:pPr>
        <w:ind w:left="1572"/>
        <w:spacing w:after="0" w:line="239" w:lineRule="auto"/>
        <w:rPr>
          <w:sz w:val="20"/>
          <w:szCs w:val="20"/>
          <w:color w:val="auto"/>
        </w:rPr>
      </w:pPr>
      <w:r>
        <w:rPr>
          <w:rFonts w:ascii="Arial" w:cs="Arial" w:eastAsia="Arial" w:hAnsi="Arial"/>
          <w:sz w:val="20"/>
          <w:szCs w:val="20"/>
          <w:color w:val="auto"/>
        </w:rPr>
        <w:t>and synergies had been realized on the first day of such period), net of the amount of actual benefits realized during such period from such actions:</w:t>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212090</wp:posOffset>
            </wp:positionV>
            <wp:extent cx="15684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5" w:lineRule="exact"/>
        <w:rPr>
          <w:sz w:val="20"/>
          <w:szCs w:val="20"/>
          <w:color w:val="auto"/>
        </w:rPr>
      </w:pPr>
    </w:p>
    <w:p>
      <w:pPr>
        <w:sectPr>
          <w:pgSz w:w="11900" w:h="16838" w:orient="portrait"/>
          <w:cols w:equalWidth="0" w:num="2">
            <w:col w:w="8272" w:space="280"/>
            <w:col w:w="1340"/>
          </w:cols>
          <w:pgMar w:left="988" w:top="906" w:right="1019" w:bottom="1440" w:gutter="0" w:footer="0" w:header="0"/>
          <w:type w:val="continuous"/>
        </w:sectPr>
      </w:pPr>
    </w:p>
    <w:p>
      <w:pPr>
        <w:spacing w:after="0" w:line="226" w:lineRule="exact"/>
        <w:rPr>
          <w:sz w:val="20"/>
          <w:szCs w:val="20"/>
          <w:color w:val="auto"/>
        </w:rPr>
      </w:pPr>
    </w:p>
    <w:p>
      <w:pPr>
        <w:ind w:left="332" w:right="300" w:hanging="332"/>
        <w:spacing w:after="0" w:line="226" w:lineRule="auto"/>
        <w:tabs>
          <w:tab w:leader="none" w:pos="332" w:val="left"/>
        </w:tabs>
        <w:numPr>
          <w:ilvl w:val="0"/>
          <w:numId w:val="392"/>
        </w:numPr>
        <w:rPr>
          <w:rFonts w:ascii="Arial" w:cs="Arial" w:eastAsia="Arial" w:hAnsi="Arial"/>
          <w:sz w:val="29"/>
          <w:szCs w:val="29"/>
          <w:color w:val="auto"/>
          <w:vertAlign w:val="superscript"/>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aggregate amount added back pursuant to this </w:t>
      </w:r>
      <w:r>
        <w:rPr>
          <w:rFonts w:ascii="Arial" w:cs="Arial" w:eastAsia="Arial" w:hAnsi="Arial"/>
          <w:sz w:val="19"/>
          <w:szCs w:val="19"/>
          <w:u w:val="single" w:color="auto"/>
          <w:color w:val="auto"/>
        </w:rPr>
        <w:t>Line (I)(b)(viii)</w:t>
      </w:r>
      <w:r>
        <w:rPr>
          <w:rFonts w:ascii="Arial" w:cs="Arial" w:eastAsia="Arial" w:hAnsi="Arial"/>
          <w:sz w:val="19"/>
          <w:szCs w:val="19"/>
          <w:color w:val="auto"/>
        </w:rPr>
        <w:t xml:space="preserve"> for any period, when taken together with the aggregate amount added back pursuant to </w:t>
      </w:r>
      <w:r>
        <w:rPr>
          <w:rFonts w:ascii="Arial" w:cs="Arial" w:eastAsia="Arial" w:hAnsi="Arial"/>
          <w:sz w:val="19"/>
          <w:szCs w:val="19"/>
          <w:u w:val="single" w:color="auto"/>
          <w:color w:val="auto"/>
        </w:rPr>
        <w:t>Line (I)(b)(x)</w:t>
      </w:r>
      <w:r>
        <w:rPr>
          <w:rFonts w:ascii="Arial" w:cs="Arial" w:eastAsia="Arial" w:hAnsi="Arial"/>
          <w:sz w:val="19"/>
          <w:szCs w:val="19"/>
          <w:color w:val="auto"/>
        </w:rPr>
        <w:t xml:space="preserve"> below for such period, shall not exceed an amount equal to twenty percent (20%) of Consolidated EBITDA (calculated without giving effect to the add backs permitted pursuant to this </w:t>
      </w:r>
      <w:r>
        <w:rPr>
          <w:rFonts w:ascii="Arial" w:cs="Arial" w:eastAsia="Arial" w:hAnsi="Arial"/>
          <w:sz w:val="19"/>
          <w:szCs w:val="19"/>
          <w:u w:val="single" w:color="auto"/>
          <w:color w:val="auto"/>
        </w:rPr>
        <w:t>Line (I)(b)(viii)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Line (I)(b)(x)</w:t>
      </w:r>
      <w:r>
        <w:rPr>
          <w:rFonts w:ascii="Arial" w:cs="Arial" w:eastAsia="Arial" w:hAnsi="Arial"/>
          <w:sz w:val="19"/>
          <w:szCs w:val="19"/>
          <w:color w:val="auto"/>
        </w:rPr>
        <w:t xml:space="preserve"> below) for such period.</w:t>
      </w:r>
    </w:p>
    <w:p>
      <w:pPr>
        <w:spacing w:after="0" w:line="2" w:lineRule="exact"/>
        <w:rPr>
          <w:rFonts w:ascii="Arial" w:cs="Arial" w:eastAsia="Arial" w:hAnsi="Arial"/>
          <w:sz w:val="29"/>
          <w:szCs w:val="29"/>
          <w:color w:val="auto"/>
          <w:vertAlign w:val="superscript"/>
        </w:rPr>
      </w:pPr>
    </w:p>
    <w:p>
      <w:pPr>
        <w:ind w:left="332" w:hanging="332"/>
        <w:spacing w:after="0" w:line="214" w:lineRule="auto"/>
        <w:tabs>
          <w:tab w:leader="none" w:pos="332" w:val="left"/>
        </w:tabs>
        <w:numPr>
          <w:ilvl w:val="0"/>
          <w:numId w:val="392"/>
        </w:numPr>
        <w:rPr>
          <w:rFonts w:ascii="Arial" w:cs="Arial" w:eastAsia="Arial" w:hAnsi="Arial"/>
          <w:sz w:val="30"/>
          <w:szCs w:val="30"/>
          <w:color w:val="auto"/>
          <w:vertAlign w:val="superscript"/>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aggregate amount added back pursuant to this </w:t>
      </w:r>
      <w:r>
        <w:rPr>
          <w:rFonts w:ascii="Arial" w:cs="Arial" w:eastAsia="Arial" w:hAnsi="Arial"/>
          <w:sz w:val="20"/>
          <w:szCs w:val="20"/>
          <w:u w:val="single" w:color="auto"/>
          <w:color w:val="auto"/>
        </w:rPr>
        <w:t>Line (I)(b)(x)</w:t>
      </w:r>
      <w:r>
        <w:rPr>
          <w:rFonts w:ascii="Arial" w:cs="Arial" w:eastAsia="Arial" w:hAnsi="Arial"/>
          <w:sz w:val="20"/>
          <w:szCs w:val="20"/>
          <w:color w:val="auto"/>
        </w:rPr>
        <w:t xml:space="preserve"> for any period, when taken together with the aggregate amount added back pursuant to </w:t>
      </w:r>
      <w:r>
        <w:rPr>
          <w:rFonts w:ascii="Arial" w:cs="Arial" w:eastAsia="Arial" w:hAnsi="Arial"/>
          <w:sz w:val="20"/>
          <w:szCs w:val="20"/>
          <w:u w:val="single" w:color="auto"/>
          <w:color w:val="auto"/>
        </w:rPr>
        <w:t>Line (I)(b)(viii)</w:t>
      </w:r>
      <w:r>
        <w:rPr>
          <w:rFonts w:ascii="Arial" w:cs="Arial" w:eastAsia="Arial" w:hAnsi="Arial"/>
          <w:sz w:val="20"/>
          <w:szCs w:val="20"/>
          <w:color w:val="auto"/>
        </w:rPr>
        <w:t xml:space="preserve"> above for such period, shall not exceed an amount equal to twenty percent (20%) of Consolidated EBITDA (calculated without giving effect to the add backs permitted pursuant to this </w:t>
      </w:r>
      <w:r>
        <w:rPr>
          <w:rFonts w:ascii="Arial" w:cs="Arial" w:eastAsia="Arial" w:hAnsi="Arial"/>
          <w:sz w:val="20"/>
          <w:szCs w:val="20"/>
          <w:u w:val="single" w:color="auto"/>
          <w:color w:val="auto"/>
        </w:rPr>
        <w:t>Line (I)(b)(x)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Line (I)(b)(viii)</w:t>
      </w:r>
      <w:r>
        <w:rPr>
          <w:rFonts w:ascii="Arial" w:cs="Arial" w:eastAsia="Arial" w:hAnsi="Arial"/>
          <w:sz w:val="20"/>
          <w:szCs w:val="20"/>
          <w:color w:val="auto"/>
        </w:rPr>
        <w:t xml:space="preserve"> above)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897890</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906" w:right="1019" w:bottom="1440" w:gutter="0" w:footer="0" w:header="0"/>
          <w:type w:val="continuous"/>
        </w:sectPr>
      </w:pPr>
    </w:p>
    <w:bookmarkStart w:id="368" w:name="page369"/>
    <w:bookmarkEnd w:id="368"/>
    <w:p>
      <w:pPr>
        <w:ind w:left="1572"/>
        <w:spacing w:after="0"/>
        <w:rPr>
          <w:sz w:val="20"/>
          <w:szCs w:val="20"/>
          <w:color w:val="auto"/>
        </w:rPr>
      </w:pPr>
      <w:r>
        <w:rPr>
          <w:rFonts w:ascii="Arial" w:cs="Arial" w:eastAsia="Arial" w:hAnsi="Arial"/>
          <w:sz w:val="20"/>
          <w:szCs w:val="20"/>
          <w:color w:val="auto"/>
        </w:rPr>
        <w:t>the following, without duplication, to the extent including in calculating such</w:t>
      </w:r>
    </w:p>
    <w:p>
      <w:pPr>
        <w:spacing w:after="0" w:line="16" w:lineRule="exact"/>
        <w:rPr>
          <w:sz w:val="20"/>
          <w:szCs w:val="20"/>
          <w:color w:val="auto"/>
        </w:rPr>
      </w:pPr>
    </w:p>
    <w:p>
      <w:pPr>
        <w:ind w:left="1572"/>
        <w:spacing w:after="0"/>
        <w:rPr>
          <w:sz w:val="20"/>
          <w:szCs w:val="20"/>
          <w:color w:val="auto"/>
        </w:rPr>
      </w:pPr>
      <w:r>
        <w:rPr>
          <w:rFonts w:ascii="Arial" w:cs="Arial" w:eastAsia="Arial" w:hAnsi="Arial"/>
          <w:sz w:val="20"/>
          <w:szCs w:val="20"/>
          <w:color w:val="auto"/>
        </w:rPr>
        <w:t>Consolidated Net Income:</w:t>
      </w:r>
    </w:p>
    <w:p>
      <w:pPr>
        <w:spacing w:after="0" w:line="200" w:lineRule="exact"/>
        <w:rPr>
          <w:sz w:val="20"/>
          <w:szCs w:val="20"/>
          <w:color w:val="auto"/>
        </w:rPr>
      </w:pPr>
    </w:p>
    <w:tbl>
      <w:tblPr>
        <w:tblLayout w:type="fixed"/>
        <w:tblInd w:w="112"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1060" w:type="dxa"/>
            <w:vAlign w:val="bottom"/>
          </w:tcPr>
          <w:p>
            <w:pPr>
              <w:ind w:left="180"/>
              <w:spacing w:after="0"/>
              <w:rPr>
                <w:sz w:val="20"/>
                <w:szCs w:val="20"/>
                <w:color w:val="auto"/>
              </w:rPr>
            </w:pPr>
            <w:r>
              <w:rPr>
                <w:rFonts w:ascii="Arial" w:cs="Arial" w:eastAsia="Arial" w:hAnsi="Arial"/>
                <w:sz w:val="20"/>
                <w:szCs w:val="20"/>
                <w:color w:val="auto"/>
              </w:rPr>
              <w:t>(xi)</w:t>
            </w:r>
          </w:p>
        </w:tc>
        <w:tc>
          <w:tcPr>
            <w:tcW w:w="6680" w:type="dxa"/>
            <w:vAlign w:val="bottom"/>
            <w:gridSpan w:val="24"/>
          </w:tcPr>
          <w:p>
            <w:pPr>
              <w:spacing w:after="0"/>
              <w:rPr>
                <w:sz w:val="20"/>
                <w:szCs w:val="20"/>
                <w:color w:val="auto"/>
              </w:rPr>
            </w:pPr>
            <w:r>
              <w:rPr>
                <w:rFonts w:ascii="Arial" w:cs="Arial" w:eastAsia="Arial" w:hAnsi="Arial"/>
                <w:sz w:val="20"/>
                <w:szCs w:val="20"/>
                <w:color w:val="auto"/>
              </w:rPr>
              <w:t>any non-cash income or gains for such period:</w:t>
            </w:r>
          </w:p>
        </w:tc>
        <w:tc>
          <w:tcPr>
            <w:tcW w:w="1380" w:type="dxa"/>
            <w:vAlign w:val="bottom"/>
          </w:tcPr>
          <w:p>
            <w:pPr>
              <w:ind w:left="300"/>
              <w:spacing w:after="0"/>
              <w:rPr>
                <w:sz w:val="20"/>
                <w:szCs w:val="20"/>
                <w:color w:val="auto"/>
              </w:rPr>
            </w:pPr>
            <w:r>
              <w:rPr>
                <w:rFonts w:ascii="Arial" w:cs="Arial" w:eastAsia="Arial" w:hAnsi="Arial"/>
                <w:sz w:val="20"/>
                <w:szCs w:val="20"/>
                <w:color w:val="auto"/>
                <w:w w:val="95"/>
              </w:rPr>
              <w:t>$_________</w:t>
            </w:r>
          </w:p>
        </w:tc>
      </w:tr>
      <w:tr>
        <w:trPr>
          <w:trHeight w:val="446"/>
        </w:trPr>
        <w:tc>
          <w:tcPr>
            <w:tcW w:w="40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20"/>
                <w:szCs w:val="20"/>
                <w:color w:val="auto"/>
              </w:rPr>
              <w:t>(xii)</w:t>
            </w:r>
          </w:p>
        </w:tc>
        <w:tc>
          <w:tcPr>
            <w:tcW w:w="6680" w:type="dxa"/>
            <w:vAlign w:val="bottom"/>
            <w:gridSpan w:val="24"/>
          </w:tcPr>
          <w:p>
            <w:pPr>
              <w:spacing w:after="0"/>
              <w:rPr>
                <w:sz w:val="20"/>
                <w:szCs w:val="20"/>
                <w:color w:val="auto"/>
              </w:rPr>
            </w:pPr>
            <w:r>
              <w:rPr>
                <w:rFonts w:ascii="Arial" w:cs="Arial" w:eastAsia="Arial" w:hAnsi="Arial"/>
                <w:sz w:val="20"/>
                <w:szCs w:val="20"/>
                <w:color w:val="auto"/>
              </w:rPr>
              <w:t>federal, state, local and foreign income tax credits received in such period:</w:t>
            </w:r>
          </w:p>
        </w:tc>
        <w:tc>
          <w:tcPr>
            <w:tcW w:w="1380" w:type="dxa"/>
            <w:vAlign w:val="bottom"/>
          </w:tcPr>
          <w:p>
            <w:pPr>
              <w:ind w:left="300"/>
              <w:spacing w:after="0"/>
              <w:rPr>
                <w:sz w:val="20"/>
                <w:szCs w:val="20"/>
                <w:color w:val="auto"/>
              </w:rPr>
            </w:pPr>
            <w:r>
              <w:rPr>
                <w:rFonts w:ascii="Arial" w:cs="Arial" w:eastAsia="Arial" w:hAnsi="Arial"/>
                <w:sz w:val="20"/>
                <w:szCs w:val="20"/>
                <w:color w:val="auto"/>
                <w:w w:val="95"/>
              </w:rPr>
              <w:t>$_________</w:t>
            </w:r>
          </w:p>
        </w:tc>
      </w:tr>
      <w:tr>
        <w:trPr>
          <w:trHeight w:val="401"/>
        </w:trPr>
        <w:tc>
          <w:tcPr>
            <w:tcW w:w="40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20"/>
                <w:szCs w:val="20"/>
                <w:color w:val="auto"/>
              </w:rPr>
              <w:t>(xiii)</w:t>
            </w:r>
          </w:p>
        </w:tc>
        <w:tc>
          <w:tcPr>
            <w:tcW w:w="6680" w:type="dxa"/>
            <w:vAlign w:val="bottom"/>
            <w:gridSpan w:val="24"/>
          </w:tcPr>
          <w:p>
            <w:pPr>
              <w:spacing w:after="0"/>
              <w:rPr>
                <w:sz w:val="20"/>
                <w:szCs w:val="20"/>
                <w:color w:val="auto"/>
              </w:rPr>
            </w:pPr>
            <w:r>
              <w:rPr>
                <w:rFonts w:ascii="Arial" w:cs="Arial" w:eastAsia="Arial" w:hAnsi="Arial"/>
                <w:sz w:val="20"/>
                <w:szCs w:val="20"/>
                <w:color w:val="auto"/>
              </w:rPr>
              <w:t>Consolidated EBITDA [Lines (I)(d)(i) + (ii)(D) + (iii) + (iv) + (v) + (vi) + (vii) +</w:t>
            </w:r>
          </w:p>
        </w:tc>
        <w:tc>
          <w:tcPr>
            <w:tcW w:w="138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80" w:type="dxa"/>
            <w:vAlign w:val="bottom"/>
            <w:gridSpan w:val="24"/>
          </w:tcPr>
          <w:p>
            <w:pPr>
              <w:spacing w:after="0" w:line="209" w:lineRule="exact"/>
              <w:rPr>
                <w:sz w:val="20"/>
                <w:szCs w:val="20"/>
                <w:color w:val="auto"/>
              </w:rPr>
            </w:pPr>
            <w:r>
              <w:rPr>
                <w:rFonts w:ascii="Arial" w:cs="Arial" w:eastAsia="Arial" w:hAnsi="Arial"/>
                <w:sz w:val="20"/>
                <w:szCs w:val="20"/>
                <w:color w:val="auto"/>
              </w:rPr>
              <w:t>(viii) + (ix) + (x) – (xi) – (xii)</w:t>
            </w:r>
            <w:r>
              <w:rPr>
                <w:rFonts w:ascii="Arial" w:cs="Arial" w:eastAsia="Arial" w:hAnsi="Arial"/>
                <w:sz w:val="20"/>
                <w:szCs w:val="20"/>
                <w:u w:val="single" w:color="auto"/>
                <w:color w:val="auto"/>
              </w:rPr>
              <w:t>]</w:t>
            </w:r>
            <w:r>
              <w:rPr>
                <w:rFonts w:ascii="Arial" w:cs="Arial" w:eastAsia="Arial" w:hAnsi="Arial"/>
                <w:sz w:val="20"/>
                <w:szCs w:val="20"/>
                <w:color w:val="auto"/>
              </w:rPr>
              <w:t>:</w:t>
            </w:r>
          </w:p>
        </w:tc>
        <w:tc>
          <w:tcPr>
            <w:tcW w:w="1380" w:type="dxa"/>
            <w:vAlign w:val="bottom"/>
          </w:tcPr>
          <w:p>
            <w:pPr>
              <w:ind w:left="300"/>
              <w:spacing w:after="0" w:line="209" w:lineRule="exact"/>
              <w:rPr>
                <w:sz w:val="20"/>
                <w:szCs w:val="20"/>
                <w:color w:val="auto"/>
              </w:rPr>
            </w:pPr>
            <w:r>
              <w:rPr>
                <w:rFonts w:ascii="Arial" w:cs="Arial" w:eastAsia="Arial" w:hAnsi="Arial"/>
                <w:sz w:val="20"/>
                <w:szCs w:val="20"/>
                <w:color w:val="auto"/>
                <w:w w:val="95"/>
              </w:rPr>
              <w:t>$_________</w:t>
            </w:r>
          </w:p>
        </w:tc>
      </w:tr>
      <w:tr>
        <w:trPr>
          <w:trHeight w:val="20"/>
        </w:trPr>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26"/>
        </w:trPr>
        <w:tc>
          <w:tcPr>
            <w:tcW w:w="400" w:type="dxa"/>
            <w:vAlign w:val="bottom"/>
          </w:tcPr>
          <w:p>
            <w:pPr>
              <w:spacing w:after="0"/>
              <w:rPr>
                <w:sz w:val="20"/>
                <w:szCs w:val="20"/>
                <w:color w:val="auto"/>
              </w:rPr>
            </w:pPr>
            <w:r>
              <w:rPr>
                <w:rFonts w:ascii="Arial" w:cs="Arial" w:eastAsia="Arial" w:hAnsi="Arial"/>
                <w:sz w:val="20"/>
                <w:szCs w:val="20"/>
                <w:color w:val="auto"/>
              </w:rPr>
              <w:t>(c)</w:t>
            </w:r>
          </w:p>
        </w:tc>
        <w:tc>
          <w:tcPr>
            <w:tcW w:w="7740" w:type="dxa"/>
            <w:vAlign w:val="bottom"/>
            <w:gridSpan w:val="25"/>
          </w:tcPr>
          <w:p>
            <w:pPr>
              <w:ind w:left="180"/>
              <w:spacing w:after="0"/>
              <w:rPr>
                <w:sz w:val="20"/>
                <w:szCs w:val="20"/>
                <w:color w:val="auto"/>
              </w:rPr>
            </w:pPr>
            <w:r>
              <w:rPr>
                <w:rFonts w:ascii="Arial" w:cs="Arial" w:eastAsia="Arial" w:hAnsi="Arial"/>
                <w:sz w:val="20"/>
                <w:szCs w:val="20"/>
                <w:color w:val="auto"/>
              </w:rPr>
              <w:t>Consolidated Leverage Ratio [(Line (I)(a)(xi) ÷ Line (I)(b)(xiii)]:</w:t>
            </w:r>
          </w:p>
        </w:tc>
        <w:tc>
          <w:tcPr>
            <w:tcW w:w="1380" w:type="dxa"/>
            <w:vAlign w:val="bottom"/>
          </w:tcPr>
          <w:p>
            <w:pPr>
              <w:ind w:left="300"/>
              <w:spacing w:after="0"/>
              <w:rPr>
                <w:sz w:val="20"/>
                <w:szCs w:val="20"/>
                <w:color w:val="auto"/>
              </w:rPr>
            </w:pPr>
            <w:r>
              <w:rPr>
                <w:rFonts w:ascii="Arial" w:cs="Arial" w:eastAsia="Arial" w:hAnsi="Arial"/>
                <w:sz w:val="20"/>
                <w:szCs w:val="20"/>
                <w:color w:val="auto"/>
                <w:w w:val="86"/>
              </w:rPr>
              <w:t>_____ to 1.00</w:t>
            </w:r>
          </w:p>
        </w:tc>
      </w:tr>
      <w:tr>
        <w:trPr>
          <w:trHeight w:val="20"/>
        </w:trPr>
        <w:tc>
          <w:tcPr>
            <w:tcW w:w="40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14"/>
        </w:trPr>
        <w:tc>
          <w:tcPr>
            <w:tcW w:w="400" w:type="dxa"/>
            <w:vAlign w:val="bottom"/>
          </w:tcPr>
          <w:p>
            <w:pPr>
              <w:spacing w:after="0"/>
              <w:rPr>
                <w:sz w:val="20"/>
                <w:szCs w:val="20"/>
                <w:color w:val="auto"/>
              </w:rPr>
            </w:pPr>
            <w:r>
              <w:rPr>
                <w:rFonts w:ascii="Arial" w:cs="Arial" w:eastAsia="Arial" w:hAnsi="Arial"/>
                <w:sz w:val="20"/>
                <w:szCs w:val="20"/>
                <w:color w:val="auto"/>
              </w:rPr>
              <w:t>(d)</w:t>
            </w:r>
          </w:p>
        </w:tc>
        <w:tc>
          <w:tcPr>
            <w:tcW w:w="7740" w:type="dxa"/>
            <w:vAlign w:val="bottom"/>
            <w:gridSpan w:val="25"/>
          </w:tcPr>
          <w:p>
            <w:pPr>
              <w:ind w:left="180"/>
              <w:spacing w:after="0"/>
              <w:rPr>
                <w:sz w:val="20"/>
                <w:szCs w:val="20"/>
                <w:color w:val="auto"/>
              </w:rPr>
            </w:pPr>
            <w:r>
              <w:rPr>
                <w:rFonts w:ascii="Arial" w:cs="Arial" w:eastAsia="Arial" w:hAnsi="Arial"/>
                <w:sz w:val="20"/>
                <w:szCs w:val="20"/>
                <w:color w:val="auto"/>
              </w:rPr>
              <w:t>Maximum Consolidated Leverage Ratio:</w:t>
            </w:r>
            <w:r>
              <w:rPr>
                <w:rFonts w:ascii="Arial" w:cs="Arial" w:eastAsia="Arial" w:hAnsi="Arial"/>
                <w:sz w:val="29"/>
                <w:szCs w:val="29"/>
                <w:color w:val="auto"/>
                <w:vertAlign w:val="superscript"/>
              </w:rPr>
              <w:t>13</w:t>
            </w:r>
          </w:p>
        </w:tc>
        <w:tc>
          <w:tcPr>
            <w:tcW w:w="1380" w:type="dxa"/>
            <w:vAlign w:val="bottom"/>
          </w:tcPr>
          <w:p>
            <w:pPr>
              <w:ind w:left="300"/>
              <w:spacing w:after="0"/>
              <w:rPr>
                <w:sz w:val="20"/>
                <w:szCs w:val="20"/>
                <w:color w:val="auto"/>
              </w:rPr>
            </w:pPr>
            <w:r>
              <w:rPr>
                <w:rFonts w:ascii="Arial" w:cs="Arial" w:eastAsia="Arial" w:hAnsi="Arial"/>
                <w:sz w:val="20"/>
                <w:szCs w:val="20"/>
                <w:color w:val="auto"/>
                <w:w w:val="86"/>
              </w:rPr>
              <w:t>_____ to 1.00</w:t>
            </w:r>
          </w:p>
        </w:tc>
      </w:tr>
      <w:tr>
        <w:trPr>
          <w:trHeight w:val="302"/>
        </w:trPr>
        <w:tc>
          <w:tcPr>
            <w:tcW w:w="400" w:type="dxa"/>
            <w:vAlign w:val="bottom"/>
          </w:tcPr>
          <w:p>
            <w:pPr>
              <w:spacing w:after="0"/>
              <w:rPr>
                <w:sz w:val="20"/>
                <w:szCs w:val="20"/>
                <w:color w:val="auto"/>
              </w:rPr>
            </w:pPr>
            <w:r>
              <w:rPr>
                <w:rFonts w:ascii="Arial" w:cs="Arial" w:eastAsia="Arial" w:hAnsi="Arial"/>
                <w:sz w:val="20"/>
                <w:szCs w:val="20"/>
                <w:color w:val="auto"/>
              </w:rPr>
              <w:t>(e)</w:t>
            </w:r>
          </w:p>
        </w:tc>
        <w:tc>
          <w:tcPr>
            <w:tcW w:w="7740" w:type="dxa"/>
            <w:vAlign w:val="bottom"/>
            <w:gridSpan w:val="25"/>
          </w:tcPr>
          <w:p>
            <w:pPr>
              <w:ind w:left="180"/>
              <w:spacing w:after="0"/>
              <w:rPr>
                <w:sz w:val="20"/>
                <w:szCs w:val="20"/>
                <w:color w:val="auto"/>
              </w:rPr>
            </w:pPr>
            <w:r>
              <w:rPr>
                <w:rFonts w:ascii="Arial" w:cs="Arial" w:eastAsia="Arial" w:hAnsi="Arial"/>
                <w:sz w:val="20"/>
                <w:szCs w:val="20"/>
                <w:color w:val="auto"/>
              </w:rPr>
              <w:t>In compliance?</w:t>
            </w:r>
          </w:p>
        </w:tc>
        <w:tc>
          <w:tcPr>
            <w:tcW w:w="1380" w:type="dxa"/>
            <w:vAlign w:val="bottom"/>
          </w:tcPr>
          <w:p>
            <w:pPr>
              <w:ind w:left="300"/>
              <w:spacing w:after="0"/>
              <w:rPr>
                <w:sz w:val="20"/>
                <w:szCs w:val="20"/>
                <w:color w:val="auto"/>
              </w:rPr>
            </w:pPr>
            <w:r>
              <w:rPr>
                <w:rFonts w:ascii="Arial" w:cs="Arial" w:eastAsia="Arial" w:hAnsi="Arial"/>
                <w:sz w:val="20"/>
                <w:szCs w:val="20"/>
                <w:color w:val="auto"/>
              </w:rPr>
              <w:t>[Yes][No]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15684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9" w:lineRule="exact"/>
        <w:rPr>
          <w:sz w:val="20"/>
          <w:szCs w:val="20"/>
          <w:color w:val="auto"/>
        </w:rPr>
      </w:pPr>
    </w:p>
    <w:p>
      <w:pPr>
        <w:ind w:left="332" w:right="180" w:hanging="332"/>
        <w:spacing w:after="0" w:line="208" w:lineRule="auto"/>
        <w:tabs>
          <w:tab w:leader="none" w:pos="332" w:val="left"/>
        </w:tabs>
        <w:numPr>
          <w:ilvl w:val="0"/>
          <w:numId w:val="393"/>
        </w:numPr>
        <w:rPr>
          <w:rFonts w:ascii="Arial" w:cs="Arial" w:eastAsia="Arial" w:hAnsi="Arial"/>
          <w:sz w:val="29"/>
          <w:szCs w:val="29"/>
          <w:color w:val="auto"/>
          <w:vertAlign w:val="superscript"/>
        </w:rPr>
      </w:pPr>
      <w:r>
        <w:rPr>
          <w:rFonts w:ascii="Arial" w:cs="Arial" w:eastAsia="Arial" w:hAnsi="Arial"/>
          <w:sz w:val="19"/>
          <w:szCs w:val="19"/>
          <w:color w:val="auto"/>
        </w:rPr>
        <w:t>The maximum Consolidated Total Net Leverage Ratio shall not be greater than 3.00 to 1.0, subject to any Leverage Increase Period in effect at such time pursuant to Section 7.11(a)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898525</wp:posOffset>
            </wp:positionV>
            <wp:extent cx="629221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32"/>
          </w:cols>
          <w:pgMar w:left="988" w:top="906" w:right="1279" w:bottom="1440" w:gutter="0" w:footer="0" w:header="0"/>
        </w:sectPr>
      </w:pPr>
    </w:p>
    <w:bookmarkStart w:id="369" w:name="page370"/>
    <w:bookmarkEnd w:id="369"/>
    <w:p>
      <w:pPr>
        <w:ind w:left="692" w:hanging="587"/>
        <w:spacing w:after="0"/>
        <w:tabs>
          <w:tab w:leader="none" w:pos="692" w:val="left"/>
        </w:tabs>
        <w:numPr>
          <w:ilvl w:val="0"/>
          <w:numId w:val="394"/>
        </w:numPr>
        <w:rPr>
          <w:rFonts w:ascii="Arial" w:cs="Arial" w:eastAsia="Arial" w:hAnsi="Arial"/>
          <w:sz w:val="20"/>
          <w:szCs w:val="20"/>
          <w:b w:val="1"/>
          <w:bCs w:val="1"/>
          <w:color w:val="auto"/>
        </w:rPr>
      </w:pPr>
      <w:r>
        <w:rPr>
          <w:rFonts w:ascii="Arial" w:cs="Arial" w:eastAsia="Arial" w:hAnsi="Arial"/>
          <w:sz w:val="20"/>
          <w:szCs w:val="20"/>
          <w:b w:val="1"/>
          <w:bCs w:val="1"/>
          <w:color w:val="auto"/>
        </w:rPr>
        <w:t>Section 7.11(b) – Consolidated Fixed Charge Ratio.</w:t>
      </w:r>
    </w:p>
    <w:p>
      <w:pPr>
        <w:spacing w:after="0" w:line="197" w:lineRule="exact"/>
        <w:rPr>
          <w:sz w:val="20"/>
          <w:szCs w:val="20"/>
          <w:color w:val="auto"/>
        </w:rPr>
      </w:pPr>
    </w:p>
    <w:tbl>
      <w:tblPr>
        <w:tblLayout w:type="fixed"/>
        <w:tblInd w:w="112"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(a)</w:t>
            </w:r>
          </w:p>
        </w:tc>
        <w:tc>
          <w:tcPr>
            <w:tcW w:w="6660" w:type="dxa"/>
            <w:vAlign w:val="bottom"/>
            <w:gridSpan w:val="3"/>
          </w:tcPr>
          <w:p>
            <w:pPr>
              <w:ind w:left="180"/>
              <w:spacing w:after="0"/>
              <w:rPr>
                <w:sz w:val="20"/>
                <w:szCs w:val="20"/>
                <w:color w:val="auto"/>
              </w:rPr>
            </w:pPr>
            <w:r>
              <w:rPr>
                <w:rFonts w:ascii="Arial" w:cs="Arial" w:eastAsia="Arial" w:hAnsi="Arial"/>
                <w:sz w:val="20"/>
                <w:szCs w:val="20"/>
                <w:color w:val="auto"/>
              </w:rPr>
              <w:t>Consolidated EBITDA (see Line (I)(b)(xiii)):</w:t>
            </w:r>
          </w:p>
        </w:tc>
        <w:tc>
          <w:tcPr>
            <w:tcW w:w="2360" w:type="dxa"/>
            <w:vAlign w:val="bottom"/>
          </w:tcPr>
          <w:p>
            <w:pPr>
              <w:jc w:val="right"/>
              <w:spacing w:after="0"/>
              <w:rPr>
                <w:sz w:val="20"/>
                <w:szCs w:val="20"/>
                <w:color w:val="auto"/>
              </w:rPr>
            </w:pPr>
            <w:r>
              <w:rPr>
                <w:rFonts w:ascii="Arial" w:cs="Arial" w:eastAsia="Arial" w:hAnsi="Arial"/>
                <w:sz w:val="20"/>
                <w:szCs w:val="20"/>
                <w:color w:val="auto"/>
              </w:rPr>
              <w:t>$_________</w:t>
            </w: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70"/>
        </w:trPr>
        <w:tc>
          <w:tcPr>
            <w:tcW w:w="400" w:type="dxa"/>
            <w:vAlign w:val="bottom"/>
          </w:tcPr>
          <w:p>
            <w:pPr>
              <w:spacing w:after="0"/>
              <w:rPr>
                <w:sz w:val="20"/>
                <w:szCs w:val="20"/>
                <w:color w:val="auto"/>
              </w:rPr>
            </w:pPr>
            <w:r>
              <w:rPr>
                <w:rFonts w:ascii="Arial" w:cs="Arial" w:eastAsia="Arial" w:hAnsi="Arial"/>
                <w:sz w:val="20"/>
                <w:szCs w:val="20"/>
                <w:color w:val="auto"/>
              </w:rPr>
              <w:t>(b)</w:t>
            </w:r>
          </w:p>
        </w:tc>
        <w:tc>
          <w:tcPr>
            <w:tcW w:w="6660" w:type="dxa"/>
            <w:vAlign w:val="bottom"/>
            <w:gridSpan w:val="3"/>
          </w:tcPr>
          <w:p>
            <w:pPr>
              <w:ind w:left="180"/>
              <w:spacing w:after="0"/>
              <w:rPr>
                <w:sz w:val="20"/>
                <w:szCs w:val="20"/>
                <w:color w:val="auto"/>
              </w:rPr>
            </w:pPr>
            <w:r>
              <w:rPr>
                <w:rFonts w:ascii="Arial" w:cs="Arial" w:eastAsia="Arial" w:hAnsi="Arial"/>
                <w:sz w:val="20"/>
                <w:szCs w:val="20"/>
                <w:color w:val="auto"/>
              </w:rPr>
              <w:t>Consolidated Maintenance Capital Expenditures for such period:</w:t>
            </w:r>
          </w:p>
        </w:tc>
        <w:tc>
          <w:tcPr>
            <w:tcW w:w="2360" w:type="dxa"/>
            <w:vAlign w:val="bottom"/>
          </w:tcPr>
          <w:p>
            <w:pPr>
              <w:jc w:val="right"/>
              <w:spacing w:after="0"/>
              <w:rPr>
                <w:sz w:val="20"/>
                <w:szCs w:val="20"/>
                <w:color w:val="auto"/>
              </w:rPr>
            </w:pPr>
            <w:r>
              <w:rPr>
                <w:rFonts w:ascii="Arial" w:cs="Arial" w:eastAsia="Arial" w:hAnsi="Arial"/>
                <w:sz w:val="20"/>
                <w:szCs w:val="20"/>
                <w:color w:val="auto"/>
              </w:rPr>
              <w:t>$_________</w:t>
            </w:r>
          </w:p>
        </w:tc>
      </w:tr>
    </w:tbl>
    <w:p>
      <w:pPr>
        <w:spacing w:after="0" w:line="195" w:lineRule="exact"/>
        <w:rPr>
          <w:sz w:val="20"/>
          <w:szCs w:val="20"/>
          <w:color w:val="auto"/>
        </w:rPr>
      </w:pPr>
    </w:p>
    <w:p>
      <w:pPr>
        <w:ind w:left="692" w:hanging="587"/>
        <w:spacing w:after="0"/>
        <w:tabs>
          <w:tab w:leader="none" w:pos="69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Consolidated Interest Charges paid in cash</w:t>
      </w:r>
    </w:p>
    <w:p>
      <w:pPr>
        <w:spacing w:after="0" w:line="216" w:lineRule="exact"/>
        <w:rPr>
          <w:sz w:val="20"/>
          <w:szCs w:val="20"/>
          <w:color w:val="auto"/>
        </w:rPr>
      </w:pPr>
    </w:p>
    <w:p>
      <w:pPr>
        <w:ind w:left="1392" w:right="2080"/>
        <w:spacing w:after="0" w:line="260" w:lineRule="auto"/>
        <w:rPr>
          <w:sz w:val="20"/>
          <w:szCs w:val="20"/>
          <w:color w:val="auto"/>
        </w:rPr>
      </w:pPr>
      <w:r>
        <w:rPr>
          <w:rFonts w:ascii="Arial" w:cs="Arial" w:eastAsia="Arial" w:hAnsi="Arial"/>
          <w:sz w:val="20"/>
          <w:szCs w:val="20"/>
          <w:color w:val="auto"/>
        </w:rPr>
        <w:t>in each case, for the Borrower and its Subsidiaries on a Consolidated basis, to the extent paid in cash for the Measurement Period:</w:t>
      </w:r>
    </w:p>
    <w:p>
      <w:pPr>
        <w:spacing w:after="0" w:line="177" w:lineRule="exact"/>
        <w:rPr>
          <w:sz w:val="20"/>
          <w:szCs w:val="20"/>
          <w:color w:val="auto"/>
        </w:rPr>
      </w:pPr>
    </w:p>
    <w:p>
      <w:pPr>
        <w:ind w:left="1392" w:right="1660" w:hanging="707"/>
        <w:spacing w:after="0" w:line="274" w:lineRule="auto"/>
        <w:tabs>
          <w:tab w:leader="none" w:pos="139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all interest, premium payments, debt discount, fees, charges and related expenses in connection with borrowed money (including capitalized interest) or in connection with the deferred purchase price of assets, in each case with respect to such period to the</w:t>
      </w:r>
    </w:p>
    <w:p>
      <w:pPr>
        <w:sectPr>
          <w:pgSz w:w="11900" w:h="16838" w:orient="portrait"/>
          <w:cols w:equalWidth="0" w:num="1">
            <w:col w:w="9912"/>
          </w:cols>
          <w:pgMar w:left="988" w:top="900" w:right="999" w:bottom="1440" w:gutter="0" w:footer="0" w:header="0"/>
        </w:sectPr>
      </w:pPr>
    </w:p>
    <w:p>
      <w:pPr>
        <w:ind w:left="1392"/>
        <w:spacing w:after="0"/>
        <w:rPr>
          <w:sz w:val="20"/>
          <w:szCs w:val="20"/>
          <w:color w:val="auto"/>
        </w:rPr>
      </w:pPr>
      <w:r>
        <w:rPr>
          <w:rFonts w:ascii="Arial" w:cs="Arial" w:eastAsia="Arial" w:hAnsi="Arial"/>
          <w:sz w:val="16"/>
          <w:szCs w:val="16"/>
          <w:color w:val="auto"/>
        </w:rPr>
        <w:t>extent treated as interest in accordance with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7832" w:space="720"/>
            <w:col w:w="1360"/>
          </w:cols>
          <w:pgMar w:left="988" w:top="900" w:right="999" w:bottom="1440" w:gutter="0" w:footer="0" w:header="0"/>
          <w:type w:val="continuous"/>
        </w:sectPr>
      </w:pPr>
    </w:p>
    <w:p>
      <w:pPr>
        <w:spacing w:after="0" w:line="41" w:lineRule="exact"/>
        <w:rPr>
          <w:sz w:val="20"/>
          <w:szCs w:val="20"/>
          <w:color w:val="auto"/>
        </w:rPr>
      </w:pPr>
    </w:p>
    <w:p>
      <w:pPr>
        <w:ind w:left="692"/>
        <w:spacing w:after="0"/>
        <w:tabs>
          <w:tab w:leader="none" w:pos="1371"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all interest paid or payable with respect to discontinued operations for such period: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7932" w:space="620"/>
            <w:col w:w="1360"/>
          </w:cols>
          <w:pgMar w:left="988" w:top="900" w:right="999" w:bottom="1440" w:gutter="0" w:footer="0" w:header="0"/>
          <w:type w:val="continuous"/>
        </w:sectPr>
      </w:pPr>
    </w:p>
    <w:p>
      <w:pPr>
        <w:spacing w:after="0" w:line="62" w:lineRule="exact"/>
        <w:rPr>
          <w:sz w:val="20"/>
          <w:szCs w:val="20"/>
          <w:color w:val="auto"/>
        </w:rPr>
      </w:pPr>
    </w:p>
    <w:p>
      <w:pPr>
        <w:ind w:left="1392" w:hanging="707"/>
        <w:spacing w:after="0"/>
        <w:tabs>
          <w:tab w:leader="none" w:pos="1392"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portion of rent expense under Capitalized Leases that is treated as interest in</w:t>
      </w:r>
    </w:p>
    <w:p>
      <w:pPr>
        <w:spacing w:after="0" w:line="16" w:lineRule="exact"/>
        <w:rPr>
          <w:sz w:val="20"/>
          <w:szCs w:val="20"/>
          <w:color w:val="auto"/>
        </w:rPr>
      </w:pPr>
    </w:p>
    <w:tbl>
      <w:tblPr>
        <w:tblLayout w:type="fixed"/>
        <w:tblInd w:w="112"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160" w:type="dxa"/>
            <w:vAlign w:val="bottom"/>
            <w:gridSpan w:val="15"/>
          </w:tcPr>
          <w:p>
            <w:pPr>
              <w:ind w:left="220"/>
              <w:spacing w:after="0"/>
              <w:rPr>
                <w:sz w:val="20"/>
                <w:szCs w:val="20"/>
                <w:color w:val="auto"/>
              </w:rPr>
            </w:pPr>
            <w:r>
              <w:rPr>
                <w:rFonts w:ascii="Arial" w:cs="Arial" w:eastAsia="Arial" w:hAnsi="Arial"/>
                <w:sz w:val="20"/>
                <w:szCs w:val="20"/>
                <w:color w:val="auto"/>
              </w:rPr>
              <w:t>accordance with GAAP for such period:</w:t>
            </w:r>
          </w:p>
        </w:tc>
        <w:tc>
          <w:tcPr>
            <w:tcW w:w="1300" w:type="dxa"/>
            <w:vAlign w:val="bottom"/>
          </w:tcPr>
          <w:p>
            <w:pPr>
              <w:ind w:left="220"/>
              <w:spacing w:after="0"/>
              <w:rPr>
                <w:sz w:val="20"/>
                <w:szCs w:val="20"/>
                <w:color w:val="auto"/>
              </w:rPr>
            </w:pPr>
            <w:r>
              <w:rPr>
                <w:rFonts w:ascii="Arial" w:cs="Arial" w:eastAsia="Arial" w:hAnsi="Arial"/>
                <w:sz w:val="20"/>
                <w:szCs w:val="20"/>
                <w:color w:val="auto"/>
                <w:w w:val="95"/>
              </w:rPr>
              <w:t>$_________</w:t>
            </w:r>
          </w:p>
        </w:tc>
      </w:tr>
      <w:tr>
        <w:trPr>
          <w:trHeight w:val="38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0"/>
                <w:szCs w:val="20"/>
                <w:color w:val="auto"/>
              </w:rPr>
              <w:t>(iv)</w:t>
            </w:r>
          </w:p>
        </w:tc>
        <w:tc>
          <w:tcPr>
            <w:tcW w:w="7160" w:type="dxa"/>
            <w:vAlign w:val="bottom"/>
            <w:gridSpan w:val="15"/>
          </w:tcPr>
          <w:p>
            <w:pPr>
              <w:ind w:left="220"/>
              <w:spacing w:after="0"/>
              <w:rPr>
                <w:sz w:val="20"/>
                <w:szCs w:val="20"/>
                <w:color w:val="auto"/>
              </w:rPr>
            </w:pPr>
            <w:r>
              <w:rPr>
                <w:rFonts w:ascii="Arial" w:cs="Arial" w:eastAsia="Arial" w:hAnsi="Arial"/>
                <w:sz w:val="20"/>
                <w:szCs w:val="20"/>
                <w:color w:val="auto"/>
              </w:rPr>
              <w:t>Consolidated Interest Charges paid in cash [Lines (II)(c)(i) + (ii) + (iii)]:</w:t>
            </w:r>
          </w:p>
        </w:tc>
        <w:tc>
          <w:tcPr>
            <w:tcW w:w="1300" w:type="dxa"/>
            <w:vAlign w:val="bottom"/>
          </w:tcPr>
          <w:p>
            <w:pPr>
              <w:ind w:left="220"/>
              <w:spacing w:after="0"/>
              <w:rPr>
                <w:sz w:val="20"/>
                <w:szCs w:val="20"/>
                <w:color w:val="auto"/>
              </w:rPr>
            </w:pPr>
            <w:r>
              <w:rPr>
                <w:rFonts w:ascii="Arial" w:cs="Arial" w:eastAsia="Arial" w:hAnsi="Arial"/>
                <w:sz w:val="20"/>
                <w:szCs w:val="20"/>
                <w:color w:val="auto"/>
                <w:w w:val="95"/>
              </w:rPr>
              <w:t>$_________</w:t>
            </w:r>
          </w:p>
        </w:tc>
      </w:tr>
      <w:tr>
        <w:trPr>
          <w:trHeight w:val="20"/>
        </w:trPr>
        <w:tc>
          <w:tcPr>
            <w:tcW w:w="4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0"/>
        </w:trPr>
        <w:tc>
          <w:tcPr>
            <w:tcW w:w="400" w:type="dxa"/>
            <w:vAlign w:val="bottom"/>
          </w:tcPr>
          <w:p>
            <w:pPr>
              <w:spacing w:after="0"/>
              <w:rPr>
                <w:sz w:val="20"/>
                <w:szCs w:val="20"/>
                <w:color w:val="auto"/>
              </w:rPr>
            </w:pPr>
            <w:r>
              <w:rPr>
                <w:rFonts w:ascii="Arial" w:cs="Arial" w:eastAsia="Arial" w:hAnsi="Arial"/>
                <w:sz w:val="20"/>
                <w:szCs w:val="20"/>
                <w:color w:val="auto"/>
              </w:rPr>
              <w:t>(d)</w:t>
            </w:r>
          </w:p>
        </w:tc>
        <w:tc>
          <w:tcPr>
            <w:tcW w:w="7820" w:type="dxa"/>
            <w:vAlign w:val="bottom"/>
            <w:gridSpan w:val="16"/>
          </w:tcPr>
          <w:p>
            <w:pPr>
              <w:ind w:left="180"/>
              <w:spacing w:after="0"/>
              <w:rPr>
                <w:sz w:val="20"/>
                <w:szCs w:val="20"/>
                <w:color w:val="auto"/>
              </w:rPr>
            </w:pPr>
            <w:r>
              <w:rPr>
                <w:rFonts w:ascii="Arial" w:cs="Arial" w:eastAsia="Arial" w:hAnsi="Arial"/>
                <w:sz w:val="20"/>
                <w:szCs w:val="20"/>
                <w:color w:val="auto"/>
              </w:rPr>
              <w:t>Consolidated Scheduled Funded Debt Payments for such period:</w:t>
            </w:r>
          </w:p>
        </w:tc>
        <w:tc>
          <w:tcPr>
            <w:tcW w:w="1300" w:type="dxa"/>
            <w:vAlign w:val="bottom"/>
          </w:tcPr>
          <w:p>
            <w:pPr>
              <w:ind w:left="220"/>
              <w:spacing w:after="0"/>
              <w:rPr>
                <w:sz w:val="20"/>
                <w:szCs w:val="20"/>
                <w:color w:val="auto"/>
              </w:rPr>
            </w:pPr>
            <w:r>
              <w:rPr>
                <w:rFonts w:ascii="Arial" w:cs="Arial" w:eastAsia="Arial" w:hAnsi="Arial"/>
                <w:sz w:val="20"/>
                <w:szCs w:val="20"/>
                <w:color w:val="auto"/>
                <w:w w:val="95"/>
              </w:rPr>
              <w:t>$_________</w:t>
            </w:r>
          </w:p>
        </w:tc>
      </w:tr>
      <w:tr>
        <w:trPr>
          <w:trHeight w:val="445"/>
        </w:trPr>
        <w:tc>
          <w:tcPr>
            <w:tcW w:w="400" w:type="dxa"/>
            <w:vAlign w:val="bottom"/>
          </w:tcPr>
          <w:p>
            <w:pPr>
              <w:spacing w:after="0"/>
              <w:rPr>
                <w:sz w:val="20"/>
                <w:szCs w:val="20"/>
                <w:color w:val="auto"/>
              </w:rPr>
            </w:pPr>
            <w:r>
              <w:rPr>
                <w:rFonts w:ascii="Arial" w:cs="Arial" w:eastAsia="Arial" w:hAnsi="Arial"/>
                <w:sz w:val="20"/>
                <w:szCs w:val="20"/>
                <w:color w:val="auto"/>
              </w:rPr>
              <w:t>(e)</w:t>
            </w:r>
          </w:p>
        </w:tc>
        <w:tc>
          <w:tcPr>
            <w:tcW w:w="7820" w:type="dxa"/>
            <w:vAlign w:val="bottom"/>
            <w:gridSpan w:val="16"/>
          </w:tcPr>
          <w:p>
            <w:pPr>
              <w:ind w:left="180"/>
              <w:spacing w:after="0"/>
              <w:rPr>
                <w:sz w:val="20"/>
                <w:szCs w:val="20"/>
                <w:color w:val="auto"/>
              </w:rPr>
            </w:pPr>
            <w:r>
              <w:rPr>
                <w:rFonts w:ascii="Arial" w:cs="Arial" w:eastAsia="Arial" w:hAnsi="Arial"/>
                <w:sz w:val="20"/>
                <w:szCs w:val="20"/>
                <w:color w:val="auto"/>
              </w:rPr>
              <w:t>Consolidated Cash Taxes for such period:</w:t>
            </w:r>
          </w:p>
        </w:tc>
        <w:tc>
          <w:tcPr>
            <w:tcW w:w="1300" w:type="dxa"/>
            <w:vAlign w:val="bottom"/>
          </w:tcPr>
          <w:p>
            <w:pPr>
              <w:ind w:left="220"/>
              <w:spacing w:after="0"/>
              <w:rPr>
                <w:sz w:val="20"/>
                <w:szCs w:val="20"/>
                <w:color w:val="auto"/>
              </w:rPr>
            </w:pPr>
            <w:r>
              <w:rPr>
                <w:rFonts w:ascii="Arial" w:cs="Arial" w:eastAsia="Arial" w:hAnsi="Arial"/>
                <w:sz w:val="20"/>
                <w:szCs w:val="20"/>
                <w:color w:val="auto"/>
                <w:w w:val="95"/>
              </w:rPr>
              <w:t>$_________</w:t>
            </w:r>
          </w:p>
        </w:tc>
      </w:tr>
      <w:tr>
        <w:trPr>
          <w:trHeight w:val="445"/>
        </w:trPr>
        <w:tc>
          <w:tcPr>
            <w:tcW w:w="400" w:type="dxa"/>
            <w:vAlign w:val="bottom"/>
          </w:tcPr>
          <w:p>
            <w:pPr>
              <w:spacing w:after="0"/>
              <w:rPr>
                <w:sz w:val="20"/>
                <w:szCs w:val="20"/>
                <w:color w:val="auto"/>
              </w:rPr>
            </w:pPr>
            <w:r>
              <w:rPr>
                <w:rFonts w:ascii="Arial" w:cs="Arial" w:eastAsia="Arial" w:hAnsi="Arial"/>
                <w:sz w:val="20"/>
                <w:szCs w:val="20"/>
                <w:color w:val="auto"/>
              </w:rPr>
              <w:t>(f)</w:t>
            </w:r>
          </w:p>
        </w:tc>
        <w:tc>
          <w:tcPr>
            <w:tcW w:w="7820" w:type="dxa"/>
            <w:vAlign w:val="bottom"/>
            <w:gridSpan w:val="16"/>
          </w:tcPr>
          <w:p>
            <w:pPr>
              <w:ind w:left="180"/>
              <w:spacing w:after="0"/>
              <w:rPr>
                <w:sz w:val="20"/>
                <w:szCs w:val="20"/>
                <w:color w:val="auto"/>
              </w:rPr>
            </w:pPr>
            <w:r>
              <w:rPr>
                <w:rFonts w:ascii="Arial" w:cs="Arial" w:eastAsia="Arial" w:hAnsi="Arial"/>
                <w:sz w:val="20"/>
                <w:szCs w:val="20"/>
                <w:color w:val="auto"/>
              </w:rPr>
              <w:t>Aggregate amount of all Designated Restricted Payments made in such period:</w:t>
            </w:r>
          </w:p>
        </w:tc>
        <w:tc>
          <w:tcPr>
            <w:tcW w:w="1300" w:type="dxa"/>
            <w:vAlign w:val="bottom"/>
          </w:tcPr>
          <w:p>
            <w:pPr>
              <w:ind w:left="220"/>
              <w:spacing w:after="0"/>
              <w:rPr>
                <w:sz w:val="20"/>
                <w:szCs w:val="20"/>
                <w:color w:val="auto"/>
              </w:rPr>
            </w:pPr>
            <w:r>
              <w:rPr>
                <w:rFonts w:ascii="Arial" w:cs="Arial" w:eastAsia="Arial" w:hAnsi="Arial"/>
                <w:sz w:val="20"/>
                <w:szCs w:val="20"/>
                <w:color w:val="auto"/>
                <w:w w:val="95"/>
              </w:rPr>
              <w:t>$_________</w:t>
            </w:r>
          </w:p>
        </w:tc>
      </w:tr>
      <w:tr>
        <w:trPr>
          <w:trHeight w:val="401"/>
        </w:trPr>
        <w:tc>
          <w:tcPr>
            <w:tcW w:w="400" w:type="dxa"/>
            <w:vAlign w:val="bottom"/>
          </w:tcPr>
          <w:p>
            <w:pPr>
              <w:spacing w:after="0"/>
              <w:rPr>
                <w:sz w:val="20"/>
                <w:szCs w:val="20"/>
                <w:color w:val="auto"/>
              </w:rPr>
            </w:pPr>
            <w:r>
              <w:rPr>
                <w:rFonts w:ascii="Arial" w:cs="Arial" w:eastAsia="Arial" w:hAnsi="Arial"/>
                <w:sz w:val="20"/>
                <w:szCs w:val="20"/>
                <w:color w:val="auto"/>
              </w:rPr>
              <w:t>(g)</w:t>
            </w:r>
          </w:p>
        </w:tc>
        <w:tc>
          <w:tcPr>
            <w:tcW w:w="7820" w:type="dxa"/>
            <w:vAlign w:val="bottom"/>
            <w:gridSpan w:val="16"/>
          </w:tcPr>
          <w:p>
            <w:pPr>
              <w:ind w:left="180"/>
              <w:spacing w:after="0"/>
              <w:rPr>
                <w:sz w:val="20"/>
                <w:szCs w:val="20"/>
                <w:color w:val="auto"/>
              </w:rPr>
            </w:pPr>
            <w:r>
              <w:rPr>
                <w:rFonts w:ascii="Arial" w:cs="Arial" w:eastAsia="Arial" w:hAnsi="Arial"/>
                <w:sz w:val="20"/>
                <w:szCs w:val="20"/>
                <w:color w:val="auto"/>
                <w:w w:val="95"/>
              </w:rPr>
              <w:t>Consolidated Fixed Charge Ratio [(Lines (II)(a) – (b)) ÷ (Lines (II)(c)(iv) + (d) + (e) + (f))]:</w:t>
            </w:r>
            <w:r>
              <w:rPr>
                <w:rFonts w:ascii="Arial" w:cs="Arial" w:eastAsia="Arial" w:hAnsi="Arial"/>
                <w:sz w:val="29"/>
                <w:szCs w:val="29"/>
                <w:color w:val="auto"/>
                <w:w w:val="95"/>
                <w:vertAlign w:val="superscript"/>
              </w:rPr>
              <w:t>14</w:t>
            </w:r>
          </w:p>
        </w:tc>
        <w:tc>
          <w:tcPr>
            <w:tcW w:w="1300" w:type="dxa"/>
            <w:vAlign w:val="bottom"/>
          </w:tcPr>
          <w:p>
            <w:pPr>
              <w:ind w:left="220"/>
              <w:spacing w:after="0"/>
              <w:rPr>
                <w:sz w:val="20"/>
                <w:szCs w:val="20"/>
                <w:color w:val="auto"/>
              </w:rPr>
            </w:pPr>
            <w:r>
              <w:rPr>
                <w:rFonts w:ascii="Arial" w:cs="Arial" w:eastAsia="Arial" w:hAnsi="Arial"/>
                <w:sz w:val="20"/>
                <w:szCs w:val="20"/>
                <w:color w:val="auto"/>
                <w:w w:val="86"/>
              </w:rPr>
              <w:t>_____ to 1.00</w:t>
            </w:r>
          </w:p>
        </w:tc>
      </w:tr>
      <w:tr>
        <w:trPr>
          <w:trHeight w:val="20"/>
        </w:trPr>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15684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32" w:right="220" w:hanging="332"/>
        <w:spacing w:after="0" w:line="237" w:lineRule="auto"/>
        <w:tabs>
          <w:tab w:leader="none" w:pos="332" w:val="left"/>
        </w:tabs>
        <w:numPr>
          <w:ilvl w:val="0"/>
          <w:numId w:val="398"/>
        </w:numPr>
        <w:rPr>
          <w:rFonts w:ascii="Arial" w:cs="Arial" w:eastAsia="Arial" w:hAnsi="Arial"/>
          <w:sz w:val="26"/>
          <w:szCs w:val="26"/>
          <w:color w:val="auto"/>
          <w:vertAlign w:val="superscript"/>
        </w:rPr>
      </w:pPr>
      <w:r>
        <w:rPr>
          <w:rFonts w:ascii="Arial" w:cs="Arial" w:eastAsia="Arial" w:hAnsi="Arial"/>
          <w:sz w:val="18"/>
          <w:szCs w:val="18"/>
          <w:color w:val="auto"/>
        </w:rPr>
        <w:t>for purposes of calculating the Consolidated Fixed Charge Coverage Ratio: (A) Consolidated Interest Charges shall be calculated as if the Term A Loans had been made on February 1, 2021 (utilizing for any day prior to the Closing Date the interest rate which is in effect on the last day of the fiscal quarter of the Borrower ending April 30, 2021); (B)</w:t>
      </w:r>
    </w:p>
    <w:p>
      <w:pPr>
        <w:ind w:left="332"/>
        <w:spacing w:after="0" w:line="299" w:lineRule="auto"/>
        <w:rPr>
          <w:rFonts w:ascii="Arial" w:cs="Arial" w:eastAsia="Arial" w:hAnsi="Arial"/>
          <w:sz w:val="26"/>
          <w:szCs w:val="26"/>
          <w:color w:val="auto"/>
          <w:vertAlign w:val="superscript"/>
        </w:rPr>
      </w:pPr>
      <w:r>
        <w:rPr>
          <w:rFonts w:ascii="Arial" w:cs="Arial" w:eastAsia="Arial" w:hAnsi="Arial"/>
          <w:sz w:val="16"/>
          <w:szCs w:val="16"/>
          <w:color w:val="auto"/>
        </w:rPr>
        <w:t xml:space="preserve">Consolidated Scheduled Funded Debt Payments shall be calculated as if a quarterly amortization payment on the Term A Facility in the principal amount of $2,500,000 was due on April 30, 2021; (C)(1) Consolidated Interest Charges with respect to the Obligations for the period ended April 30, 2021 shall be the actual Consolidated Interest Charges with respect to the Obligations for the period of one (1) fiscal quarter then ended (subject to adjustment as provided in </w:t>
      </w:r>
      <w:r>
        <w:rPr>
          <w:rFonts w:ascii="Arial" w:cs="Arial" w:eastAsia="Arial" w:hAnsi="Arial"/>
          <w:sz w:val="16"/>
          <w:szCs w:val="16"/>
          <w:u w:val="single" w:color="auto"/>
          <w:color w:val="auto"/>
        </w:rPr>
        <w:t>clauses</w:t>
      </w:r>
    </w:p>
    <w:p>
      <w:pPr>
        <w:spacing w:after="0" w:line="1" w:lineRule="exact"/>
        <w:rPr>
          <w:rFonts w:ascii="Arial" w:cs="Arial" w:eastAsia="Arial" w:hAnsi="Arial"/>
          <w:sz w:val="26"/>
          <w:szCs w:val="26"/>
          <w:color w:val="auto"/>
          <w:vertAlign w:val="superscript"/>
        </w:rPr>
      </w:pPr>
    </w:p>
    <w:p>
      <w:pPr>
        <w:ind w:left="332" w:right="80" w:hanging="8"/>
        <w:spacing w:after="0" w:line="299" w:lineRule="auto"/>
        <w:tabs>
          <w:tab w:leader="none" w:pos="656" w:val="left"/>
        </w:tabs>
        <w:numPr>
          <w:ilvl w:val="1"/>
          <w:numId w:val="398"/>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four (4), and (2) Consolidated Scheduled Funded Debt Payments with respect to the Obligations for the period ended April 30, 2021 shall be the actual Consolidated Scheduled Funded Debt Payments with respect to the Obligations for the period of one (1) fiscal quarter then ended (subject to adjustment as provided in </w:t>
      </w:r>
      <w:r>
        <w:rPr>
          <w:rFonts w:ascii="Arial" w:cs="Arial" w:eastAsia="Arial" w:hAnsi="Arial"/>
          <w:sz w:val="16"/>
          <w:szCs w:val="16"/>
          <w:u w:val="single" w:color="auto"/>
          <w:color w:val="auto"/>
        </w:rPr>
        <w:t>clause</w:t>
      </w:r>
    </w:p>
    <w:p>
      <w:pPr>
        <w:jc w:val="both"/>
        <w:ind w:left="332" w:right="280" w:hanging="8"/>
        <w:spacing w:after="0" w:line="299" w:lineRule="auto"/>
        <w:tabs>
          <w:tab w:leader="none" w:pos="645" w:val="left"/>
        </w:tabs>
        <w:numPr>
          <w:ilvl w:val="1"/>
          <w:numId w:val="398"/>
        </w:numPr>
        <w:rPr>
          <w:rFonts w:ascii="Arial" w:cs="Arial" w:eastAsia="Arial" w:hAnsi="Arial"/>
          <w:sz w:val="16"/>
          <w:szCs w:val="16"/>
          <w:u w:val="single" w:color="auto"/>
          <w:color w:val="auto"/>
        </w:rPr>
      </w:pPr>
      <w:r>
        <w:rPr>
          <w:rFonts w:ascii="Arial" w:cs="Arial" w:eastAsia="Arial" w:hAnsi="Arial"/>
          <w:sz w:val="16"/>
          <w:szCs w:val="16"/>
          <w:color w:val="auto"/>
        </w:rPr>
        <w:t xml:space="preserve">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four (4); (D)(1) Consolidated Interest Charges with respect to the Obligations for the period ended July 31, 2021 shall be the actual Consolidated Interest Charges with respect to the Obligations for the period of two (2) fiscal quarters then ended (subject to adjustment as provided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two</w:t>
      </w:r>
    </w:p>
    <w:p>
      <w:pPr>
        <w:jc w:val="both"/>
        <w:ind w:left="332" w:right="20"/>
        <w:spacing w:after="0" w:line="299" w:lineRule="auto"/>
        <w:rPr>
          <w:rFonts w:ascii="Arial" w:cs="Arial" w:eastAsia="Arial" w:hAnsi="Arial"/>
          <w:sz w:val="16"/>
          <w:szCs w:val="16"/>
          <w:u w:val="single" w:color="auto"/>
          <w:color w:val="auto"/>
        </w:rPr>
      </w:pPr>
      <w:r>
        <w:rPr>
          <w:rFonts w:ascii="Arial" w:cs="Arial" w:eastAsia="Arial" w:hAnsi="Arial"/>
          <w:sz w:val="16"/>
          <w:szCs w:val="16"/>
          <w:color w:val="auto"/>
        </w:rPr>
        <w:t xml:space="preserve">(2), and (2) Consolidated Scheduled Funded Debt Payments with respect to the Obligations for the period ended July 31, 2021 shall be the actual Consolidated Scheduled Funded Debt Payments with respect to the Obligations for the period of two (2) fiscal quarters then ended (subject to adjustment as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two (2); (E)(1)</w:t>
      </w:r>
    </w:p>
    <w:p>
      <w:pPr>
        <w:ind w:left="332" w:right="180"/>
        <w:spacing w:after="0" w:line="297" w:lineRule="auto"/>
        <w:rPr>
          <w:rFonts w:ascii="Arial" w:cs="Arial" w:eastAsia="Arial" w:hAnsi="Arial"/>
          <w:sz w:val="16"/>
          <w:szCs w:val="16"/>
          <w:u w:val="single" w:color="auto"/>
          <w:color w:val="auto"/>
        </w:rPr>
      </w:pPr>
      <w:r>
        <w:rPr>
          <w:rFonts w:ascii="Arial" w:cs="Arial" w:eastAsia="Arial" w:hAnsi="Arial"/>
          <w:sz w:val="18"/>
          <w:szCs w:val="18"/>
          <w:color w:val="auto"/>
        </w:rPr>
        <w:t>Consolidated Interest Charges with respect to the Obligations for the period ended October 31, 2021 shall be the actual Consolidated Interest Charges with respect to the Obligations for the period of three (3) fiscal quarters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875665</wp:posOffset>
            </wp:positionV>
            <wp:extent cx="629221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900" w:right="999" w:bottom="1440" w:gutter="0" w:footer="0" w:header="0"/>
          <w:type w:val="continuous"/>
        </w:sectPr>
      </w:pPr>
    </w:p>
    <w:bookmarkStart w:id="370" w:name="page371"/>
    <w:bookmarkEnd w:id="370"/>
    <w:p>
      <w:pPr>
        <w:spacing w:after="0"/>
        <w:tabs>
          <w:tab w:leader="none" w:pos="5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Minimum Consolidated Fixed Charge Leverage Ratio: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1.25 to 1.00</w:t>
      </w:r>
    </w:p>
    <w:p>
      <w:pPr>
        <w:spacing w:after="0" w:line="222" w:lineRule="exact"/>
        <w:rPr>
          <w:sz w:val="20"/>
          <w:szCs w:val="20"/>
          <w:color w:val="auto"/>
        </w:rPr>
      </w:pPr>
    </w:p>
    <w:p>
      <w:pPr>
        <w:sectPr>
          <w:pgSz w:w="11900" w:h="16838" w:orient="portrait"/>
          <w:cols w:equalWidth="0" w:num="2">
            <w:col w:w="7720" w:space="720"/>
            <w:col w:w="1320"/>
          </w:cols>
          <w:pgMar w:left="1100" w:top="906" w:right="1039" w:bottom="1440" w:gutter="0" w:footer="0" w:header="0"/>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239395</wp:posOffset>
            </wp:positionV>
            <wp:extent cx="15684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[Yes][No]</w:t>
      </w:r>
    </w:p>
    <w:p>
      <w:pPr>
        <w:spacing w:after="0" w:line="200" w:lineRule="exact"/>
        <w:rPr>
          <w:sz w:val="20"/>
          <w:szCs w:val="20"/>
          <w:color w:val="auto"/>
        </w:rPr>
      </w:pPr>
    </w:p>
    <w:p>
      <w:pPr>
        <w:sectPr>
          <w:pgSz w:w="11900" w:h="16838" w:orient="portrait"/>
          <w:cols w:equalWidth="0" w:num="2">
            <w:col w:w="7720" w:space="720"/>
            <w:col w:w="1320"/>
          </w:cols>
          <w:pgMar w:left="1100" w:top="906" w:right="1039" w:bottom="1440" w:gutter="0" w:footer="0" w:header="0"/>
          <w:type w:val="continuous"/>
        </w:sectPr>
      </w:pPr>
    </w:p>
    <w:p>
      <w:pPr>
        <w:spacing w:after="0" w:line="268" w:lineRule="exact"/>
        <w:rPr>
          <w:sz w:val="20"/>
          <w:szCs w:val="20"/>
          <w:color w:val="auto"/>
        </w:rPr>
      </w:pPr>
    </w:p>
    <w:p>
      <w:pPr>
        <w:ind w:left="220"/>
        <w:spacing w:after="0" w:line="306" w:lineRule="auto"/>
        <w:rPr>
          <w:sz w:val="20"/>
          <w:szCs w:val="20"/>
          <w:color w:val="auto"/>
        </w:rPr>
      </w:pPr>
      <w:r>
        <w:rPr>
          <w:rFonts w:ascii="Arial" w:cs="Arial" w:eastAsia="Arial" w:hAnsi="Arial"/>
          <w:sz w:val="16"/>
          <w:szCs w:val="16"/>
          <w:color w:val="auto"/>
        </w:rPr>
        <w:t xml:space="preserve">ended (subject to adjustment as provided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four-thirds (4/3), and (2) Consolidated Scheduled Funded Debt Payments with respect to the Obligations for the period ended October 31, 2021 shall be the actual Consolidated Scheduled Funded Debt Payments with respect to the Obligations for the period of three</w:t>
      </w:r>
    </w:p>
    <w:p>
      <w:pPr>
        <w:spacing w:after="0" w:line="1" w:lineRule="exact"/>
        <w:rPr>
          <w:sz w:val="20"/>
          <w:szCs w:val="20"/>
          <w:color w:val="auto"/>
        </w:rPr>
      </w:pPr>
    </w:p>
    <w:p>
      <w:pPr>
        <w:ind w:left="220" w:hanging="8"/>
        <w:spacing w:after="0" w:line="254" w:lineRule="auto"/>
        <w:tabs>
          <w:tab w:leader="none" w:pos="50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 xml:space="preserve">fiscal quarters then ended (subject to adjustment as provided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four-thirds (4/3); and (F)(1) Consolidated Interest Charges with respect to the Obligations for the period ended January 31, 2022 shall be the actual Consolidated Interest Charges with respect to the Obligations for the period of four (4) fiscal quarters then ended (subject to adjustment as provided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(2) Consolidated Scheduled Funded Debt Payments with respect to the Obligations for the period ended January 31, 2022 shall be the actual Consolidated Scheduled Funded Debt Payments with respect to the Obligations for the period of four (4) fiscal quarters then ended (subject to adjustment as provided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1038860</wp:posOffset>
            </wp:positionV>
            <wp:extent cx="629221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00" w:top="906" w:right="1039" w:bottom="1440" w:gutter="0" w:footer="0" w:header="0"/>
          <w:type w:val="continuous"/>
        </w:sectPr>
      </w:pPr>
    </w:p>
    <w:bookmarkStart w:id="371" w:name="page372"/>
    <w:bookmarkEnd w:id="371"/>
    <w:p>
      <w:pPr>
        <w:ind w:left="627" w:hanging="627"/>
        <w:spacing w:after="0"/>
        <w:tabs>
          <w:tab w:leader="none" w:pos="627" w:val="left"/>
        </w:tabs>
        <w:numPr>
          <w:ilvl w:val="0"/>
          <w:numId w:val="400"/>
        </w:numPr>
        <w:rPr>
          <w:rFonts w:ascii="Arial" w:cs="Arial" w:eastAsia="Arial" w:hAnsi="Arial"/>
          <w:sz w:val="20"/>
          <w:szCs w:val="20"/>
          <w:b w:val="1"/>
          <w:bCs w:val="1"/>
          <w:color w:val="auto"/>
        </w:rPr>
      </w:pPr>
      <w:r>
        <w:rPr>
          <w:rFonts w:ascii="Arial" w:cs="Arial" w:eastAsia="Arial" w:hAnsi="Arial"/>
          <w:sz w:val="20"/>
          <w:szCs w:val="20"/>
          <w:b w:val="1"/>
          <w:bCs w:val="1"/>
          <w:color w:val="auto"/>
        </w:rPr>
        <w:t>Available Amount.</w:t>
      </w:r>
    </w:p>
    <w:p>
      <w:pPr>
        <w:spacing w:after="0" w:line="222" w:lineRule="exact"/>
        <w:rPr>
          <w:sz w:val="20"/>
          <w:szCs w:val="20"/>
          <w:color w:val="auto"/>
        </w:rPr>
      </w:pPr>
    </w:p>
    <w:p>
      <w:pPr>
        <w:ind w:left="627" w:hanging="627"/>
        <w:spacing w:after="0"/>
        <w:tabs>
          <w:tab w:leader="none" w:pos="627" w:val="left"/>
        </w:tabs>
        <w:numPr>
          <w:ilvl w:val="0"/>
          <w:numId w:val="401"/>
        </w:numPr>
        <w:rPr>
          <w:rFonts w:ascii="Arial" w:cs="Arial" w:eastAsia="Arial" w:hAnsi="Arial"/>
          <w:sz w:val="20"/>
          <w:szCs w:val="20"/>
          <w:color w:val="auto"/>
        </w:rPr>
      </w:pPr>
      <w:r>
        <w:rPr>
          <w:rFonts w:ascii="Arial" w:cs="Arial" w:eastAsia="Arial" w:hAnsi="Arial"/>
          <w:sz w:val="20"/>
          <w:szCs w:val="20"/>
          <w:color w:val="auto"/>
        </w:rPr>
        <w:t>the sum of, without duplication,</w:t>
      </w:r>
    </w:p>
    <w:p>
      <w:pPr>
        <w:spacing w:after="0" w:line="216" w:lineRule="exact"/>
        <w:rPr>
          <w:sz w:val="20"/>
          <w:szCs w:val="20"/>
          <w:color w:val="auto"/>
        </w:rPr>
      </w:pPr>
    </w:p>
    <w:p>
      <w:pPr>
        <w:ind w:left="627"/>
        <w:spacing w:after="0"/>
        <w:tabs>
          <w:tab w:leader="none" w:pos="8407" w:val="left"/>
        </w:tabs>
        <w:rPr>
          <w:sz w:val="20"/>
          <w:szCs w:val="20"/>
          <w:color w:val="auto"/>
        </w:rPr>
      </w:pPr>
      <w:r>
        <w:rPr>
          <w:rFonts w:ascii="Arial" w:cs="Arial" w:eastAsia="Arial" w:hAnsi="Arial"/>
          <w:sz w:val="20"/>
          <w:szCs w:val="20"/>
          <w:color w:val="auto"/>
        </w:rPr>
        <w:t>$30,000,000</w:t>
      </w:r>
      <w:r>
        <w:rPr>
          <w:sz w:val="20"/>
          <w:szCs w:val="20"/>
          <w:color w:val="auto"/>
        </w:rPr>
        <w:tab/>
      </w:r>
      <w:r>
        <w:rPr>
          <w:rFonts w:ascii="Arial" w:cs="Arial" w:eastAsia="Arial" w:hAnsi="Arial"/>
          <w:sz w:val="16"/>
          <w:szCs w:val="16"/>
          <w:color w:val="auto"/>
        </w:rPr>
        <w:t>$30,000,000</w:t>
      </w:r>
    </w:p>
    <w:p>
      <w:pPr>
        <w:spacing w:after="0" w:line="216" w:lineRule="exact"/>
        <w:rPr>
          <w:sz w:val="20"/>
          <w:szCs w:val="20"/>
          <w:color w:val="auto"/>
        </w:rPr>
      </w:pPr>
    </w:p>
    <w:p>
      <w:pPr>
        <w:ind w:left="627" w:hanging="627"/>
        <w:spacing w:after="0"/>
        <w:tabs>
          <w:tab w:leader="none" w:pos="627" w:val="left"/>
        </w:tabs>
        <w:numPr>
          <w:ilvl w:val="0"/>
          <w:numId w:val="402"/>
        </w:numPr>
        <w:rPr>
          <w:rFonts w:ascii="Arial" w:cs="Arial" w:eastAsia="Arial" w:hAnsi="Arial"/>
          <w:sz w:val="20"/>
          <w:szCs w:val="20"/>
          <w:color w:val="auto"/>
        </w:rPr>
      </w:pPr>
      <w:r>
        <w:rPr>
          <w:rFonts w:ascii="Arial" w:cs="Arial" w:eastAsia="Arial" w:hAnsi="Arial"/>
          <w:sz w:val="20"/>
          <w:szCs w:val="20"/>
          <w:color w:val="auto"/>
        </w:rPr>
        <w:t>an amount, not less than zero in the aggregate, equal to fifty percent (50%) of the cumulative</w:t>
      </w:r>
    </w:p>
    <w:p>
      <w:pPr>
        <w:sectPr>
          <w:pgSz w:w="11900" w:h="16838" w:orient="portrait"/>
          <w:cols w:equalWidth="0" w:num="1">
            <w:col w:w="9407"/>
          </w:cols>
          <w:pgMar w:left="1093" w:top="900" w:right="1399" w:bottom="1440" w:gutter="0" w:footer="0" w:header="0"/>
        </w:sectPr>
      </w:pPr>
    </w:p>
    <w:p>
      <w:pPr>
        <w:spacing w:after="0" w:line="20" w:lineRule="exact"/>
        <w:rPr>
          <w:sz w:val="20"/>
          <w:szCs w:val="20"/>
          <w:color w:val="auto"/>
        </w:rPr>
      </w:pPr>
    </w:p>
    <w:p>
      <w:pPr>
        <w:ind w:left="627"/>
        <w:spacing w:after="0" w:line="258" w:lineRule="auto"/>
        <w:rPr>
          <w:sz w:val="20"/>
          <w:szCs w:val="20"/>
          <w:color w:val="auto"/>
        </w:rPr>
      </w:pPr>
      <w:r>
        <w:rPr>
          <w:rFonts w:ascii="Arial" w:cs="Arial" w:eastAsia="Arial" w:hAnsi="Arial"/>
          <w:sz w:val="19"/>
          <w:szCs w:val="19"/>
          <w:color w:val="auto"/>
        </w:rPr>
        <w:t>Consolidated Net Income for the period (taken as one accounting period) commencing from the first day of the first full fiscal quarter of the Borrower ending after the Closing Date to the end of the fiscal quarter of the Borrower most recently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207" w:space="220"/>
            <w:col w:w="980"/>
          </w:cols>
          <w:pgMar w:left="1093" w:top="900" w:right="1399" w:bottom="1440" w:gutter="0" w:footer="0" w:header="0"/>
          <w:type w:val="continuous"/>
        </w:sectPr>
      </w:pPr>
    </w:p>
    <w:p>
      <w:pPr>
        <w:ind w:left="627" w:right="1260" w:hanging="627"/>
        <w:spacing w:after="0" w:line="312" w:lineRule="auto"/>
        <w:tabs>
          <w:tab w:leader="none" w:pos="62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one hundred percent (100%) of the net cash proceeds received by the Borrower prior to the last day of the period covered by the financial statements delivered herewith from issuances after</w:t>
      </w:r>
    </w:p>
    <w:p>
      <w:pPr>
        <w:sectPr>
          <w:pgSz w:w="11900" w:h="16838" w:orient="portrait"/>
          <w:cols w:equalWidth="0" w:num="1">
            <w:col w:w="9407"/>
          </w:cols>
          <w:pgMar w:left="1093" w:top="900" w:right="1399" w:bottom="1440" w:gutter="0" w:footer="0" w:header="0"/>
          <w:type w:val="continuous"/>
        </w:sectPr>
      </w:pPr>
    </w:p>
    <w:p>
      <w:pPr>
        <w:spacing w:after="0" w:line="1" w:lineRule="exact"/>
        <w:rPr>
          <w:sz w:val="20"/>
          <w:szCs w:val="20"/>
          <w:color w:val="auto"/>
        </w:rPr>
      </w:pPr>
    </w:p>
    <w:p>
      <w:pPr>
        <w:ind w:left="627"/>
        <w:spacing w:after="0" w:line="239" w:lineRule="auto"/>
        <w:rPr>
          <w:sz w:val="20"/>
          <w:szCs w:val="20"/>
          <w:color w:val="auto"/>
        </w:rPr>
      </w:pPr>
      <w:r>
        <w:rPr>
          <w:rFonts w:ascii="Arial" w:cs="Arial" w:eastAsia="Arial" w:hAnsi="Arial"/>
          <w:sz w:val="20"/>
          <w:szCs w:val="20"/>
          <w:color w:val="auto"/>
        </w:rPr>
        <w:t>the Closing Date of Qualified Capital Stock of the Borrower (solely to the extent such net cash proceeds are Not Otherwise Applied):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107" w:space="320"/>
            <w:col w:w="980"/>
          </w:cols>
          <w:pgMar w:left="1093" w:top="900" w:right="1399" w:bottom="1440" w:gutter="0" w:footer="0" w:header="0"/>
          <w:type w:val="continuous"/>
        </w:sectPr>
      </w:pPr>
    </w:p>
    <w:p>
      <w:pPr>
        <w:jc w:val="both"/>
        <w:ind w:left="627" w:right="1520" w:hanging="627"/>
        <w:spacing w:after="0" w:line="274" w:lineRule="auto"/>
        <w:tabs>
          <w:tab w:leader="none" w:pos="62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amount of any Investment made following the Closing Date in reliance on the Available Amount to the extent that such amount is returned in cash prior to the last day of the period covered by the financial statements delivered herewith from the return of, or a return on,</w:t>
      </w:r>
    </w:p>
    <w:p>
      <w:pPr>
        <w:sectPr>
          <w:pgSz w:w="11900" w:h="16838" w:orient="portrait"/>
          <w:cols w:equalWidth="0" w:num="1">
            <w:col w:w="9407"/>
          </w:cols>
          <w:pgMar w:left="1093" w:top="900" w:right="1399" w:bottom="1440" w:gutter="0" w:footer="0" w:header="0"/>
          <w:type w:val="continuous"/>
        </w:sectPr>
      </w:pPr>
    </w:p>
    <w:p>
      <w:pPr>
        <w:ind w:left="627"/>
        <w:spacing w:after="0" w:line="239" w:lineRule="auto"/>
        <w:rPr>
          <w:sz w:val="20"/>
          <w:szCs w:val="20"/>
          <w:color w:val="auto"/>
        </w:rPr>
      </w:pPr>
      <w:r>
        <w:rPr>
          <w:rFonts w:ascii="Arial" w:cs="Arial" w:eastAsia="Arial" w:hAnsi="Arial"/>
          <w:sz w:val="20"/>
          <w:szCs w:val="20"/>
          <w:color w:val="auto"/>
        </w:rPr>
        <w:t>principal of such Investment (other than a sale to a Loan Party or a Subsidiary), or from a dividend or interest received with respect to such Investment: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7707" w:space="720"/>
            <w:col w:w="980"/>
          </w:cols>
          <w:pgMar w:left="1093" w:top="900" w:right="1399" w:bottom="1440" w:gutter="0" w:footer="0" w:header="0"/>
          <w:type w:val="continuous"/>
        </w:sectPr>
      </w:pPr>
    </w:p>
    <w:p>
      <w:pPr>
        <w:ind w:left="627" w:right="1300" w:hanging="627"/>
        <w:spacing w:after="0" w:line="308" w:lineRule="auto"/>
        <w:tabs>
          <w:tab w:leader="none" w:pos="627"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amount by which Indebtedness of the Borrower or any of its Subsidiaries is reduced on the Borrower’s Consolidated balance sheet prior to the last day of the period covered by the financial statements delivered herewith upon the conversion or exchange of such Indebtedness</w:t>
      </w:r>
    </w:p>
    <w:p>
      <w:pPr>
        <w:sectPr>
          <w:pgSz w:w="11900" w:h="16838" w:orient="portrait"/>
          <w:cols w:equalWidth="0" w:num="1">
            <w:col w:w="9407"/>
          </w:cols>
          <w:pgMar w:left="1093" w:top="900" w:right="1399" w:bottom="1440" w:gutter="0" w:footer="0" w:header="0"/>
          <w:type w:val="continuous"/>
        </w:sectPr>
      </w:pPr>
    </w:p>
    <w:p>
      <w:pPr>
        <w:spacing w:after="0" w:line="1" w:lineRule="exact"/>
        <w:rPr>
          <w:sz w:val="20"/>
          <w:szCs w:val="20"/>
          <w:color w:val="auto"/>
        </w:rPr>
      </w:pPr>
    </w:p>
    <w:p>
      <w:pPr>
        <w:ind w:left="627"/>
        <w:spacing w:after="0" w:line="239" w:lineRule="auto"/>
        <w:rPr>
          <w:sz w:val="20"/>
          <w:szCs w:val="20"/>
          <w:color w:val="auto"/>
        </w:rPr>
      </w:pPr>
      <w:r>
        <w:rPr>
          <w:rFonts w:ascii="Arial" w:cs="Arial" w:eastAsia="Arial" w:hAnsi="Arial"/>
          <w:sz w:val="20"/>
          <w:szCs w:val="20"/>
          <w:color w:val="auto"/>
        </w:rPr>
        <w:t>for Qualified Capital Stock of the Borrower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the amount of any cash or the fair market value of other property distributed by the Borrower or any Subsidiary upon such conversion or exchange, other than in connection with a restructuring):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61" w:lineRule="exact"/>
        <w:rPr>
          <w:sz w:val="20"/>
          <w:szCs w:val="20"/>
          <w:color w:val="auto"/>
        </w:rPr>
      </w:pPr>
    </w:p>
    <w:p>
      <w:pPr>
        <w:sectPr>
          <w:pgSz w:w="11900" w:h="16838" w:orient="portrait"/>
          <w:cols w:equalWidth="0" w:num="2">
            <w:col w:w="8107" w:space="320"/>
            <w:col w:w="980"/>
          </w:cols>
          <w:pgMar w:left="1093" w:top="900" w:right="1399" w:bottom="1440" w:gutter="0" w:footer="0" w:header="0"/>
          <w:type w:val="continuous"/>
        </w:sectPr>
      </w:pPr>
    </w:p>
    <w:p>
      <w:pPr>
        <w:ind w:left="627" w:hanging="627"/>
        <w:spacing w:after="0"/>
        <w:tabs>
          <w:tab w:leader="none" w:pos="627" w:val="left"/>
        </w:tabs>
        <w:numPr>
          <w:ilvl w:val="0"/>
          <w:numId w:val="406"/>
        </w:numPr>
        <w:rPr>
          <w:rFonts w:ascii="Arial" w:cs="Arial" w:eastAsia="Arial" w:hAnsi="Arial"/>
          <w:sz w:val="20"/>
          <w:szCs w:val="20"/>
          <w:color w:val="auto"/>
        </w:rPr>
      </w:pPr>
      <w:r>
        <w:rPr>
          <w:rFonts w:ascii="Arial" w:cs="Arial" w:eastAsia="Arial" w:hAnsi="Arial"/>
          <w:sz w:val="20"/>
          <w:szCs w:val="20"/>
          <w:color w:val="auto"/>
        </w:rPr>
        <w:t>the cumulative aggregate amount of all Investments made in reliance on the Available Amount</w:t>
      </w:r>
    </w:p>
    <w:p>
      <w:pPr>
        <w:spacing w:after="0" w:line="16" w:lineRule="exact"/>
        <w:rPr>
          <w:sz w:val="20"/>
          <w:szCs w:val="20"/>
          <w:color w:val="auto"/>
        </w:rPr>
      </w:pPr>
    </w:p>
    <w:p>
      <w:pPr>
        <w:ind w:left="627"/>
        <w:spacing w:after="0"/>
        <w:tabs>
          <w:tab w:leader="none" w:pos="8407" w:val="left"/>
        </w:tabs>
        <w:rPr>
          <w:sz w:val="20"/>
          <w:szCs w:val="20"/>
          <w:color w:val="auto"/>
        </w:rPr>
      </w:pPr>
      <w:r>
        <w:rPr>
          <w:rFonts w:ascii="Arial" w:cs="Arial" w:eastAsia="Arial" w:hAnsi="Arial"/>
          <w:sz w:val="20"/>
          <w:szCs w:val="20"/>
          <w:color w:val="auto"/>
        </w:rPr>
        <w:t>pursuant to Section 7.03(m) of the Credit Agreement:</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627" w:hanging="627"/>
        <w:spacing w:after="0"/>
        <w:tabs>
          <w:tab w:leader="none" w:pos="627"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the cumulative aggregate amount of all Junior Debt Payments made in reliance on the Available</w:t>
      </w:r>
    </w:p>
    <w:p>
      <w:pPr>
        <w:spacing w:after="0" w:line="16" w:lineRule="exact"/>
        <w:rPr>
          <w:sz w:val="20"/>
          <w:szCs w:val="20"/>
          <w:color w:val="auto"/>
        </w:rPr>
      </w:pPr>
    </w:p>
    <w:p>
      <w:pPr>
        <w:ind w:left="627"/>
        <w:spacing w:after="0"/>
        <w:tabs>
          <w:tab w:leader="none" w:pos="8407" w:val="left"/>
        </w:tabs>
        <w:rPr>
          <w:sz w:val="20"/>
          <w:szCs w:val="20"/>
          <w:color w:val="auto"/>
        </w:rPr>
      </w:pPr>
      <w:r>
        <w:rPr>
          <w:rFonts w:ascii="Arial" w:cs="Arial" w:eastAsia="Arial" w:hAnsi="Arial"/>
          <w:sz w:val="20"/>
          <w:szCs w:val="20"/>
          <w:color w:val="auto"/>
        </w:rPr>
        <w:t>Amount pursuant to Section 7.14(a)(iii) of the Credit Agreement:</w:t>
      </w:r>
      <w:r>
        <w:rPr>
          <w:sz w:val="20"/>
          <w:szCs w:val="20"/>
          <w:color w:val="auto"/>
        </w:rPr>
        <w:tab/>
      </w:r>
      <w:r>
        <w:rPr>
          <w:rFonts w:ascii="Arial" w:cs="Arial" w:eastAsia="Arial" w:hAnsi="Arial"/>
          <w:sz w:val="16"/>
          <w:szCs w:val="16"/>
          <w:color w:val="auto"/>
        </w:rPr>
        <w:t>$_________</w:t>
      </w:r>
    </w:p>
    <w:p>
      <w:pPr>
        <w:spacing w:after="0" w:line="200" w:lineRule="exact"/>
        <w:rPr>
          <w:sz w:val="20"/>
          <w:szCs w:val="20"/>
          <w:color w:val="auto"/>
        </w:rPr>
      </w:pPr>
    </w:p>
    <w:p>
      <w:pPr>
        <w:ind w:left="627" w:hanging="627"/>
        <w:spacing w:after="0"/>
        <w:tabs>
          <w:tab w:leader="none" w:pos="627" w:val="left"/>
        </w:tabs>
        <w:numPr>
          <w:ilvl w:val="0"/>
          <w:numId w:val="408"/>
        </w:numPr>
        <w:rPr>
          <w:rFonts w:ascii="Arial" w:cs="Arial" w:eastAsia="Arial" w:hAnsi="Arial"/>
          <w:sz w:val="20"/>
          <w:szCs w:val="20"/>
          <w:color w:val="auto"/>
        </w:rPr>
      </w:pPr>
      <w:r>
        <w:rPr>
          <w:rFonts w:ascii="Arial" w:cs="Arial" w:eastAsia="Arial" w:hAnsi="Arial"/>
          <w:sz w:val="20"/>
          <w:szCs w:val="20"/>
          <w:color w:val="auto"/>
        </w:rPr>
        <w:t>Available Amount [(</w:t>
      </w:r>
      <w:r>
        <w:rPr>
          <w:rFonts w:ascii="Arial" w:cs="Arial" w:eastAsia="Arial" w:hAnsi="Arial"/>
          <w:sz w:val="20"/>
          <w:szCs w:val="20"/>
          <w:u w:val="single" w:color="auto"/>
          <w:color w:val="auto"/>
        </w:rPr>
        <w:t>Lines (III)(a)</w:t>
      </w:r>
      <w:r>
        <w:rPr>
          <w:rFonts w:ascii="Arial" w:cs="Arial" w:eastAsia="Arial" w:hAnsi="Arial"/>
          <w:sz w:val="20"/>
          <w:szCs w:val="20"/>
          <w:color w:val="auto"/>
        </w:rPr>
        <w:t xml:space="preserve"> + </w:t>
      </w:r>
      <w:r>
        <w:rPr>
          <w:rFonts w:ascii="Arial" w:cs="Arial" w:eastAsia="Arial" w:hAnsi="Arial"/>
          <w:sz w:val="20"/>
          <w:szCs w:val="20"/>
          <w:u w:val="single" w:color="auto"/>
          <w:color w:val="auto"/>
        </w:rPr>
        <w:t>(b)</w:t>
      </w:r>
      <w:r>
        <w:rPr>
          <w:rFonts w:ascii="Arial" w:cs="Arial" w:eastAsia="Arial" w:hAnsi="Arial"/>
          <w:sz w:val="20"/>
          <w:szCs w:val="20"/>
          <w:color w:val="auto"/>
        </w:rPr>
        <w:t xml:space="preserve"> + </w:t>
      </w:r>
      <w:r>
        <w:rPr>
          <w:rFonts w:ascii="Arial" w:cs="Arial" w:eastAsia="Arial" w:hAnsi="Arial"/>
          <w:sz w:val="20"/>
          <w:szCs w:val="20"/>
          <w:u w:val="single" w:color="auto"/>
          <w:color w:val="auto"/>
        </w:rPr>
        <w:t>(c)</w:t>
      </w:r>
      <w:r>
        <w:rPr>
          <w:rFonts w:ascii="Arial" w:cs="Arial" w:eastAsia="Arial" w:hAnsi="Arial"/>
          <w:sz w:val="20"/>
          <w:szCs w:val="20"/>
          <w:color w:val="auto"/>
        </w:rPr>
        <w:t xml:space="preserve"> + </w:t>
      </w:r>
      <w:r>
        <w:rPr>
          <w:rFonts w:ascii="Arial" w:cs="Arial" w:eastAsia="Arial" w:hAnsi="Arial"/>
          <w:sz w:val="20"/>
          <w:szCs w:val="20"/>
          <w:u w:val="single" w:color="auto"/>
          <w:color w:val="auto"/>
        </w:rPr>
        <w:t>(d)</w:t>
      </w:r>
      <w:r>
        <w:rPr>
          <w:rFonts w:ascii="Arial" w:cs="Arial" w:eastAsia="Arial" w:hAnsi="Arial"/>
          <w:sz w:val="20"/>
          <w:szCs w:val="20"/>
          <w:color w:val="auto"/>
        </w:rPr>
        <w:t xml:space="preserve"> + </w:t>
      </w:r>
      <w:r>
        <w:rPr>
          <w:rFonts w:ascii="Arial" w:cs="Arial" w:eastAsia="Arial" w:hAnsi="Arial"/>
          <w:sz w:val="20"/>
          <w:szCs w:val="20"/>
          <w:u w:val="single" w:color="auto"/>
          <w:color w:val="auto"/>
        </w:rPr>
        <w:t>(e)</w:t>
      </w:r>
      <w:r>
        <w:rPr>
          <w:rFonts w:ascii="Arial" w:cs="Arial" w:eastAsia="Arial" w:hAnsi="Arial"/>
          <w:sz w:val="20"/>
          <w:szCs w:val="20"/>
          <w:color w:val="auto"/>
        </w:rPr>
        <w:t>) – (</w:t>
      </w:r>
      <w:r>
        <w:rPr>
          <w:rFonts w:ascii="Arial" w:cs="Arial" w:eastAsia="Arial" w:hAnsi="Arial"/>
          <w:sz w:val="20"/>
          <w:szCs w:val="20"/>
          <w:u w:val="single" w:color="auto"/>
          <w:color w:val="auto"/>
        </w:rPr>
        <w:t>Lines III(f)</w:t>
      </w:r>
      <w:r>
        <w:rPr>
          <w:rFonts w:ascii="Arial" w:cs="Arial" w:eastAsia="Arial" w:hAnsi="Arial"/>
          <w:sz w:val="20"/>
          <w:szCs w:val="20"/>
          <w:color w:val="auto"/>
        </w:rPr>
        <w:t xml:space="preserve"> +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1219200</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07"/>
          </w:cols>
          <w:pgMar w:left="1093" w:top="900" w:right="1399" w:bottom="1440" w:gutter="0" w:footer="0" w:header="0"/>
          <w:type w:val="continuous"/>
        </w:sectPr>
      </w:pPr>
    </w:p>
    <w:bookmarkStart w:id="372" w:name="page373"/>
    <w:bookmarkEnd w:id="372"/>
    <w:p>
      <w:pPr>
        <w:jc w:val="center"/>
        <w:ind w:right="19"/>
        <w:spacing w:after="0"/>
        <w:rPr>
          <w:sz w:val="20"/>
          <w:szCs w:val="20"/>
          <w:color w:val="auto"/>
        </w:rPr>
      </w:pPr>
      <w:r>
        <w:rPr>
          <w:rFonts w:ascii="Arial" w:cs="Arial" w:eastAsia="Arial" w:hAnsi="Arial"/>
          <w:sz w:val="20"/>
          <w:szCs w:val="20"/>
          <w:u w:val="single" w:color="auto"/>
          <w:color w:val="auto"/>
        </w:rPr>
        <w:t>Schedule 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Intellectual Property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Insurance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1094105</wp:posOffset>
            </wp:positionV>
            <wp:extent cx="629221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73" w:name="page374"/>
    <w:bookmarkEnd w:id="373"/>
    <w:p>
      <w:pPr>
        <w:jc w:val="center"/>
        <w:ind w:right="-39"/>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JOINDER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JOINDER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dated as of </w:t>
      </w:r>
      <w:r>
        <w:rPr>
          <w:rFonts w:ascii="Arial" w:cs="Arial" w:eastAsia="Arial" w:hAnsi="Arial"/>
          <w:sz w:val="20"/>
          <w:szCs w:val="20"/>
          <w:b w:val="1"/>
          <w:bCs w:val="1"/>
          <w:color w:val="auto"/>
        </w:rPr>
        <w:t>__________</w:t>
      </w:r>
      <w:r>
        <w:rPr>
          <w:rFonts w:ascii="Arial" w:cs="Arial" w:eastAsia="Arial" w:hAnsi="Arial"/>
          <w:sz w:val="20"/>
          <w:szCs w:val="20"/>
          <w:color w:val="auto"/>
        </w:rPr>
        <w:t>, 20</w:t>
      </w:r>
      <w:r>
        <w:rPr>
          <w:rFonts w:ascii="Arial" w:cs="Arial" w:eastAsia="Arial" w:hAnsi="Arial"/>
          <w:sz w:val="20"/>
          <w:szCs w:val="20"/>
          <w:b w:val="1"/>
          <w:bCs w:val="1"/>
          <w:color w:val="auto"/>
        </w:rPr>
        <w:t>__</w:t>
      </w:r>
      <w:r>
        <w:rPr>
          <w:rFonts w:ascii="Arial" w:cs="Arial" w:eastAsia="Arial" w:hAnsi="Arial"/>
          <w:sz w:val="20"/>
          <w:szCs w:val="20"/>
          <w:color w:val="auto"/>
        </w:rPr>
        <w:t>, is by and between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r>
        <w:rPr>
          <w:rFonts w:ascii="Arial" w:cs="Arial" w:eastAsia="Arial" w:hAnsi="Arial"/>
          <w:sz w:val="18"/>
          <w:szCs w:val="18"/>
          <w:color w:val="auto"/>
        </w:rPr>
        <w:t>, a</w:t>
      </w:r>
      <w:r>
        <w:rPr>
          <w:rFonts w:ascii="Arial" w:cs="Arial" w:eastAsia="Arial" w:hAnsi="Arial"/>
          <w:sz w:val="18"/>
          <w:szCs w:val="18"/>
          <w:b w:val="1"/>
          <w:bCs w:val="1"/>
          <w:color w:val="auto"/>
        </w:rPr>
        <w:t xml:space="preserve"> ______________________ </w:t>
      </w:r>
      <w:r>
        <w:rPr>
          <w:rFonts w:ascii="Arial" w:cs="Arial" w:eastAsia="Arial" w:hAnsi="Arial"/>
          <w:sz w:val="18"/>
          <w:szCs w:val="18"/>
          <w:color w:val="auto"/>
        </w:rPr>
        <w:t>(the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Bank of America, N.A., in its capacity</w:t>
      </w:r>
    </w:p>
    <w:p>
      <w:pPr>
        <w:spacing w:after="0" w:line="23"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as the Administrative Agent under that certain Credit Agreement, dated as of February [__], 2021 (as amended, restated, amended and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by and among the AeroVironment, Inc., a Delaware corporation, the Guarantors party thereto, the Lenders from time to time party thereto, Bank of America, N.A., as the Administrative Agent, the Swingline Lender, and an L/C Issuer, and the other L/C Issuers party thereto.</w:t>
      </w:r>
    </w:p>
    <w:p>
      <w:pPr>
        <w:spacing w:after="0" w:line="16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The Loan Parties are required by Section 6.12 of the Credit Agreement to cause the New Subsidiary to become a Guarantor. Accordingly, the New Subsidiary hereby agrees as follows with the Administrative Agent, for the benefit of the Secured Parties:</w:t>
      </w:r>
    </w:p>
    <w:p>
      <w:pPr>
        <w:spacing w:after="0" w:line="186" w:lineRule="exact"/>
        <w:rPr>
          <w:sz w:val="20"/>
          <w:szCs w:val="20"/>
          <w:color w:val="auto"/>
        </w:rPr>
      </w:pPr>
    </w:p>
    <w:p>
      <w:pPr>
        <w:ind w:firstLine="656"/>
        <w:spacing w:after="0" w:line="272" w:lineRule="auto"/>
        <w:tabs>
          <w:tab w:leader="none" w:pos="129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each Secured Party, as provided in Article X of the Credit Agreement, the prompt payment when due, whether at stated maturity, by required prepayment, upon acceleration, demand or otherwise, and at all times thereafter, of any and all Secured Obligations strictly in accordance with the terms thereof.</w:t>
      </w:r>
    </w:p>
    <w:p>
      <w:pPr>
        <w:spacing w:after="0" w:line="170" w:lineRule="exact"/>
        <w:rPr>
          <w:rFonts w:ascii="Arial" w:cs="Arial" w:eastAsia="Arial" w:hAnsi="Arial"/>
          <w:sz w:val="18"/>
          <w:szCs w:val="18"/>
          <w:color w:val="auto"/>
        </w:rPr>
      </w:pPr>
    </w:p>
    <w:p>
      <w:pPr>
        <w:ind w:firstLine="656"/>
        <w:spacing w:after="0" w:line="273" w:lineRule="auto"/>
        <w:tabs>
          <w:tab w:leader="none" w:pos="129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by its execution of this Agreement, the New Subsidiary will be deemed to be a party to the Security Agreement, and shall have all the obligations of an “Obligor” (as such term is defined in the Security Agreement) thereunder as if it had executed the Security Agreement. The New Subsidiary hereby ratifies, as of the date hereof, and agrees to be bound by, all of the terms, provisions and conditions contained in the Security Agreement. Without limiting generality of the foregoing terms of this paragraph 2, the New Subsidiary hereby grants to the Administrative Agent, for the benefit of the Secured Parties, a continuing security interest in, and a right of set off against, any and all right, title and interest of the New Subsidiary in and to the Collateral (as such term is defined in the Security Agreement) of the New Subsidiary.</w:t>
      </w:r>
    </w:p>
    <w:p>
      <w:pPr>
        <w:spacing w:after="0" w:line="168" w:lineRule="exact"/>
        <w:rPr>
          <w:rFonts w:ascii="Arial" w:cs="Arial" w:eastAsia="Arial" w:hAnsi="Arial"/>
          <w:sz w:val="18"/>
          <w:szCs w:val="18"/>
          <w:color w:val="auto"/>
        </w:rPr>
      </w:pPr>
    </w:p>
    <w:p>
      <w:pPr>
        <w:ind w:right="480" w:firstLine="656"/>
        <w:spacing w:after="0" w:line="260" w:lineRule="auto"/>
        <w:tabs>
          <w:tab w:leader="none" w:pos="1296" w:val="left"/>
        </w:tabs>
        <w:numPr>
          <w:ilvl w:val="0"/>
          <w:numId w:val="409"/>
        </w:numPr>
        <w:rPr>
          <w:rFonts w:ascii="Arial" w:cs="Arial" w:eastAsia="Arial" w:hAnsi="Arial"/>
          <w:sz w:val="20"/>
          <w:szCs w:val="20"/>
          <w:color w:val="auto"/>
        </w:rPr>
      </w:pPr>
      <w:r>
        <w:rPr>
          <w:rFonts w:ascii="Arial" w:cs="Arial" w:eastAsia="Arial" w:hAnsi="Arial"/>
          <w:sz w:val="20"/>
          <w:szCs w:val="20"/>
          <w:color w:val="auto"/>
        </w:rPr>
        <w:t>The New Subsidiary hereby represents and warrants to the Administrative Agent, for the benefit of the Secured Parties, that:</w:t>
      </w:r>
    </w:p>
    <w:p>
      <w:pPr>
        <w:spacing w:after="0" w:line="176" w:lineRule="exact"/>
        <w:rPr>
          <w:rFonts w:ascii="Arial" w:cs="Arial" w:eastAsia="Arial" w:hAnsi="Arial"/>
          <w:sz w:val="20"/>
          <w:szCs w:val="20"/>
          <w:color w:val="auto"/>
        </w:rPr>
      </w:pPr>
    </w:p>
    <w:p>
      <w:pPr>
        <w:ind w:left="660" w:right="40" w:firstLine="644"/>
        <w:spacing w:after="0" w:line="250" w:lineRule="auto"/>
        <w:tabs>
          <w:tab w:leader="none" w:pos="1956" w:val="left"/>
        </w:tabs>
        <w:numPr>
          <w:ilvl w:val="1"/>
          <w:numId w:val="409"/>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is complete and accurate list as of the date hereof of (i) each Subsidiary, joint venture and partnership and other equity investments of the New Subsidiary, (ii) the number of shares of each class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1045845</wp:posOffset>
            </wp:positionV>
            <wp:extent cx="629221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00" w:right="1019" w:bottom="1440" w:gutter="0" w:footer="0" w:header="0"/>
        </w:sectPr>
      </w:pPr>
    </w:p>
    <w:bookmarkStart w:id="374" w:name="page375"/>
    <w:bookmarkEnd w:id="374"/>
    <w:p>
      <w:pPr>
        <w:jc w:val="both"/>
        <w:ind w:left="200" w:right="40"/>
        <w:spacing w:after="0" w:line="250" w:lineRule="auto"/>
        <w:rPr>
          <w:sz w:val="20"/>
          <w:szCs w:val="20"/>
          <w:color w:val="auto"/>
        </w:rPr>
      </w:pPr>
      <w:r>
        <w:rPr>
          <w:rFonts w:ascii="Arial" w:cs="Arial" w:eastAsia="Arial" w:hAnsi="Arial"/>
          <w:sz w:val="20"/>
          <w:szCs w:val="20"/>
          <w:color w:val="auto"/>
        </w:rPr>
        <w:t>Interests in each such Subsidiary outstanding, (iii) the number and percentage of outstanding shares of each class of Equity Interests of such Subsidiary owned by the New Subsidiary and its Subsidiaries, and (iv) the class or nature of such Equity Interests (i.e. voting, non-voting, preferred, etc.).</w:t>
      </w:r>
    </w:p>
    <w:p>
      <w:pPr>
        <w:spacing w:after="0" w:line="186" w:lineRule="exact"/>
        <w:rPr>
          <w:sz w:val="20"/>
          <w:szCs w:val="20"/>
          <w:color w:val="auto"/>
        </w:rPr>
      </w:pPr>
    </w:p>
    <w:p>
      <w:pPr>
        <w:ind w:left="200" w:right="120" w:firstLine="644"/>
        <w:spacing w:after="0" w:line="309" w:lineRule="auto"/>
        <w:tabs>
          <w:tab w:leader="none" w:pos="1496" w:val="left"/>
        </w:tabs>
        <w:numPr>
          <w:ilvl w:val="1"/>
          <w:numId w:val="410"/>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is a complete and accurate list as of the date hereof of the New Subsidiary’s (i) exact legal name, (ii) any former legal names in the four (4) months prior to the Closing Date,</w:t>
      </w:r>
    </w:p>
    <w:p>
      <w:pPr>
        <w:spacing w:after="0" w:line="1" w:lineRule="exact"/>
        <w:rPr>
          <w:rFonts w:ascii="Arial" w:cs="Arial" w:eastAsia="Arial" w:hAnsi="Arial"/>
          <w:sz w:val="16"/>
          <w:szCs w:val="16"/>
          <w:color w:val="auto"/>
        </w:rPr>
      </w:pPr>
    </w:p>
    <w:p>
      <w:pPr>
        <w:ind w:left="200" w:right="280" w:hanging="4"/>
        <w:spacing w:after="0" w:line="260" w:lineRule="auto"/>
        <w:tabs>
          <w:tab w:leader="none" w:pos="546" w:val="left"/>
        </w:tabs>
        <w:numPr>
          <w:ilvl w:val="0"/>
          <w:numId w:val="411"/>
        </w:numPr>
        <w:rPr>
          <w:rFonts w:ascii="Arial" w:cs="Arial" w:eastAsia="Arial" w:hAnsi="Arial"/>
          <w:sz w:val="19"/>
          <w:szCs w:val="19"/>
          <w:color w:val="auto"/>
        </w:rPr>
      </w:pPr>
      <w:r>
        <w:rPr>
          <w:rFonts w:ascii="Arial" w:cs="Arial" w:eastAsia="Arial" w:hAnsi="Arial"/>
          <w:sz w:val="19"/>
          <w:szCs w:val="19"/>
          <w:color w:val="auto"/>
        </w:rPr>
        <w:t>jurisdictions in which such Loan Party is qualified to do business, (iv) address of its chief executive office address (and address of its principal place of business address if different than its chief executive office), (v) U.S. federal taxpayer identification number, and (vi) organization identification number.</w:t>
      </w:r>
    </w:p>
    <w:p>
      <w:pPr>
        <w:spacing w:after="0" w:line="178" w:lineRule="exact"/>
        <w:rPr>
          <w:rFonts w:ascii="Arial" w:cs="Arial" w:eastAsia="Arial" w:hAnsi="Arial"/>
          <w:sz w:val="19"/>
          <w:szCs w:val="19"/>
          <w:color w:val="auto"/>
        </w:rPr>
      </w:pPr>
    </w:p>
    <w:p>
      <w:pPr>
        <w:ind w:left="200" w:right="20" w:firstLine="644"/>
        <w:spacing w:after="0" w:line="243" w:lineRule="auto"/>
        <w:tabs>
          <w:tab w:leader="none" w:pos="1496" w:val="left"/>
        </w:tabs>
        <w:numPr>
          <w:ilvl w:val="1"/>
          <w:numId w:val="411"/>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attached hereto is a list of all Intellectual Property registered or pending registration with the United States Copyright Office or the United States Patent and Trademark Office and owned by the New Subsidiary as of the date hereof. As of the date hereof, none of the Intellectual Property owned by the New Subsidiary or any of its Subsidiaries is subject to any licensing agreement or similar arrangement (other than non-exclusive outbound licenses entered into in the ordinary course of business) except as set forth on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attached hereto.</w:t>
      </w:r>
    </w:p>
    <w:p>
      <w:pPr>
        <w:spacing w:after="0" w:line="195" w:lineRule="exact"/>
        <w:rPr>
          <w:rFonts w:ascii="Arial" w:cs="Arial" w:eastAsia="Arial" w:hAnsi="Arial"/>
          <w:sz w:val="20"/>
          <w:szCs w:val="20"/>
          <w:color w:val="auto"/>
        </w:rPr>
      </w:pPr>
    </w:p>
    <w:p>
      <w:pPr>
        <w:ind w:left="200" w:right="20" w:firstLine="644"/>
        <w:spacing w:after="0" w:line="278" w:lineRule="auto"/>
        <w:tabs>
          <w:tab w:leader="none" w:pos="149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attached hereto, as of the date hereof, is a description of all deposit accounts and securities accounts of the New Subsidiary, including (i) in the case of a deposit account, the name of the depository institution and balance (as of the date hereof), held in such deposit account and whether such account is an Excluded Account, and (ii) in the case of a securities account, the name of the securities intermediary or issuer and the aggregate market value (as of the date hereof) held in such securities account.</w:t>
      </w:r>
    </w:p>
    <w:p>
      <w:pPr>
        <w:spacing w:after="0" w:line="164" w:lineRule="exact"/>
        <w:rPr>
          <w:rFonts w:ascii="Arial" w:cs="Arial" w:eastAsia="Arial" w:hAnsi="Arial"/>
          <w:sz w:val="18"/>
          <w:szCs w:val="18"/>
          <w:color w:val="auto"/>
        </w:rPr>
      </w:pPr>
    </w:p>
    <w:p>
      <w:pPr>
        <w:jc w:val="both"/>
        <w:ind w:left="200" w:right="120" w:firstLine="644"/>
        <w:spacing w:after="0" w:line="246" w:lineRule="auto"/>
        <w:tabs>
          <w:tab w:leader="none" w:pos="1496" w:val="left"/>
        </w:tabs>
        <w:numPr>
          <w:ilvl w:val="1"/>
          <w:numId w:val="411"/>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5</w:t>
      </w:r>
      <w:r>
        <w:rPr>
          <w:rFonts w:ascii="Arial" w:cs="Arial" w:eastAsia="Arial" w:hAnsi="Arial"/>
          <w:sz w:val="20"/>
          <w:szCs w:val="20"/>
          <w:color w:val="auto"/>
        </w:rPr>
        <w:t xml:space="preserve"> attached hereto is a list of all real property located in the United States that is owned or leased by the New Subsidiary as of the date hereof (in each case, including (i) the number of buildings located on such property, (ii) the property address, and (iii) the city, county, state and zip code which such property is located.</w:t>
      </w:r>
    </w:p>
    <w:p>
      <w:pPr>
        <w:spacing w:after="0" w:line="191" w:lineRule="exact"/>
        <w:rPr>
          <w:rFonts w:ascii="Arial" w:cs="Arial" w:eastAsia="Arial" w:hAnsi="Arial"/>
          <w:sz w:val="20"/>
          <w:szCs w:val="20"/>
          <w:color w:val="auto"/>
        </w:rPr>
      </w:pPr>
    </w:p>
    <w:p>
      <w:pPr>
        <w:ind w:left="200" w:right="180" w:firstLine="644"/>
        <w:spacing w:after="0" w:line="250" w:lineRule="auto"/>
        <w:tabs>
          <w:tab w:leader="none" w:pos="1496" w:val="left"/>
        </w:tabs>
        <w:numPr>
          <w:ilvl w:val="1"/>
          <w:numId w:val="411"/>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6</w:t>
      </w:r>
      <w:r>
        <w:rPr>
          <w:rFonts w:ascii="Arial" w:cs="Arial" w:eastAsia="Arial" w:hAnsi="Arial"/>
          <w:sz w:val="20"/>
          <w:szCs w:val="20"/>
          <w:color w:val="auto"/>
        </w:rPr>
        <w:t xml:space="preserve"> attached hereto is a list of all Commercial Tort Claims (as defined in the Security Agreement) initiated by or in favor of the New Subsidiary seeking damages in excess of $1,000,000 as of the date hereof.</w:t>
      </w:r>
    </w:p>
    <w:p>
      <w:pPr>
        <w:spacing w:after="0" w:line="185" w:lineRule="exact"/>
        <w:rPr>
          <w:rFonts w:ascii="Arial" w:cs="Arial" w:eastAsia="Arial" w:hAnsi="Arial"/>
          <w:sz w:val="20"/>
          <w:szCs w:val="20"/>
          <w:color w:val="auto"/>
        </w:rPr>
      </w:pPr>
    </w:p>
    <w:p>
      <w:pPr>
        <w:ind w:left="200" w:firstLine="644"/>
        <w:spacing w:after="0" w:line="269" w:lineRule="auto"/>
        <w:tabs>
          <w:tab w:leader="none" w:pos="1496" w:val="left"/>
        </w:tabs>
        <w:numPr>
          <w:ilvl w:val="1"/>
          <w:numId w:val="411"/>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attached hereto is a list of all Instruments, Documents or Tangible Chattel Paper (each as defined in the Security Agreement) of the New Subsidiary required to be pledged and delivered to the Administrative Agent pursuant to Section 4(a) of the Security Agreement.</w:t>
      </w:r>
    </w:p>
    <w:p>
      <w:pPr>
        <w:spacing w:after="0" w:line="169" w:lineRule="exact"/>
        <w:rPr>
          <w:rFonts w:ascii="Arial" w:cs="Arial" w:eastAsia="Arial" w:hAnsi="Arial"/>
          <w:sz w:val="19"/>
          <w:szCs w:val="19"/>
          <w:color w:val="auto"/>
        </w:rPr>
      </w:pPr>
    </w:p>
    <w:p>
      <w:pPr>
        <w:ind w:left="200" w:right="320" w:firstLine="644"/>
        <w:spacing w:after="0" w:line="260" w:lineRule="auto"/>
        <w:tabs>
          <w:tab w:leader="none" w:pos="1496" w:val="left"/>
        </w:tabs>
        <w:numPr>
          <w:ilvl w:val="1"/>
          <w:numId w:val="411"/>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8</w:t>
      </w:r>
      <w:r>
        <w:rPr>
          <w:rFonts w:ascii="Arial" w:cs="Arial" w:eastAsia="Arial" w:hAnsi="Arial"/>
          <w:sz w:val="20"/>
          <w:szCs w:val="20"/>
          <w:color w:val="auto"/>
        </w:rPr>
        <w:t xml:space="preserve"> attached hereto, the New Subsidiary has not (i) been party to a merger, consolidation or other change in structure, (ii) used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1040130</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906" w:right="1019" w:bottom="1440" w:gutter="0" w:footer="0" w:header="0"/>
        </w:sectPr>
      </w:pPr>
    </w:p>
    <w:bookmarkStart w:id="375" w:name="page376"/>
    <w:bookmarkEnd w:id="375"/>
    <w:p>
      <w:pPr>
        <w:ind w:left="640"/>
        <w:spacing w:after="0"/>
        <w:rPr>
          <w:sz w:val="20"/>
          <w:szCs w:val="20"/>
          <w:color w:val="auto"/>
        </w:rPr>
      </w:pPr>
      <w:r>
        <w:rPr>
          <w:rFonts w:ascii="Arial" w:cs="Arial" w:eastAsia="Arial" w:hAnsi="Arial"/>
          <w:sz w:val="20"/>
          <w:szCs w:val="20"/>
          <w:color w:val="auto"/>
        </w:rPr>
        <w:t>tradename, or (iii) changed its legal name, in each case, in the five (5) years prior to the date hereof.</w:t>
      </w:r>
    </w:p>
    <w:p>
      <w:pPr>
        <w:spacing w:after="0" w:line="216" w:lineRule="exact"/>
        <w:rPr>
          <w:sz w:val="20"/>
          <w:szCs w:val="20"/>
          <w:color w:val="auto"/>
        </w:rPr>
      </w:pPr>
    </w:p>
    <w:p>
      <w:pPr>
        <w:ind w:left="-20" w:right="340" w:firstLine="656"/>
        <w:spacing w:after="0" w:line="250" w:lineRule="auto"/>
        <w:tabs>
          <w:tab w:leader="none" w:pos="1276"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The address of the New Subsidiary for purposes of all notices and other communications is the address designated for all Loan Parties on Schedule 1.01(a) to the Credit Agreement or such other address as the New Subsidiary may from time to time notify the Administrative Agent in writing.</w:t>
      </w:r>
    </w:p>
    <w:p>
      <w:pPr>
        <w:spacing w:after="0" w:line="185" w:lineRule="exact"/>
        <w:rPr>
          <w:rFonts w:ascii="Arial" w:cs="Arial" w:eastAsia="Arial" w:hAnsi="Arial"/>
          <w:sz w:val="20"/>
          <w:szCs w:val="20"/>
          <w:color w:val="auto"/>
        </w:rPr>
      </w:pPr>
    </w:p>
    <w:p>
      <w:pPr>
        <w:ind w:left="-20" w:firstLine="656"/>
        <w:spacing w:after="0" w:line="250" w:lineRule="auto"/>
        <w:tabs>
          <w:tab w:leader="none" w:pos="1276"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other Secured Parties of the guaranty by the New Subsidiary under Article X of the Credit Agreement upon the execution of this Agreement by the New Subsidiary.</w:t>
      </w:r>
    </w:p>
    <w:p>
      <w:pPr>
        <w:spacing w:after="0" w:line="185" w:lineRule="exact"/>
        <w:rPr>
          <w:rFonts w:ascii="Arial" w:cs="Arial" w:eastAsia="Arial" w:hAnsi="Arial"/>
          <w:sz w:val="20"/>
          <w:szCs w:val="20"/>
          <w:color w:val="auto"/>
        </w:rPr>
      </w:pPr>
    </w:p>
    <w:p>
      <w:pPr>
        <w:ind w:left="-20" w:right="20" w:firstLine="656"/>
        <w:spacing w:after="0" w:line="243" w:lineRule="auto"/>
        <w:tabs>
          <w:tab w:leader="none" w:pos="1276"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Subject to Section 11.18 of the Credit Agreement, this Agreement may be in the form of an Electronic Record and may be executed using Electronic Signatures, including facsimile and .pdf, and shall be considered an original, and shall have the same legal effect, validity and enforceability as a paper record.</w:t>
      </w:r>
    </w:p>
    <w:p>
      <w:pPr>
        <w:spacing w:after="0" w:line="192" w:lineRule="exact"/>
        <w:rPr>
          <w:rFonts w:ascii="Arial" w:cs="Arial" w:eastAsia="Arial" w:hAnsi="Arial"/>
          <w:sz w:val="20"/>
          <w:szCs w:val="20"/>
          <w:color w:val="auto"/>
        </w:rPr>
      </w:pPr>
    </w:p>
    <w:p>
      <w:pPr>
        <w:ind w:left="-20" w:right="320" w:firstLine="656"/>
        <w:spacing w:after="0" w:line="263" w:lineRule="auto"/>
        <w:tabs>
          <w:tab w:leader="none" w:pos="1276"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1064895</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906" w:right="999" w:bottom="1440" w:gutter="0" w:footer="0" w:header="0"/>
        </w:sectPr>
      </w:pPr>
    </w:p>
    <w:bookmarkStart w:id="376" w:name="page377"/>
    <w:bookmarkEnd w:id="376"/>
    <w:p>
      <w:pPr>
        <w:ind w:firstLine="648"/>
        <w:spacing w:after="0" w:line="250" w:lineRule="auto"/>
        <w:rPr>
          <w:sz w:val="20"/>
          <w:szCs w:val="20"/>
          <w:color w:val="auto"/>
        </w:rPr>
      </w:pPr>
      <w:r>
        <w:rPr>
          <w:rFonts w:ascii="Arial" w:cs="Arial" w:eastAsia="Arial" w:hAnsi="Arial"/>
          <w:sz w:val="20"/>
          <w:szCs w:val="20"/>
          <w:color w:val="auto"/>
        </w:rPr>
        <w:t>IN WITNESS WHEREOF, the New Subsidiary has caused this Agreement to be duly executed by an authorized officer, and the Administrative Agent has caused the same to be accepted by an authorized officer, in each case, as of the day and year first written above.</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[NEW SUBSIDIARY]</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center"/>
        <w:ind w:right="-4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1205865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906" w:right="101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20"/>
          <w:szCs w:val="20"/>
          <w:u w:val="single" w:color="auto"/>
          <w:color w:val="auto"/>
        </w:rPr>
        <w:t>Schedule 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Subsidiaries, Joint Ventures, Partnerships and Other Equity Investments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2</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New Subsidiary Information</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3</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Intellectual Property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4</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Deposit Accounts and Securities Accounts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5</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Real Properties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6</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Commercial Tort Claims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7</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Instruments, Documents and Tangible Chattel Paper</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8</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Merger, Consolidation, Change in Structure;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Tradenames; Change in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1071880</wp:posOffset>
            </wp:positionV>
            <wp:extent cx="629221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78" w:name="page379"/>
    <w:bookmarkEnd w:id="378"/>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LOAN NOTICE</w:t>
      </w:r>
    </w:p>
    <w:p>
      <w:pPr>
        <w:spacing w:after="0" w:line="222"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Date: ___________, _____</w:t>
      </w: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the Administrative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Borrower hereby requests (select one):</w:t>
      </w:r>
    </w:p>
    <w:p>
      <w:pPr>
        <w:spacing w:after="0" w:line="229" w:lineRule="exact"/>
        <w:rPr>
          <w:sz w:val="20"/>
          <w:szCs w:val="20"/>
          <w:color w:val="auto"/>
        </w:rPr>
      </w:pPr>
    </w:p>
    <w:p>
      <w:pPr>
        <w:ind w:left="880" w:hanging="224"/>
        <w:spacing w:after="0"/>
        <w:tabs>
          <w:tab w:leader="none" w:pos="880" w:val="left"/>
        </w:tabs>
        <w:numPr>
          <w:ilvl w:val="0"/>
          <w:numId w:val="413"/>
        </w:numPr>
        <w:rPr>
          <w:rFonts w:ascii="MS PGothic" w:cs="MS PGothic" w:eastAsia="MS PGothic" w:hAnsi="MS PGothic"/>
          <w:sz w:val="20"/>
          <w:szCs w:val="20"/>
          <w:color w:val="auto"/>
        </w:rPr>
      </w:pPr>
      <w:r>
        <w:rPr>
          <w:rFonts w:ascii="Arial" w:cs="Arial" w:eastAsia="Arial" w:hAnsi="Arial"/>
          <w:sz w:val="20"/>
          <w:szCs w:val="20"/>
          <w:color w:val="auto"/>
        </w:rPr>
        <w:t>A [Revolving Borrowing][Term A Borrowing][Incremental Term Borrowing]</w:t>
      </w:r>
    </w:p>
    <w:p>
      <w:pPr>
        <w:spacing w:after="0" w:line="229" w:lineRule="exact"/>
        <w:rPr>
          <w:rFonts w:ascii="MS PGothic" w:cs="MS PGothic" w:eastAsia="MS PGothic" w:hAnsi="MS PGothic"/>
          <w:sz w:val="20"/>
          <w:szCs w:val="20"/>
          <w:color w:val="auto"/>
        </w:rPr>
      </w:pPr>
    </w:p>
    <w:p>
      <w:pPr>
        <w:ind w:left="880" w:hanging="224"/>
        <w:spacing w:after="0"/>
        <w:tabs>
          <w:tab w:leader="none" w:pos="880" w:val="left"/>
        </w:tabs>
        <w:numPr>
          <w:ilvl w:val="0"/>
          <w:numId w:val="413"/>
        </w:numPr>
        <w:rPr>
          <w:rFonts w:ascii="MS PGothic" w:cs="MS PGothic" w:eastAsia="MS PGothic" w:hAnsi="MS PGothic"/>
          <w:sz w:val="20"/>
          <w:szCs w:val="20"/>
          <w:color w:val="auto"/>
        </w:rPr>
      </w:pPr>
      <w:r>
        <w:rPr>
          <w:rFonts w:ascii="Arial" w:cs="Arial" w:eastAsia="Arial" w:hAnsi="Arial"/>
          <w:sz w:val="20"/>
          <w:szCs w:val="20"/>
          <w:color w:val="auto"/>
        </w:rPr>
        <w:t>A [conversion][continuation] of [Revolving Loans][Term A Loans][Incremental Term Loans]</w:t>
      </w:r>
    </w:p>
    <w:p>
      <w:pPr>
        <w:spacing w:after="0" w:line="216" w:lineRule="exact"/>
        <w:rPr>
          <w:sz w:val="20"/>
          <w:szCs w:val="20"/>
          <w:color w:val="auto"/>
        </w:rPr>
      </w:pPr>
    </w:p>
    <w:p>
      <w:pPr>
        <w:ind w:left="1300"/>
        <w:spacing w:after="0"/>
        <w:tabs>
          <w:tab w:leader="none" w:pos="1940" w:val="left"/>
          <w:tab w:leader="none" w:pos="34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-14605</wp:posOffset>
            </wp:positionV>
            <wp:extent cx="7226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96" w:lineRule="exact"/>
        <w:rPr>
          <w:sz w:val="20"/>
          <w:szCs w:val="20"/>
          <w:color w:val="auto"/>
        </w:rPr>
      </w:pPr>
    </w:p>
    <w:p>
      <w:pPr>
        <w:ind w:left="1960" w:hanging="656"/>
        <w:spacing w:after="0"/>
        <w:tabs>
          <w:tab w:leader="none" w:pos="196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In the principal amount of: $</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Comprised of: [Base Rate Loans][Eurodollar Rate Loans]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For Eurodollar Rate Loans: with an Interest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-580390</wp:posOffset>
            </wp:positionV>
            <wp:extent cx="7226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22630" cy="8890"/>
                    </a:xfrm>
                    <a:prstGeom prst="rect">
                      <a:avLst/>
                    </a:prstGeom>
                    <a:noFill/>
                  </pic:spPr>
                </pic:pic>
              </a:graphicData>
            </a:graphic>
          </wp:anchor>
        </w:drawing>
      </w:r>
    </w:p>
    <w:p>
      <w:pPr>
        <w:spacing w:after="0" w:line="196"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[With respect to such Borrowing, the Borrower hereby represents and warrants that [(a) such request complies with the requirements of Section 2.01[(b)][(c)] of the Credit Agreement, and (b)] each of the conditions specified in Sections 4.02(a) and (b) of the Credit Agreement have been satisfied on and as of the date of such Borrowing.]</w:t>
      </w:r>
      <w:r>
        <w:rPr>
          <w:rFonts w:ascii="Arial" w:cs="Arial" w:eastAsia="Arial" w:hAnsi="Arial"/>
          <w:sz w:val="28"/>
          <w:szCs w:val="28"/>
          <w:color w:val="auto"/>
          <w:vertAlign w:val="superscript"/>
        </w:rPr>
        <w:t>15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233045</wp:posOffset>
            </wp:positionV>
            <wp:extent cx="156845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415"/>
        </w:numPr>
        <w:rPr>
          <w:rFonts w:ascii="Arial" w:cs="Arial" w:eastAsia="Arial" w:hAnsi="Arial"/>
          <w:sz w:val="30"/>
          <w:szCs w:val="30"/>
          <w:color w:val="auto"/>
          <w:vertAlign w:val="superscript"/>
        </w:rPr>
      </w:pPr>
      <w:r>
        <w:rPr>
          <w:rFonts w:ascii="Arial" w:cs="Arial" w:eastAsia="Arial" w:hAnsi="Arial"/>
          <w:sz w:val="20"/>
          <w:szCs w:val="20"/>
          <w:color w:val="auto"/>
        </w:rPr>
        <w:t>Bracketed language not required to be included for the Term A Borrowing to occur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914400</wp:posOffset>
            </wp:positionV>
            <wp:extent cx="629221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79" w:name="page380"/>
    <w:bookmarkEnd w:id="379"/>
    <w:p>
      <w:pPr>
        <w:ind w:firstLine="648"/>
        <w:spacing w:after="0" w:line="260" w:lineRule="auto"/>
        <w:rPr>
          <w:sz w:val="20"/>
          <w:szCs w:val="20"/>
          <w:color w:val="auto"/>
        </w:rPr>
      </w:pPr>
      <w:r>
        <w:rPr>
          <w:rFonts w:ascii="Arial" w:cs="Arial" w:eastAsia="Arial" w:hAnsi="Arial"/>
          <w:sz w:val="20"/>
          <w:szCs w:val="20"/>
          <w:color w:val="auto"/>
        </w:rPr>
        <w:t>IN WITNESS WHEREOF, the undersigned has caused this Loan Notice to be executed by a duly authorized officer as of the date first written above.</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1214755</wp:posOffset>
            </wp:positionV>
            <wp:extent cx="629221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906" w:right="1099" w:bottom="1440" w:gutter="0" w:footer="0" w:header="0"/>
        </w:sectPr>
      </w:pPr>
    </w:p>
    <w:bookmarkStart w:id="380" w:name="page381"/>
    <w:bookmarkEnd w:id="380"/>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NOTICE OF LOAN PREPAYMENT</w:t>
      </w:r>
    </w:p>
    <w:p>
      <w:pPr>
        <w:spacing w:after="0" w:line="233"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9920"/>
          </w:cols>
          <w:pgMar w:left="980" w:top="900" w:right="99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the [Administrative Agent][ Swingline Lender]</w:t>
      </w:r>
    </w:p>
    <w:p>
      <w:pPr>
        <w:spacing w:after="0" w:line="200" w:lineRule="exact"/>
        <w:rPr>
          <w:sz w:val="20"/>
          <w:szCs w:val="20"/>
          <w:color w:val="auto"/>
        </w:rPr>
      </w:pPr>
    </w:p>
    <w:p>
      <w:pPr>
        <w:sectPr>
          <w:pgSz w:w="11900" w:h="16838" w:orient="portrait"/>
          <w:cols w:equalWidth="0" w:num="2">
            <w:col w:w="260" w:space="400"/>
            <w:col w:w="9260"/>
          </w:cols>
          <w:pgMar w:left="980" w:top="900" w:right="9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the Administrative Agent]</w:t>
      </w:r>
    </w:p>
    <w:p>
      <w:pPr>
        <w:spacing w:after="0" w:line="211" w:lineRule="exact"/>
        <w:rPr>
          <w:sz w:val="20"/>
          <w:szCs w:val="20"/>
          <w:color w:val="auto"/>
        </w:rPr>
      </w:pPr>
    </w:p>
    <w:p>
      <w:pPr>
        <w:sectPr>
          <w:pgSz w:w="11900" w:h="16838" w:orient="portrait"/>
          <w:cols w:equalWidth="0" w:num="2">
            <w:col w:w="340" w:space="320"/>
            <w:col w:w="9260"/>
          </w:cols>
          <w:pgMar w:left="980" w:top="900" w:right="99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Borrower hereby notifies [the Administrative Agent][and the Swingline Lender] that on _____________, pursuant to</w:t>
      </w:r>
    </w:p>
    <w:p>
      <w:pPr>
        <w:spacing w:after="0" w:line="39"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the terms of Section 2.05 of the Credit Agreement, the Borrower intends to prepay/repay the Loans as more specifically set forth below:</w:t>
      </w:r>
    </w:p>
    <w:p>
      <w:pPr>
        <w:spacing w:after="0" w:line="191" w:lineRule="exact"/>
        <w:rPr>
          <w:sz w:val="20"/>
          <w:szCs w:val="20"/>
          <w:color w:val="auto"/>
        </w:rPr>
      </w:pPr>
    </w:p>
    <w:p>
      <w:pPr>
        <w:ind w:left="1300" w:right="440" w:hanging="644"/>
        <w:spacing w:after="0" w:line="260" w:lineRule="auto"/>
        <w:tabs>
          <w:tab w:leader="none" w:pos="1300" w:val="left"/>
        </w:tabs>
        <w:numPr>
          <w:ilvl w:val="0"/>
          <w:numId w:val="416"/>
        </w:numPr>
        <w:rPr>
          <w:rFonts w:ascii="MS PGothic" w:cs="MS PGothic" w:eastAsia="MS PGothic" w:hAnsi="MS PGothic"/>
          <w:sz w:val="20"/>
          <w:szCs w:val="20"/>
          <w:color w:val="auto"/>
        </w:rPr>
      </w:pPr>
      <w:r>
        <w:rPr>
          <w:rFonts w:ascii="Arial" w:cs="Arial" w:eastAsia="Arial" w:hAnsi="Arial"/>
          <w:sz w:val="20"/>
          <w:szCs w:val="20"/>
          <w:color w:val="auto"/>
        </w:rPr>
        <w:t>Voluntary prepayment of [Revolving Loans][Term A Loans][Incremental Term Loans] in the following amount(s):</w:t>
      </w:r>
    </w:p>
    <w:p>
      <w:pPr>
        <w:spacing w:after="0" w:line="190" w:lineRule="exact"/>
        <w:rPr>
          <w:rFonts w:ascii="MS PGothic" w:cs="MS PGothic" w:eastAsia="MS PGothic" w:hAnsi="MS PGothic"/>
          <w:sz w:val="20"/>
          <w:szCs w:val="20"/>
          <w:color w:val="auto"/>
        </w:rPr>
      </w:pPr>
    </w:p>
    <w:p>
      <w:pPr>
        <w:ind w:left="2600" w:right="5180" w:hanging="648"/>
        <w:spacing w:after="0" w:line="316" w:lineRule="auto"/>
        <w:tabs>
          <w:tab w:leader="none" w:pos="2599" w:val="left"/>
        </w:tabs>
        <w:numPr>
          <w:ilvl w:val="1"/>
          <w:numId w:val="416"/>
        </w:numPr>
        <w:rPr>
          <w:rFonts w:ascii="MS PGothic" w:cs="MS PGothic" w:eastAsia="MS PGothic" w:hAnsi="MS PGothic"/>
          <w:sz w:val="18"/>
          <w:szCs w:val="18"/>
          <w:color w:val="auto"/>
        </w:rPr>
      </w:pPr>
      <w:r>
        <w:rPr>
          <w:rFonts w:ascii="Arial" w:cs="Arial" w:eastAsia="Arial" w:hAnsi="Arial"/>
          <w:sz w:val="18"/>
          <w:szCs w:val="18"/>
          <w:color w:val="auto"/>
        </w:rPr>
        <w:t>Eurodollar Rate Loans: $ Applicable Interest Period:</w:t>
      </w:r>
    </w:p>
    <w:p>
      <w:pPr>
        <w:spacing w:after="0" w:line="156" w:lineRule="exact"/>
        <w:rPr>
          <w:rFonts w:ascii="MS PGothic" w:cs="MS PGothic" w:eastAsia="MS PGothic" w:hAnsi="MS PGothic"/>
          <w:sz w:val="18"/>
          <w:szCs w:val="18"/>
          <w:color w:val="auto"/>
        </w:rPr>
      </w:pPr>
    </w:p>
    <w:p>
      <w:pPr>
        <w:ind w:left="2600" w:hanging="648"/>
        <w:spacing w:after="0"/>
        <w:tabs>
          <w:tab w:leader="none" w:pos="2600" w:val="left"/>
        </w:tabs>
        <w:numPr>
          <w:ilvl w:val="1"/>
          <w:numId w:val="416"/>
        </w:numPr>
        <w:rPr>
          <w:rFonts w:ascii="MS PGothic" w:cs="MS PGothic" w:eastAsia="MS PGothic" w:hAnsi="MS PGothic"/>
          <w:sz w:val="20"/>
          <w:szCs w:val="20"/>
          <w:color w:val="auto"/>
        </w:rPr>
      </w:pPr>
      <w:r>
        <w:rPr>
          <w:rFonts w:ascii="Arial" w:cs="Arial" w:eastAsia="Arial" w:hAnsi="Arial"/>
          <w:sz w:val="20"/>
          <w:szCs w:val="20"/>
          <w:color w:val="auto"/>
        </w:rPr>
        <w:t>Base Rate Loans: $</w:t>
      </w:r>
    </w:p>
    <w:p>
      <w:pPr>
        <w:spacing w:after="0" w:line="242" w:lineRule="exact"/>
        <w:rPr>
          <w:rFonts w:ascii="MS PGothic" w:cs="MS PGothic" w:eastAsia="MS PGothic" w:hAnsi="MS PGothic"/>
          <w:sz w:val="20"/>
          <w:szCs w:val="20"/>
          <w:color w:val="auto"/>
        </w:rPr>
      </w:pPr>
    </w:p>
    <w:p>
      <w:pPr>
        <w:ind w:left="1300" w:hanging="644"/>
        <w:spacing w:after="0"/>
        <w:tabs>
          <w:tab w:leader="none" w:pos="1300" w:val="left"/>
        </w:tabs>
        <w:numPr>
          <w:ilvl w:val="0"/>
          <w:numId w:val="416"/>
        </w:numPr>
        <w:rPr>
          <w:rFonts w:ascii="MS PGothic" w:cs="MS PGothic" w:eastAsia="MS PGothic" w:hAnsi="MS PGothic"/>
          <w:sz w:val="20"/>
          <w:szCs w:val="20"/>
          <w:color w:val="auto"/>
        </w:rPr>
      </w:pPr>
      <w:r>
        <w:rPr>
          <w:rFonts w:ascii="Arial" w:cs="Arial" w:eastAsia="Arial" w:hAnsi="Arial"/>
          <w:sz w:val="20"/>
          <w:szCs w:val="20"/>
          <w:color w:val="auto"/>
        </w:rPr>
        <w:t>Voluntary prepayment of Swingline Loans in the following amount(s):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-760730</wp:posOffset>
            </wp:positionV>
            <wp:extent cx="6908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-614680</wp:posOffset>
            </wp:positionV>
            <wp:extent cx="5969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596900" cy="8255"/>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-314960</wp:posOffset>
            </wp:positionV>
            <wp:extent cx="9734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1073150</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type w:val="continuous"/>
        </w:sectPr>
      </w:pPr>
    </w:p>
    <w:bookmarkStart w:id="381" w:name="page382"/>
    <w:bookmarkEnd w:id="381"/>
    <w:p>
      <w:pPr>
        <w:ind w:firstLine="648"/>
        <w:spacing w:after="0" w:line="260" w:lineRule="auto"/>
        <w:rPr>
          <w:sz w:val="20"/>
          <w:szCs w:val="20"/>
          <w:color w:val="auto"/>
        </w:rPr>
      </w:pPr>
      <w:r>
        <w:rPr>
          <w:rFonts w:ascii="Arial" w:cs="Arial" w:eastAsia="Arial" w:hAnsi="Arial"/>
          <w:sz w:val="20"/>
          <w:szCs w:val="20"/>
          <w:color w:val="auto"/>
        </w:rPr>
        <w:t>IN WITNESS WHEREOF, the undersigned has caused this Notice of Loan Prepayment to be executed by a duly authorized officer as of the date first written above.</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1205865</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906" w:right="13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SECURED PARTY DESIGNATION NOTICE</w:t>
      </w:r>
    </w:p>
    <w:p>
      <w:pPr>
        <w:spacing w:after="0" w:line="22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Date: _________, _____</w:t>
      </w:r>
    </w:p>
    <w:p>
      <w:pPr>
        <w:spacing w:after="0" w:line="3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the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SECURED PARTY DESIGNATION NOTICE is made by _______________________, a ______________</w:t>
      </w:r>
    </w:p>
    <w:p>
      <w:pPr>
        <w:spacing w:after="0" w:line="39" w:lineRule="exact"/>
        <w:rPr>
          <w:sz w:val="20"/>
          <w:szCs w:val="20"/>
          <w:color w:val="auto"/>
        </w:rPr>
      </w:pPr>
    </w:p>
    <w:p>
      <w:pPr>
        <w:ind w:right="320"/>
        <w:spacing w:after="0" w:line="29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Designor</w:t>
      </w:r>
      <w:r>
        <w:rPr>
          <w:rFonts w:ascii="Arial" w:cs="Arial" w:eastAsia="Arial" w:hAnsi="Arial"/>
          <w:sz w:val="18"/>
          <w:szCs w:val="18"/>
          <w:color w:val="auto"/>
        </w:rPr>
        <w:t>”), to Bank of America, N.A., as the Administrative Agent under that certain Credit Agreement referenced below. All capitalized terms not defined herein shall have the meaning ascribed to them in the Credit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p>
    <w:p>
      <w:pPr>
        <w:spacing w:after="0" w:line="229" w:lineRule="exact"/>
        <w:rPr>
          <w:sz w:val="20"/>
          <w:szCs w:val="20"/>
          <w:color w:val="auto"/>
        </w:rPr>
      </w:pPr>
    </w:p>
    <w:p>
      <w:pPr>
        <w:ind w:right="100" w:firstLine="648"/>
        <w:spacing w:after="0" w:line="321" w:lineRule="auto"/>
        <w:rPr>
          <w:sz w:val="20"/>
          <w:szCs w:val="20"/>
          <w:color w:val="auto"/>
        </w:rPr>
      </w:pPr>
      <w:r>
        <w:rPr>
          <w:rFonts w:ascii="Arial" w:cs="Arial" w:eastAsia="Arial" w:hAnsi="Arial"/>
          <w:sz w:val="16"/>
          <w:szCs w:val="16"/>
          <w:color w:val="auto"/>
        </w:rPr>
        <w:t>WHEREAS, AeroVironment,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party thereto, the Lenders from time to time party thereto, Bank of America, N.A., as the Administrative Agent, the Swingline Lender, and an L/C Issuer, and the other L/C Issuers party thereto, have entered into that certain Credit Agreement, dated as of February [__], 2021 (as amended, restated, amended and restated, extended,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pursuant to which certain loans and financial accommodations have been made to the Borrower;</w:t>
      </w:r>
    </w:p>
    <w:p>
      <w:pPr>
        <w:spacing w:after="0" w:line="1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WHEREAS, in connection with the Credit Agreement, a Lender or an Affiliate of a Lender is permitted to designate its [Cash Management Agreement][Swap Contract] as a [“Secured Cash Management Agreement”][“Secured Hedge Agreement”] under the Credit Agreement and the Collateral Documents;</w:t>
      </w:r>
    </w:p>
    <w:p>
      <w:pPr>
        <w:spacing w:after="0" w:line="18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WHEREAS, the Credit Agreement requires that the Designor deliver this Secured Party Designation Notice to the Administrative Agent;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Designor has agreed to execute and deliver this Secured Party Designation Notice.</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77" w:lineRule="exact"/>
        <w:rPr>
          <w:sz w:val="20"/>
          <w:szCs w:val="20"/>
          <w:color w:val="auto"/>
        </w:rPr>
      </w:pPr>
    </w:p>
    <w:p>
      <w:pPr>
        <w:ind w:right="20" w:firstLine="656"/>
        <w:spacing w:after="0" w:line="313" w:lineRule="auto"/>
        <w:tabs>
          <w:tab w:leader="none" w:pos="1296"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xml:space="preserve">. The Designor hereby designates the [Cash Management Agreement][Swap Contract] described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to be a [“Secured Cash Management Agreement”][“Secured Hedge Agreement”] and hereby represents and warrants to the Administrative Agent that such [Cash Management Agreement][Swap Contract] satisfies all the requirements under the Loan Documents to be so designated. By executing and delivering this Secured Party Designation Notice, the Designor, as provided in the Credit Agreement, hereby agrees to be bound by all of the provisions of the Loan Documents which are applicable to it as a provider of a [Secured Cash Management Agreement][Secured Hedge Agreement] and hereby (a) confirms that it has received a copy of the Loan Documents and such other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1018540</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83" w:name="page384"/>
    <w:bookmarkEnd w:id="383"/>
    <w:p>
      <w:pPr>
        <w:ind w:right="40"/>
        <w:spacing w:after="0" w:line="256" w:lineRule="auto"/>
        <w:rPr>
          <w:sz w:val="20"/>
          <w:szCs w:val="20"/>
          <w:color w:val="auto"/>
        </w:rPr>
      </w:pPr>
      <w:r>
        <w:rPr>
          <w:rFonts w:ascii="Arial" w:cs="Arial" w:eastAsia="Arial" w:hAnsi="Arial"/>
          <w:sz w:val="19"/>
          <w:szCs w:val="19"/>
          <w:color w:val="auto"/>
        </w:rPr>
        <w:t>information as it has deemed appropriate to make its own decision to enter into this Secured Party Designation Notice, (b) appoints and authorizes the Administrative Agent to take such action as agent on its behalf and to exercise such powers and discretion under the Credit Agreement, the other Loan Documents or any other instrument or document furnished pursuant thereto as are delegated to the Administrative Agent by the terms thereof, together with such powers as are incidental thereto (including the provisions of Section 9.01 of the Credit Agreement), and (c) agrees that it will be bound by the provisions of the Loan Documents and will perform in accordance with its terms all the obligations which by the terms of the Loan Documents are required to be performed by it as a provider of a [Cash Management Agreement][Swap Contract]. Without limiting the foregoing, the Designor agrees to indemnify the Administrative Agent as contemplated by Section 11.04(c) of the Credit Agreement.</w:t>
      </w:r>
    </w:p>
    <w:p>
      <w:pPr>
        <w:spacing w:after="0" w:line="178" w:lineRule="exact"/>
        <w:rPr>
          <w:sz w:val="20"/>
          <w:szCs w:val="20"/>
          <w:color w:val="auto"/>
        </w:rPr>
      </w:pPr>
    </w:p>
    <w:p>
      <w:pPr>
        <w:ind w:right="120" w:firstLine="656"/>
        <w:spacing w:after="0" w:line="246" w:lineRule="auto"/>
        <w:tabs>
          <w:tab w:leader="none" w:pos="1296" w:val="left"/>
        </w:tabs>
        <w:numPr>
          <w:ilvl w:val="0"/>
          <w:numId w:val="4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SECURED PARTY DESIGNATION NOTICE AND ANY CLAIMS, CONTROVERSY, DISPUTE OR CAUSE OF ACTION (WHETHER IN CONTRACT OR TORT OR OTHERWISE) BASED UPON, ARISING OUT OF OR RELATING TO THIS SECURED PARTY DESIGNATION NOTICE AND THE TRANSACTIONS CONTEMPLATED HEREBY SHALL BE GOVERNED BY, AND CONSTRUED IN ACCORDANCE WITH, THE LAW OF THE STATE OF NEW YORK.</w:t>
      </w:r>
    </w:p>
    <w:p>
      <w:pPr>
        <w:spacing w:after="0" w:line="190" w:lineRule="exact"/>
        <w:rPr>
          <w:rFonts w:ascii="Arial" w:cs="Arial" w:eastAsia="Arial" w:hAnsi="Arial"/>
          <w:sz w:val="20"/>
          <w:szCs w:val="20"/>
          <w:b w:val="1"/>
          <w:bCs w:val="1"/>
          <w:color w:val="auto"/>
        </w:rPr>
      </w:pPr>
    </w:p>
    <w:p>
      <w:pPr>
        <w:ind w:firstLine="656"/>
        <w:spacing w:after="0" w:line="269" w:lineRule="auto"/>
        <w:tabs>
          <w:tab w:leader="none" w:pos="129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Secured Party Designation Notice may be executed in counterparts (and by different parties hereto in different counterparts), each of which shall constitute an original, but all of which when taken together shall constitute a single contract. Delivery of an executed counterpart of a signature page of this Secured Party Designation Notice by fax transmission or e-mail transmission (e.g., “pdf” or “tif”) shall be effective as delivery of a manually executed counterpart of this Secured Party Designation Notice. Subject to Section 11.18 of the Credit Agreement, this Secured Party Designation Notice may be in the form of an Electronic Record and may be executed using Electronic Signatures, including facsimile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.pdf, and shall be considered an original, and shall have the same legal effect, validity and enforceability as a paper record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6" w:right="999" w:bottom="1440" w:gutter="0" w:footer="0" w:header="0"/>
        </w:sectPr>
      </w:pPr>
    </w:p>
    <w:bookmarkStart w:id="384" w:name="page385"/>
    <w:bookmarkEnd w:id="384"/>
    <w:p>
      <w:pPr>
        <w:ind w:firstLine="648"/>
        <w:spacing w:after="0" w:line="287" w:lineRule="auto"/>
        <w:rPr>
          <w:sz w:val="20"/>
          <w:szCs w:val="20"/>
          <w:color w:val="auto"/>
        </w:rPr>
      </w:pPr>
      <w:r>
        <w:rPr>
          <w:rFonts w:ascii="Arial" w:cs="Arial" w:eastAsia="Arial" w:hAnsi="Arial"/>
          <w:sz w:val="19"/>
          <w:szCs w:val="19"/>
          <w:color w:val="auto"/>
        </w:rPr>
        <w:t>IN WITNESS WHEREOF, the undersigned have caused this Secured Party Designation Notice to be duly executed and delivered by their respective officers thereunto duly authorized as of the date first written above.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[DESIGNOR]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1197610</wp:posOffset>
            </wp:positionV>
            <wp:extent cx="629221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906" w:right="1119"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20"/>
          <w:szCs w:val="20"/>
          <w:u w:val="single" w:color="auto"/>
          <w:color w:val="auto"/>
        </w:rPr>
        <w:t>Schedule 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[Cash Management Agreement][Swap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1079500</wp:posOffset>
            </wp:positionV>
            <wp:extent cx="629221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86" w:name="page387"/>
    <w:bookmarkEnd w:id="386"/>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SOLVENCY CERTIFICATE</w:t>
      </w:r>
    </w:p>
    <w:p>
      <w:pPr>
        <w:spacing w:after="0" w:line="222" w:lineRule="exact"/>
        <w:rPr>
          <w:sz w:val="20"/>
          <w:szCs w:val="20"/>
          <w:color w:val="auto"/>
        </w:rPr>
      </w:pPr>
    </w:p>
    <w:p>
      <w:pPr>
        <w:ind w:left="9020"/>
        <w:spacing w:after="0"/>
        <w:rPr>
          <w:sz w:val="20"/>
          <w:szCs w:val="20"/>
          <w:color w:val="auto"/>
        </w:rPr>
      </w:pPr>
      <w:r>
        <w:rPr>
          <w:rFonts w:ascii="Arial" w:cs="Arial" w:eastAsia="Arial" w:hAnsi="Arial"/>
          <w:sz w:val="16"/>
          <w:szCs w:val="16"/>
          <w:color w:val="auto"/>
        </w:rPr>
        <w:t>____, 2021</w:t>
      </w:r>
    </w:p>
    <w:p>
      <w:pPr>
        <w:spacing w:after="0" w:line="262"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This Solvency Certificate (this “</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is being executed and delivered pursuant to Section 4.01(g) of that certain Credit Agreement, dated as of February [__], 2021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AeroVironment,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party thereto, the Lenders party thereto, Bank of America, N.A., as the Administrative Agent, the Swingline Lender, and an L/C Issuer, and the other L/C Issuers party thereto. Capitalized terms used herein but not otherwise defined herein shall have the meanings provided to such terms in the Credit Agreement.</w:t>
      </w:r>
    </w:p>
    <w:p>
      <w:pPr>
        <w:spacing w:after="0" w:line="19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I, [__], the chief financial officer of the Borrower, solely in such capacity and not in an individual capacity, hereby certify that I am the chief financial officer of the Borrower and that I am familiar with the businesses and assets of the Borrower and its Subsidiaries, I have made such other investigations and inquiries as I have deemed appropriate and I am duly authorized to execute this Solvency Certificate on behalf of the Borrower pursuant to the Credit Agreement.</w:t>
      </w:r>
    </w:p>
    <w:p>
      <w:pPr>
        <w:spacing w:after="0" w:line="161"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I further certify, solely in my capacity as chief financial officer of the Borrower and not in my individual capacity, as of the date hereof and after giving effect to the Transactions, that (a) the fair value of the property of the Borrower and its Subsidiaries, on a consolidated basis, is greater than the total amount of liabilities, including contingent liabilities, of the Borrower and its Subsidiaries, on a consolidated basis, (b) the present fair salable value of the assets of the Borrower and its Subsidiaries, on a consolidated basis, is not less than the amount that will be required to pay the probable liability of the Borrower and its Subsidiaries, on a consolidated basis, on its debts as they become absolute and matured, (c) the Borrower and its Subsidiaries, on a consolidated basis, do not intend to, and do not believe that they will, incur debts or liabilities beyond the ability of the Borrower and its Subsidiaries, on a consolidated basis, to pay such debts and liabilities as they mature, (d) the Borrower and its Subsidiaries, on a consolidated basis, are not engaged in business or a transaction, and are not about to engage in business or a transaction, for which the property of the Borrower and its Subsidiaries, on a consolidated basis, would constitute an unreasonably small capital, and (e) the Borrower and its Subsidiaries, on a consolidated basis, are able to pay their debts and liabilities, contingent obligations and other commitments as they mature in the ordinary course of business. For purposes hereof,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87" w:name="page388"/>
    <w:bookmarkEnd w:id="387"/>
    <w:p>
      <w:pPr>
        <w:ind w:left="200"/>
        <w:spacing w:after="0"/>
        <w:rPr>
          <w:sz w:val="20"/>
          <w:szCs w:val="20"/>
          <w:color w:val="auto"/>
        </w:rPr>
      </w:pPr>
      <w:r>
        <w:rPr>
          <w:rFonts w:ascii="Arial" w:cs="Arial" w:eastAsia="Arial" w:hAnsi="Arial"/>
          <w:sz w:val="18"/>
          <w:szCs w:val="18"/>
          <w:color w:val="auto"/>
        </w:rPr>
        <w:t>IN WITNESS WHEREOF, I have executed this Solvency Certificate on the date first written above.</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1068705</wp:posOffset>
            </wp:positionV>
            <wp:extent cx="629221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88" w:name="page389"/>
    <w:bookmarkEnd w:id="388"/>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SWINGLINE LOAN NOTICE</w:t>
      </w:r>
    </w:p>
    <w:p>
      <w:pPr>
        <w:spacing w:after="0" w:line="222"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9920"/>
          </w:cols>
          <w:pgMar w:left="980" w:top="900" w:right="99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the Swingline Lender</w:t>
      </w:r>
    </w:p>
    <w:p>
      <w:pPr>
        <w:spacing w:after="0" w:line="200" w:lineRule="exact"/>
        <w:rPr>
          <w:sz w:val="20"/>
          <w:szCs w:val="20"/>
          <w:color w:val="auto"/>
        </w:rPr>
      </w:pPr>
    </w:p>
    <w:p>
      <w:pPr>
        <w:sectPr>
          <w:pgSz w:w="11900" w:h="16838" w:orient="portrait"/>
          <w:cols w:equalWidth="0" w:num="2">
            <w:col w:w="260" w:space="400"/>
            <w:col w:w="9260"/>
          </w:cols>
          <w:pgMar w:left="980" w:top="900" w:right="9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the Administrative Agent</w:t>
      </w:r>
    </w:p>
    <w:p>
      <w:pPr>
        <w:spacing w:after="0" w:line="200" w:lineRule="exact"/>
        <w:rPr>
          <w:sz w:val="20"/>
          <w:szCs w:val="20"/>
          <w:color w:val="auto"/>
        </w:rPr>
      </w:pPr>
    </w:p>
    <w:p>
      <w:pPr>
        <w:sectPr>
          <w:pgSz w:w="11900" w:h="16838" w:orient="portrait"/>
          <w:cols w:equalWidth="0" w:num="2">
            <w:col w:w="280" w:space="380"/>
            <w:col w:w="9260"/>
          </w:cols>
          <w:pgMar w:left="980" w:top="900" w:right="9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Borrower hereby requests a Swingline Loan:</w:t>
      </w:r>
    </w:p>
    <w:p>
      <w:pPr>
        <w:spacing w:after="0" w:line="216" w:lineRule="exact"/>
        <w:rPr>
          <w:sz w:val="20"/>
          <w:szCs w:val="20"/>
          <w:color w:val="auto"/>
        </w:rPr>
      </w:pPr>
    </w:p>
    <w:p>
      <w:pPr>
        <w:ind w:left="660"/>
        <w:spacing w:after="0"/>
        <w:tabs>
          <w:tab w:leader="none" w:pos="1280" w:val="left"/>
          <w:tab w:leader="none" w:pos="30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-14605</wp:posOffset>
            </wp:positionV>
            <wp:extent cx="8477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847725" cy="8890"/>
                    </a:xfrm>
                    <a:prstGeom prst="rect">
                      <a:avLst/>
                    </a:prstGeom>
                    <a:noFill/>
                  </pic:spPr>
                </pic:pic>
              </a:graphicData>
            </a:graphic>
          </wp:anchor>
        </w:drawing>
      </w:r>
    </w:p>
    <w:p>
      <w:pPr>
        <w:spacing w:after="0" w:line="196"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In the amount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-14605</wp:posOffset>
            </wp:positionV>
            <wp:extent cx="10052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96"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With respect to such Swingline Borrowing, the Borrower hereby represents and warrants that (a) such request complies with the requirements of Section 2.04(a) of the Credit Agreement, and (b) the conditions set forth in Sections 4.02(a) and (b) of the Credit Agreement have been satisfied on and as of the date of date of such Swingline Borrowing.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type w:val="continuous"/>
        </w:sectPr>
      </w:pPr>
    </w:p>
    <w:bookmarkStart w:id="389" w:name="page390"/>
    <w:bookmarkEnd w:id="389"/>
    <w:p>
      <w:pPr>
        <w:ind w:right="259" w:firstLine="648"/>
        <w:spacing w:after="0" w:line="260" w:lineRule="auto"/>
        <w:rPr>
          <w:sz w:val="20"/>
          <w:szCs w:val="20"/>
          <w:color w:val="auto"/>
        </w:rPr>
      </w:pPr>
      <w:r>
        <w:rPr>
          <w:rFonts w:ascii="Arial" w:cs="Arial" w:eastAsia="Arial" w:hAnsi="Arial"/>
          <w:sz w:val="20"/>
          <w:szCs w:val="20"/>
          <w:color w:val="auto"/>
        </w:rPr>
        <w:t>IN WITNESS WHEREOF, the undersigned has caused this Swingline Loan Notice to be executed by a duly authorized officer as of the date first written above.</w:t>
      </w:r>
    </w:p>
    <w:p>
      <w:pPr>
        <w:spacing w:after="0" w:line="19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1205865</wp:posOffset>
            </wp:positionV>
            <wp:extent cx="629221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906" w:right="1440" w:bottom="1440" w:gutter="0" w:footer="0" w:header="0"/>
        </w:sectPr>
      </w:pPr>
    </w:p>
    <w:bookmarkStart w:id="390" w:name="page391"/>
    <w:bookmarkEnd w:id="390"/>
    <w:p>
      <w:pPr>
        <w:jc w:val="center"/>
        <w:spacing w:after="0"/>
        <w:rPr>
          <w:sz w:val="20"/>
          <w:szCs w:val="20"/>
          <w:color w:val="auto"/>
        </w:rPr>
      </w:pPr>
      <w:r>
        <w:rPr>
          <w:rFonts w:ascii="Arial" w:cs="Arial" w:eastAsia="Arial" w:hAnsi="Arial"/>
          <w:sz w:val="20"/>
          <w:szCs w:val="20"/>
          <w:b w:val="1"/>
          <w:bCs w:val="1"/>
          <w:u w:val="single" w:color="auto"/>
          <w:color w:val="auto"/>
        </w:rPr>
        <w:t>EXHIBIT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hereby promises to pay to ____________________ or its registered</w:t>
      </w:r>
    </w:p>
    <w:p>
      <w:pPr>
        <w:spacing w:after="0" w:line="39"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assigns (the “</w:t>
      </w:r>
      <w:r>
        <w:rPr>
          <w:rFonts w:ascii="Arial" w:cs="Arial" w:eastAsia="Arial" w:hAnsi="Arial"/>
          <w:sz w:val="19"/>
          <w:szCs w:val="19"/>
          <w:u w:val="single" w:color="auto"/>
          <w:color w:val="auto"/>
        </w:rPr>
        <w:t>Lender</w:t>
      </w:r>
      <w:r>
        <w:rPr>
          <w:rFonts w:ascii="Arial" w:cs="Arial" w:eastAsia="Arial" w:hAnsi="Arial"/>
          <w:sz w:val="19"/>
          <w:szCs w:val="19"/>
          <w:color w:val="auto"/>
        </w:rPr>
        <w:t>”), in accordance with the provisions of the Credit Agreement (as defined below), the principal amount of each Loan from time to time made by the Lender to the undersigned under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Guarantors party thereto, the Lenders (as such term is defined in the Credit Agreement) from time to time party thereto, Bank of America, N.A., as the Administrative Agent, the Swingline Lender, and an L/C Issuer, and the other L/C Issuers party thereto.</w:t>
      </w:r>
    </w:p>
    <w:p>
      <w:pPr>
        <w:spacing w:after="0" w:line="188"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undersigned promises to pay interest on the unpaid principal amount of each Loan from the date of such Loan until such principal amount is paid in full, at such interest rates and at such times as provided in the Credit Agreement. [Except as set forth in Section 2.04(f) of the Credit Agreement with respect to Swingline Loans, all][All]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6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This Note is one of the Notes referred to in the Credit Agreement, is entitled to the benefits thereof and may be prepaid in whole or in part subject to the terms and conditions provided therein. Upon the occurrence and continuation of one or more Event of Default specified in the Credit Agreement, all amounts then remaining unpaid on this Note shall become, or may be declared to be, immediately due and payable all as provided in the Credit Agreement. Each Loan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93"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The undersigned, for itself, its successors and assigns, hereby waives diligence, presentment, protest and demand and notice of protest, demand, dishonor and non-payment of this Note.</w:t>
      </w:r>
    </w:p>
    <w:p>
      <w:pPr>
        <w:spacing w:after="0" w:line="177"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THIS NOTE AND ANY CLAIMS, CONTROVERSY, DISPUTE OR CAUSE OF ACTION (WHETHER IN CONTRACT OR TORT OR OTHERWISE) BASED UPON, ARISING OUT OF OR RELATING TO THIS NOTE AND THE TRANSACTIONS CONTEMPLATED HEREBY SHALL BE GOVERNED BY, AND CONSTRUED IN ACCORDANCE WITH, THE LAW OF THE STATE OF NEW YORK.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91" w:name="page392"/>
    <w:bookmarkEnd w:id="391"/>
    <w:p>
      <w:pPr>
        <w:ind w:firstLine="648"/>
        <w:spacing w:after="0" w:line="250" w:lineRule="auto"/>
        <w:rPr>
          <w:sz w:val="20"/>
          <w:szCs w:val="20"/>
          <w:color w:val="auto"/>
        </w:rPr>
      </w:pPr>
      <w:r>
        <w:rPr>
          <w:rFonts w:ascii="Arial" w:cs="Arial" w:eastAsia="Arial" w:hAnsi="Arial"/>
          <w:sz w:val="22"/>
          <w:szCs w:val="22"/>
          <w:color w:val="auto"/>
        </w:rPr>
        <w:t>IN WITNESS WHEREOF, the undersigned has caused this Note to be duly executed and delivered by its officer thereunto duly authorized.</w:t>
      </w:r>
    </w:p>
    <w:p>
      <w:pPr>
        <w:spacing w:after="0" w:line="19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901" w:right="1159" w:bottom="1440" w:gutter="0" w:footer="0" w:header="0"/>
        </w:sectPr>
      </w:pPr>
    </w:p>
    <w:bookmarkStart w:id="392" w:name="page393"/>
    <w:bookmarkEnd w:id="392"/>
    <w:p>
      <w:pPr>
        <w:jc w:val="center"/>
        <w:ind w:right="-39"/>
        <w:spacing w:after="0"/>
        <w:rPr>
          <w:sz w:val="20"/>
          <w:szCs w:val="20"/>
          <w:color w:val="auto"/>
        </w:rPr>
      </w:pPr>
      <w:r>
        <w:rPr>
          <w:rFonts w:ascii="Arial" w:cs="Arial" w:eastAsia="Arial" w:hAnsi="Arial"/>
          <w:sz w:val="20"/>
          <w:szCs w:val="20"/>
          <w:b w:val="1"/>
          <w:bCs w:val="1"/>
          <w:u w:val="single" w:color="auto"/>
          <w:color w:val="auto"/>
        </w:rPr>
        <w:t>EXHIBIT J-1</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Pursuant to the provisions of Section 3.01(f)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shareholder of the Borrower within the meaning of Section 881(c)(3)(B) of the Code, and (d) it is not a controlled foreign corporation related to the Borrower as described in Section 881(c)(3)(C) of the Code.</w:t>
      </w:r>
    </w:p>
    <w:p>
      <w:pPr>
        <w:spacing w:after="0" w:line="180"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W-8BEN-E (or W-8BEN, as applicable).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-14605</wp:posOffset>
            </wp:positionV>
            <wp:extent cx="54800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548005" cy="8890"/>
                    </a:xfrm>
                    <a:prstGeom prst="rect">
                      <a:avLst/>
                    </a:prstGeom>
                    <a:noFill/>
                  </pic:spPr>
                </pic:pic>
              </a:graphicData>
            </a:graphic>
          </wp:anchor>
        </w:drawing>
      </w:r>
    </w:p>
    <w:p>
      <w:pPr>
        <w:sectPr>
          <w:pgSz w:w="11900" w:h="16838" w:orient="portrait"/>
          <w:cols w:equalWidth="0" w:num="1">
            <w:col w:w="9900"/>
          </w:cols>
          <w:pgMar w:left="980" w:top="900" w:right="1019" w:bottom="1440" w:gutter="0" w:footer="0" w:header="0"/>
        </w:sectPr>
      </w:pPr>
    </w:p>
    <w:bookmarkStart w:id="393" w:name="page394"/>
    <w:bookmarkEnd w:id="393"/>
    <w:p>
      <w:pPr>
        <w:jc w:val="center"/>
        <w:ind w:right="-39"/>
        <w:spacing w:after="0"/>
        <w:rPr>
          <w:sz w:val="20"/>
          <w:szCs w:val="20"/>
          <w:color w:val="auto"/>
        </w:rPr>
      </w:pPr>
      <w:r>
        <w:rPr>
          <w:rFonts w:ascii="Arial" w:cs="Arial" w:eastAsia="Arial" w:hAnsi="Arial"/>
          <w:sz w:val="20"/>
          <w:szCs w:val="20"/>
          <w:b w:val="1"/>
          <w:bCs w:val="1"/>
          <w:u w:val="single" w:color="auto"/>
          <w:color w:val="auto"/>
        </w:rPr>
        <w:t>EXHIBIT J-2</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Pursuant to the provisions of Section 3.01(f)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the Borrower within the meaning of Section 881(c)(3)(B) of the Code, and (d) it is not a controlled foreign corporation related to the Borrower as described in Section 881(c)(3)(C) of the Code.</w:t>
      </w:r>
    </w:p>
    <w:p>
      <w:pPr>
        <w:spacing w:after="0" w:line="194"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W-8BEN-E (or W-8BEN, as applicable).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-14605</wp:posOffset>
            </wp:positionV>
            <wp:extent cx="54800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548005" cy="8890"/>
                    </a:xfrm>
                    <a:prstGeom prst="rect">
                      <a:avLst/>
                    </a:prstGeom>
                    <a:noFill/>
                  </pic:spPr>
                </pic:pic>
              </a:graphicData>
            </a:graphic>
          </wp:anchor>
        </w:drawing>
      </w:r>
    </w:p>
    <w:p>
      <w:pPr>
        <w:sectPr>
          <w:pgSz w:w="11900" w:h="16838" w:orient="portrait"/>
          <w:cols w:equalWidth="0" w:num="1">
            <w:col w:w="9900"/>
          </w:cols>
          <w:pgMar w:left="980" w:top="900" w:right="1019" w:bottom="1440" w:gutter="0" w:footer="0" w:header="0"/>
        </w:sectPr>
      </w:pPr>
    </w:p>
    <w:bookmarkStart w:id="394" w:name="page395"/>
    <w:bookmarkEnd w:id="394"/>
    <w:p>
      <w:pPr>
        <w:jc w:val="center"/>
        <w:ind w:right="-39"/>
        <w:spacing w:after="0"/>
        <w:rPr>
          <w:sz w:val="20"/>
          <w:szCs w:val="20"/>
          <w:color w:val="auto"/>
        </w:rPr>
      </w:pPr>
      <w:r>
        <w:rPr>
          <w:rFonts w:ascii="Arial" w:cs="Arial" w:eastAsia="Arial" w:hAnsi="Arial"/>
          <w:sz w:val="20"/>
          <w:szCs w:val="20"/>
          <w:b w:val="1"/>
          <w:bCs w:val="1"/>
          <w:u w:val="single" w:color="auto"/>
          <w:color w:val="auto"/>
        </w:rPr>
        <w:t>EXHIBIT J-3</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Pursuant to the provisions of Section 3.01(f)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881(c)</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(3)(B) of the Code, and (e) none of its direct or indirect partners/members is a controlled foreign corporation related to the Borrower as described in Section 881(c)(3)(C) of the Code.</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(a) an IRS Form W-8BEN-E (or W-8BEN, as applicable); or (b) an IRS Form W-8IMY accompanied by an IRS Form W-8BEN-E (or W-8BEN, as applicable)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-14605</wp:posOffset>
            </wp:positionV>
            <wp:extent cx="54800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548005" cy="8890"/>
                    </a:xfrm>
                    <a:prstGeom prst="rect">
                      <a:avLst/>
                    </a:prstGeom>
                    <a:noFill/>
                  </pic:spPr>
                </pic:pic>
              </a:graphicData>
            </a:graphic>
          </wp:anchor>
        </w:drawing>
      </w:r>
    </w:p>
    <w:p>
      <w:pPr>
        <w:sectPr>
          <w:pgSz w:w="11900" w:h="16838" w:orient="portrait"/>
          <w:cols w:equalWidth="0" w:num="1">
            <w:col w:w="9900"/>
          </w:cols>
          <w:pgMar w:left="980" w:top="900" w:right="1019"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20"/>
          <w:szCs w:val="20"/>
          <w:b w:val="1"/>
          <w:bCs w:val="1"/>
          <w:u w:val="single" w:color="auto"/>
          <w:color w:val="auto"/>
        </w:rPr>
        <w:t>EXHIBIT J-4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Reference is made to that certain Credit Agreement, dated as of February [__], 2021 (as amended, restated, amended and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Bank of America, N.A., as the Administrative Agent, the Swingline Lender, and an L/C Issuer, and the other L/C Issuers party thereto.</w:t>
      </w:r>
    </w:p>
    <w:p>
      <w:pPr>
        <w:spacing w:after="0" w:line="180"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Pursuant to the provisions of Section 3.01(f)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881(c)(3)(B) of the Code, and (e) none of its direct or indirect partners/members is a controlled foreign corporation related to the Borrower as described in Section 881(c)(3)(C) of the Code.</w:t>
      </w:r>
    </w:p>
    <w:p>
      <w:pPr>
        <w:spacing w:after="0" w:line="170"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The undersigned has furnished the Administrative Agent and the Borrower with IRS Form W-8IMY accompanied by one of the following forms from each of its partners/members that is claiming the portfolio interest exemption: (a) an IRS Form W-8BEN-E (or W-8BEN, as applicable); or (b) an IRS Form W-8IMY accompanied by an IRS Form W-8BEN-E (or W-8BEN, as applicable)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-144780</wp:posOffset>
            </wp:positionV>
            <wp:extent cx="27774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773430</wp:posOffset>
            </wp:positionV>
            <wp:extent cx="629221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-14605</wp:posOffset>
            </wp:positionV>
            <wp:extent cx="54800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Pursuant to Item 601(b)(10)(iv) of Regulation S-K, certain information contained in this document, marked by brackets as [**], has been omitted because it is both (i) not material and (ii) would likely cause competitive harm to the registrant if publically disclosed.</w:t>
      </w:r>
    </w:p>
    <w:p>
      <w:pPr>
        <w:spacing w:after="0" w:line="176"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color w:val="auto"/>
        </w:rPr>
        <w:t>The representations and warranties contained in this agreement were made for the purposes of allocating contractual risk between the parties and not as a means of establishing facts and are qualified by information in disclosure schedules that the parties exchanged in connection with the signing of this agreement. Moreover, the representations and warranties were made only as of the date of execution of this agreement and information concerning the subject matter of the representations and warranties may change after the date of this agreement. Only parties to this agreement have a right to enforce the agreement. Accordingly, third parties, including current securityholders and prospective investors, should not rely on the representations and warranties in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AND PLEDGE AGREEMENT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SECURITY AND PLEDGE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February 19, 2021 among AEROVIRONMENT,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parties identified as “Obligors” on the signature pages hereto, and such other parties that may become Obligors after the date hereof (together with the Borrower, individually an “</w:t>
      </w:r>
      <w:r>
        <w:rPr>
          <w:rFonts w:ascii="Arial" w:cs="Arial" w:eastAsia="Arial" w:hAnsi="Arial"/>
          <w:sz w:val="20"/>
          <w:szCs w:val="20"/>
          <w:u w:val="single" w:color="auto"/>
          <w:color w:val="auto"/>
        </w:rPr>
        <w:t>Obligor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Obligors</w:t>
      </w:r>
      <w:r>
        <w:rPr>
          <w:rFonts w:ascii="Arial" w:cs="Arial" w:eastAsia="Arial" w:hAnsi="Arial"/>
          <w:sz w:val="20"/>
          <w:szCs w:val="20"/>
          <w:color w:val="auto"/>
        </w:rPr>
        <w:t>”), and BANK OF AMERICA, N.A., as the Administrative Agent for the Secured Parties.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pursuant to that certain Credit Agreement, dated as of the date hereof (as amended, restated, amended and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 the Guarantors party thereto, the Lenders from time to time party thereto, Bank of America, N.A., as the Administrative Agent, the Swingline Lender, and an L/C Issuer, and the other L/C Issuers party thereto, the Lenders have agreed to make Loans and the L/C Issuers have agreed to issue Letters of Credit, in each case, upon the terms and subject to the conditions set forth therein; and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this Agreement is required by the terms of the Credit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these premises and other good and valuable consideration, the receipt and sufficiency of which are hereby acknowledged, the parties hereto agree as follows:</w:t>
      </w:r>
    </w:p>
    <w:p>
      <w:pPr>
        <w:spacing w:after="0" w:line="177" w:lineRule="exact"/>
        <w:rPr>
          <w:sz w:val="20"/>
          <w:szCs w:val="20"/>
          <w:color w:val="auto"/>
        </w:rPr>
      </w:pPr>
    </w:p>
    <w:p>
      <w:pPr>
        <w:ind w:left="1300" w:hanging="644"/>
        <w:spacing w:after="0"/>
        <w:tabs>
          <w:tab w:leader="none" w:pos="1300" w:val="left"/>
        </w:tabs>
        <w:numPr>
          <w:ilvl w:val="0"/>
          <w:numId w:val="42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260" w:lineRule="auto"/>
        <w:tabs>
          <w:tab w:leader="none" w:pos="2094" w:val="left"/>
        </w:tabs>
        <w:numPr>
          <w:ilvl w:val="1"/>
          <w:numId w:val="420"/>
        </w:numPr>
        <w:rPr>
          <w:rFonts w:ascii="Arial" w:cs="Arial" w:eastAsia="Arial" w:hAnsi="Arial"/>
          <w:sz w:val="20"/>
          <w:szCs w:val="20"/>
          <w:color w:val="auto"/>
        </w:rPr>
      </w:pPr>
      <w:r>
        <w:rPr>
          <w:rFonts w:ascii="Arial" w:cs="Arial" w:eastAsia="Arial" w:hAnsi="Arial"/>
          <w:sz w:val="20"/>
          <w:szCs w:val="20"/>
          <w:color w:val="auto"/>
        </w:rPr>
        <w:t>Capitalized terms used and not otherwise defined herein shall have the meanings provided in the Credit Agreement.</w:t>
      </w:r>
    </w:p>
    <w:p>
      <w:pPr>
        <w:spacing w:after="0" w:line="176" w:lineRule="exact"/>
        <w:rPr>
          <w:rFonts w:ascii="Arial" w:cs="Arial" w:eastAsia="Arial" w:hAnsi="Arial"/>
          <w:sz w:val="20"/>
          <w:szCs w:val="20"/>
          <w:color w:val="auto"/>
        </w:rPr>
      </w:pPr>
    </w:p>
    <w:p>
      <w:pPr>
        <w:jc w:val="both"/>
        <w:ind w:left="660" w:firstLine="644"/>
        <w:spacing w:after="0" w:line="259" w:lineRule="auto"/>
        <w:tabs>
          <w:tab w:leader="none" w:pos="2071" w:val="left"/>
        </w:tabs>
        <w:numPr>
          <w:ilvl w:val="1"/>
          <w:numId w:val="420"/>
        </w:numPr>
        <w:rPr>
          <w:rFonts w:ascii="Arial" w:cs="Arial" w:eastAsia="Arial" w:hAnsi="Arial"/>
          <w:sz w:val="19"/>
          <w:szCs w:val="19"/>
          <w:color w:val="auto"/>
        </w:rPr>
      </w:pPr>
      <w:r>
        <w:rPr>
          <w:rFonts w:ascii="Arial" w:cs="Arial" w:eastAsia="Arial" w:hAnsi="Arial"/>
          <w:sz w:val="19"/>
          <w:szCs w:val="19"/>
          <w:color w:val="auto"/>
        </w:rPr>
        <w:t>The following terms shall have the meanings set forth in the UCC: Accession, Account, Adverse Claim, As-Extracted Collateral, Chattel Paper, Commercial Tort Claim, Consumer Goods, Deposit Account, Document, Electronic Chattel Paper, Equipment, Farm Products, Financial Asset, Fixtures, General Intangible, Goods, Instrument, Inventory, Investment Company Security, Investment Property, Letter-of-Credit Right, Manufactured Home, Money, Payment Intangible, Proceeds, Securities Account, Securities Entitlement, Securities Intermediary, Security, Software, Supporting Obligation, and Tangible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887095</wp:posOffset>
            </wp:positionV>
            <wp:extent cx="629221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7" w:name="page398"/>
    <w:bookmarkEnd w:id="397"/>
    <w:p>
      <w:pPr>
        <w:ind w:left="840" w:right="1900" w:firstLine="4"/>
        <w:spacing w:after="0" w:line="464" w:lineRule="auto"/>
        <w:tabs>
          <w:tab w:leader="none" w:pos="1494" w:val="left"/>
        </w:tabs>
        <w:numPr>
          <w:ilvl w:val="0"/>
          <w:numId w:val="421"/>
        </w:numPr>
        <w:rPr>
          <w:rFonts w:ascii="Arial" w:cs="Arial" w:eastAsia="Arial" w:hAnsi="Arial"/>
          <w:sz w:val="20"/>
          <w:szCs w:val="20"/>
          <w:color w:val="auto"/>
        </w:rPr>
      </w:pPr>
      <w:r>
        <w:rPr>
          <w:rFonts w:ascii="Arial" w:cs="Arial" w:eastAsia="Arial" w:hAnsi="Arial"/>
          <w:sz w:val="20"/>
          <w:szCs w:val="20"/>
          <w:color w:val="auto"/>
        </w:rPr>
        <w:t>As used herein, the following terms shall have the meanings set forth below: “</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2" w:lineRule="exact"/>
        <w:rPr>
          <w:sz w:val="20"/>
          <w:szCs w:val="20"/>
          <w:color w:val="auto"/>
        </w:rPr>
      </w:pPr>
    </w:p>
    <w:p>
      <w:pPr>
        <w:jc w:val="both"/>
        <w:ind w:left="2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w:t>
      </w:r>
      <w:r>
        <w:rPr>
          <w:rFonts w:ascii="Arial" w:cs="Arial" w:eastAsia="Arial" w:hAnsi="Arial"/>
          <w:sz w:val="20"/>
          <w:szCs w:val="20"/>
          <w:color w:val="auto"/>
        </w:rPr>
        <w:t>” means any agreement, whether written or oral, providing for the grant by or to an Obligor of any right under any Copyright.</w:t>
      </w:r>
    </w:p>
    <w:p>
      <w:pPr>
        <w:spacing w:after="0" w:line="177" w:lineRule="exact"/>
        <w:rPr>
          <w:sz w:val="20"/>
          <w:szCs w:val="20"/>
          <w:color w:val="auto"/>
        </w:rPr>
      </w:pPr>
    </w:p>
    <w:p>
      <w:pPr>
        <w:jc w:val="both"/>
        <w:ind w:lef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(i) all copyrights registered in the United States in all Works, now existing or hereafter created or acquired, all registrations and recordings thereof, and all applications in connection therewith, including registrations, recordings and applications in the United States Copyright Office or in any similar office or agency of the United States, or any state thereof or political subdivision thereof, and (ii) all renewals thereof.</w:t>
      </w:r>
    </w:p>
    <w:p>
      <w:pPr>
        <w:spacing w:after="0" w:line="161" w:lineRule="exact"/>
        <w:rPr>
          <w:sz w:val="20"/>
          <w:szCs w:val="20"/>
          <w:color w:val="auto"/>
        </w:rPr>
      </w:pPr>
    </w:p>
    <w:p>
      <w:pPr>
        <w:jc w:val="both"/>
        <w:ind w:left="20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means any agreement, whether written or oral, providing for the grant by or to an Obligor of any right under any Patent, including any right to manufacture, use or sell any invention covered by a Patent.</w:t>
      </w:r>
    </w:p>
    <w:p>
      <w:pPr>
        <w:spacing w:after="0" w:line="130" w:lineRule="exact"/>
        <w:rPr>
          <w:sz w:val="20"/>
          <w:szCs w:val="20"/>
          <w:color w:val="auto"/>
        </w:rPr>
      </w:pPr>
    </w:p>
    <w:p>
      <w:pPr>
        <w:jc w:val="both"/>
        <w:ind w:left="2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(i) all letters patent of the United States, or any state thereof or political subdivision thereof, and all reissues and extensions thereof, and (ii) all applications for letters patent of the United States and all divisions, continuations and continuations-in-part thereof.</w:t>
      </w:r>
    </w:p>
    <w:p>
      <w:pPr>
        <w:spacing w:after="0" w:line="186" w:lineRule="exact"/>
        <w:rPr>
          <w:sz w:val="20"/>
          <w:szCs w:val="20"/>
          <w:color w:val="auto"/>
        </w:rPr>
      </w:pPr>
    </w:p>
    <w:p>
      <w:pPr>
        <w:jc w:val="both"/>
        <w:ind w:left="20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Equity</w:t>
      </w:r>
      <w:r>
        <w:rPr>
          <w:rFonts w:ascii="Arial" w:cs="Arial" w:eastAsia="Arial" w:hAnsi="Arial"/>
          <w:sz w:val="19"/>
          <w:szCs w:val="19"/>
          <w:color w:val="auto"/>
        </w:rPr>
        <w:t xml:space="preserve">” means, with respect to each Obligor, (i) one hundred percent (100%) of the issued and outstanding Equity Interests directly owned by such Obligor in each of its Domestic Subsidiaries, and (ii) sixty-five percent (65%) of the issued and outstanding Equity Interests entitled to vote (within the meaning of Treas. Reg. Section 1.956-2(c)(2)) and one hundred percent (100%) of the issued and outstanding Equity Interests not entitled to vote (within the meaning of Treas. Reg. Section 1.956-2(c)(2)), in each case, directly owned by such Obligor in each of its Foreign Subsidiaries, including the Equity Interests of the Subsidiaries owned by such Obligor as set forth on </w:t>
      </w:r>
      <w:r>
        <w:rPr>
          <w:rFonts w:ascii="Arial" w:cs="Arial" w:eastAsia="Arial" w:hAnsi="Arial"/>
          <w:sz w:val="19"/>
          <w:szCs w:val="19"/>
          <w:u w:val="single" w:color="auto"/>
          <w:color w:val="auto"/>
        </w:rPr>
        <w:t>Schedule 1(b)</w:t>
      </w:r>
      <w:r>
        <w:rPr>
          <w:rFonts w:ascii="Arial" w:cs="Arial" w:eastAsia="Arial" w:hAnsi="Arial"/>
          <w:sz w:val="19"/>
          <w:szCs w:val="19"/>
          <w:color w:val="auto"/>
        </w:rPr>
        <w:t>, in each case together with the certificates (or other agreements or instruments), if any, representing such Equity Interests, and all options and other rights, contractual or otherwise, with respect thereto, including the following:</w:t>
      </w:r>
    </w:p>
    <w:p>
      <w:pPr>
        <w:spacing w:after="0" w:line="184" w:lineRule="exact"/>
        <w:rPr>
          <w:sz w:val="20"/>
          <w:szCs w:val="20"/>
          <w:color w:val="auto"/>
        </w:rPr>
      </w:pPr>
    </w:p>
    <w:p>
      <w:pPr>
        <w:jc w:val="both"/>
        <w:ind w:left="840" w:firstLine="652"/>
        <w:spacing w:after="0" w:line="259" w:lineRule="auto"/>
        <w:tabs>
          <w:tab w:leader="none" w:pos="2346" w:val="left"/>
        </w:tabs>
        <w:numPr>
          <w:ilvl w:val="0"/>
          <w:numId w:val="422"/>
        </w:numPr>
        <w:rPr>
          <w:rFonts w:ascii="Arial" w:cs="Arial" w:eastAsia="Arial" w:hAnsi="Arial"/>
          <w:sz w:val="19"/>
          <w:szCs w:val="19"/>
          <w:color w:val="auto"/>
        </w:rPr>
      </w:pPr>
      <w:r>
        <w:rPr>
          <w:rFonts w:ascii="Arial" w:cs="Arial" w:eastAsia="Arial" w:hAnsi="Arial"/>
          <w:sz w:val="19"/>
          <w:szCs w:val="19"/>
          <w:color w:val="auto"/>
        </w:rPr>
        <w:t>all shares, securities, membership interests and other Equity Interests or other property representing a dividend or distribution on or in respect or any of the Pledged Equity, or representing a distribution or return of capital upon or in respect of the Pledged Equity, or resulting from a stock split, revision, reclassification or other exchange therefor, and any other dividends, distributions, subscriptions, warrants, cash, securities, instruments, rights, options or other property issued to or received or receivable by the holder of, or otherwise in respect of, the Pledged Equity; and</w:t>
      </w:r>
    </w:p>
    <w:p>
      <w:pPr>
        <w:spacing w:after="0" w:line="178" w:lineRule="exact"/>
        <w:rPr>
          <w:rFonts w:ascii="Arial" w:cs="Arial" w:eastAsia="Arial" w:hAnsi="Arial"/>
          <w:sz w:val="19"/>
          <w:szCs w:val="19"/>
          <w:color w:val="auto"/>
        </w:rPr>
      </w:pPr>
    </w:p>
    <w:p>
      <w:pPr>
        <w:jc w:val="both"/>
        <w:ind w:left="840" w:firstLine="652"/>
        <w:spacing w:after="0" w:line="246" w:lineRule="auto"/>
        <w:tabs>
          <w:tab w:leader="none" w:pos="2213" w:val="left"/>
        </w:tabs>
        <w:numPr>
          <w:ilvl w:val="0"/>
          <w:numId w:val="422"/>
        </w:numPr>
        <w:rPr>
          <w:rFonts w:ascii="Arial" w:cs="Arial" w:eastAsia="Arial" w:hAnsi="Arial"/>
          <w:sz w:val="20"/>
          <w:szCs w:val="20"/>
          <w:color w:val="auto"/>
        </w:rPr>
      </w:pPr>
      <w:r>
        <w:rPr>
          <w:rFonts w:ascii="Arial" w:cs="Arial" w:eastAsia="Arial" w:hAnsi="Arial"/>
          <w:sz w:val="20"/>
          <w:szCs w:val="20"/>
          <w:color w:val="auto"/>
        </w:rPr>
        <w:t>in the event of any consolidation or merger involving the issuer thereof and in which such issuer is not the surviving Person, all shares of each class of the Equity Interests of the successor Person formed by or resulting from such consolidation or merger, to the extent that such successor Person is a direct Subsidiary of an Obligor.</w:t>
      </w:r>
    </w:p>
    <w:p>
      <w:pPr>
        <w:spacing w:after="0" w:line="191" w:lineRule="exact"/>
        <w:rPr>
          <w:sz w:val="20"/>
          <w:szCs w:val="20"/>
          <w:color w:val="auto"/>
        </w:rPr>
      </w:pPr>
    </w:p>
    <w:p>
      <w:pPr>
        <w:jc w:val="both"/>
        <w:ind w:left="2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means any agreement, whether written or oral, providing for the grant by or to an Obligor of any right to use any Trademark.</w:t>
      </w:r>
    </w:p>
    <w:p>
      <w:pPr>
        <w:spacing w:after="0" w:line="177" w:lineRule="exact"/>
        <w:rPr>
          <w:sz w:val="20"/>
          <w:szCs w:val="20"/>
          <w:color w:val="auto"/>
        </w:rPr>
      </w:pPr>
    </w:p>
    <w:p>
      <w:pPr>
        <w:jc w:val="both"/>
        <w:ind w:left="2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Trademarks</w:t>
      </w:r>
      <w:r>
        <w:rPr>
          <w:rFonts w:ascii="Arial" w:cs="Arial" w:eastAsia="Arial" w:hAnsi="Arial"/>
          <w:sz w:val="20"/>
          <w:szCs w:val="20"/>
          <w:color w:val="auto"/>
        </w:rPr>
        <w:t>” means (i) all trademarks, trade names, corporate names, company names, business names, fictitious business names, trade styles, service marks, logos and other source or business identifiers, and the goodwill associated therewith, now existing or hereafter adopted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98" w:name="page399"/>
    <w:bookmarkEnd w:id="398"/>
    <w:p>
      <w:pPr>
        <w:jc w:val="both"/>
        <w:ind w:left="660"/>
        <w:spacing w:after="0" w:line="250" w:lineRule="auto"/>
        <w:rPr>
          <w:sz w:val="20"/>
          <w:szCs w:val="20"/>
          <w:color w:val="auto"/>
        </w:rPr>
      </w:pPr>
      <w:r>
        <w:rPr>
          <w:rFonts w:ascii="Arial" w:cs="Arial" w:eastAsia="Arial" w:hAnsi="Arial"/>
          <w:sz w:val="20"/>
          <w:szCs w:val="20"/>
          <w:color w:val="auto"/>
        </w:rPr>
        <w:t>acquired, all registrations and recordings thereof, and all applications in connection therewith, whether in the United States Patent and Trademark Office or in any similar office or agency of the United States, any state thereof or any political subdivision thereof, or otherwise, and (ii) all renewals thereof.</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w:t>
      </w:r>
      <w:r>
        <w:rPr>
          <w:rFonts w:ascii="Arial" w:cs="Arial" w:eastAsia="Arial" w:hAnsi="Arial"/>
          <w:sz w:val="20"/>
          <w:szCs w:val="20"/>
          <w:color w:val="auto"/>
        </w:rPr>
        <w:t>” means any work that is subject to copyright protection pursuant to Title 17 of the United States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Code.</w:t>
      </w:r>
    </w:p>
    <w:p>
      <w:pPr>
        <w:spacing w:after="0" w:line="200" w:lineRule="exact"/>
        <w:rPr>
          <w:sz w:val="20"/>
          <w:szCs w:val="20"/>
          <w:color w:val="auto"/>
        </w:rPr>
      </w:pPr>
    </w:p>
    <w:p>
      <w:pPr>
        <w:jc w:val="both"/>
        <w:ind w:firstLine="656"/>
        <w:spacing w:after="0" w:line="271" w:lineRule="auto"/>
        <w:tabs>
          <w:tab w:leader="none" w:pos="1412"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Obligor hereby grants to the Administrative Agent, for the benefit of the Secured Parties, a continuing security interest in, and a right to set off against, any and all right, title and interest of such Obligor in and to all of the following, whether now owned or existing or owned, acquired, or arising hereafter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 all Accounts; (b) all Chattel Paper; (c) those certain Commercial Tort Claims identified on </w:t>
      </w:r>
      <w:r>
        <w:rPr>
          <w:rFonts w:ascii="Arial" w:cs="Arial" w:eastAsia="Arial" w:hAnsi="Arial"/>
          <w:sz w:val="18"/>
          <w:szCs w:val="18"/>
          <w:u w:val="single" w:color="auto"/>
          <w:color w:val="auto"/>
        </w:rPr>
        <w:t>Schedule 2(c)</w:t>
      </w:r>
      <w:r>
        <w:rPr>
          <w:rFonts w:ascii="Arial" w:cs="Arial" w:eastAsia="Arial" w:hAnsi="Arial"/>
          <w:sz w:val="18"/>
          <w:szCs w:val="18"/>
          <w:color w:val="auto"/>
        </w:rPr>
        <w:t>; (d) all Copyrights; (e) all Copyright Licenses; (f) all Deposit Accounts; (g) all Documents; (h) all Equipment; (i) all Fixtures; (j) all General Intangibles; (k) all Goods; (l) all Instruments; (m) all Inventory; (n) all Investment Property; (o) all Letter-of-Credit Rights; (p) all Money; (q) all Patents; (r) all Patent Licenses; (s) all Payment Intangibles; (t) all Pledged Equity; (u) all Software; (v) all Supporting Obligations; (w) all Trademarks; (x) all Trademark Licenses; and (y) all Accessions and all Proceeds of any and all of the foregoing.</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to the contrary contained herein, the security interests granted under this Agreement shall not extend to, and the defined term “Collateral” shall not include, any Excluded Property.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Obligors and the Administrative Agent, on behalf of the Secured Parties, hereby acknowledge and agree that the security interest created hereby in the Collateral (i) constitutes continuing collateral security for all of the Secured Obligations, whether now existing or hereafter arising, and (ii) is not and shall not be construed as an assignment of any Copyrights, Copyright Licenses, Patents, Patent Licenses, Trademarks or Trademark Licenses.</w:t>
      </w:r>
    </w:p>
    <w:p>
      <w:pPr>
        <w:spacing w:after="0" w:line="176" w:lineRule="exact"/>
        <w:rPr>
          <w:sz w:val="20"/>
          <w:szCs w:val="20"/>
          <w:color w:val="auto"/>
        </w:rPr>
      </w:pPr>
    </w:p>
    <w:p>
      <w:pPr>
        <w:ind w:right="20" w:firstLine="656"/>
        <w:spacing w:after="0" w:line="260" w:lineRule="auto"/>
        <w:tabs>
          <w:tab w:leader="none" w:pos="1318" w:val="left"/>
        </w:tabs>
        <w:numPr>
          <w:ilvl w:val="0"/>
          <w:numId w:val="42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Obligor hereby represents and warrants to the Administrative Agent, for the benefit of the Secured Parties, that:</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2108" w:val="left"/>
        </w:tabs>
        <w:numPr>
          <w:ilvl w:val="1"/>
          <w:numId w:val="424"/>
        </w:numPr>
        <w:rPr>
          <w:rFonts w:ascii="Arial" w:cs="Arial" w:eastAsia="Arial" w:hAnsi="Arial"/>
          <w:sz w:val="20"/>
          <w:szCs w:val="20"/>
          <w:color w:val="auto"/>
        </w:rPr>
      </w:pPr>
      <w:r>
        <w:rPr>
          <w:rFonts w:ascii="Arial" w:cs="Arial" w:eastAsia="Arial" w:hAnsi="Arial"/>
          <w:sz w:val="20"/>
          <w:szCs w:val="20"/>
          <w:u w:val="single" w:color="auto"/>
          <w:color w:val="auto"/>
        </w:rPr>
        <w:t>Ownership</w:t>
      </w:r>
      <w:r>
        <w:rPr>
          <w:rFonts w:ascii="Arial" w:cs="Arial" w:eastAsia="Arial" w:hAnsi="Arial"/>
          <w:sz w:val="20"/>
          <w:szCs w:val="20"/>
          <w:color w:val="auto"/>
        </w:rPr>
        <w:t>. Such Obligor is the legal and beneficial owner of its Collateral and has the right to pledge, sell, assign or transfer the same. There exists no Adverse Claim with respect to the Pledged Equity of such Obligor.</w:t>
      </w:r>
    </w:p>
    <w:p>
      <w:pPr>
        <w:spacing w:after="0" w:line="185" w:lineRule="exact"/>
        <w:rPr>
          <w:rFonts w:ascii="Arial" w:cs="Arial" w:eastAsia="Arial" w:hAnsi="Arial"/>
          <w:sz w:val="20"/>
          <w:szCs w:val="20"/>
          <w:color w:val="auto"/>
        </w:rPr>
      </w:pPr>
    </w:p>
    <w:p>
      <w:pPr>
        <w:jc w:val="both"/>
        <w:ind w:left="660" w:firstLine="644"/>
        <w:spacing w:after="0" w:line="255" w:lineRule="auto"/>
        <w:tabs>
          <w:tab w:leader="none" w:pos="2335" w:val="left"/>
        </w:tabs>
        <w:numPr>
          <w:ilvl w:val="1"/>
          <w:numId w:val="424"/>
        </w:numPr>
        <w:rPr>
          <w:rFonts w:ascii="Arial" w:cs="Arial" w:eastAsia="Arial" w:hAnsi="Arial"/>
          <w:sz w:val="19"/>
          <w:szCs w:val="19"/>
          <w:color w:val="auto"/>
        </w:rPr>
      </w:pPr>
      <w:r>
        <w:rPr>
          <w:rFonts w:ascii="Arial" w:cs="Arial" w:eastAsia="Arial" w:hAnsi="Arial"/>
          <w:sz w:val="19"/>
          <w:szCs w:val="19"/>
          <w:u w:val="single" w:color="auto"/>
          <w:color w:val="auto"/>
        </w:rPr>
        <w:t>Security Interest/Priority</w:t>
      </w:r>
      <w:r>
        <w:rPr>
          <w:rFonts w:ascii="Arial" w:cs="Arial" w:eastAsia="Arial" w:hAnsi="Arial"/>
          <w:sz w:val="19"/>
          <w:szCs w:val="19"/>
          <w:color w:val="auto"/>
        </w:rPr>
        <w:t>. This Agreement creates a valid security interest in favor of the Administrative Agent, for the benefit of the Secured Parties, in the Collateral of such Obligor and, when properly perfected by filing of a UCC financing statement, shall constitute a valid, perfected, first priority (subject to Permitted Liens) security interest in such Collateral (including all uncertificated Pledged Equity consisting of partnership or limited liability company interests that do not constitute Securities), to the extent such security interest can be perfected by filing a financing statement under the UCC, free and clear of all Liens other than Permitted Liens. The taking of possession by the Administrative Agent of the certificated securities (if any) evidencing the Pledged Equity (delivered in suitable form for transfer by delivery or accompanied by duly executed instruments of transfer or assignment in blank), and any Instrument, Document, Tangible Chattel Paper or Money constituting Collateral of such Obligor will perfect and establish the first priority (subject to Permitted Liens) of the Administrative Agent’s security interest in all the Pledged Equity evidenced by such certificated securities and such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99" w:name="page400"/>
    <w:bookmarkEnd w:id="399"/>
    <w:p>
      <w:pPr>
        <w:jc w:val="both"/>
        <w:ind w:left="200"/>
        <w:spacing w:after="0" w:line="257" w:lineRule="auto"/>
        <w:rPr>
          <w:sz w:val="20"/>
          <w:szCs w:val="20"/>
          <w:color w:val="auto"/>
        </w:rPr>
      </w:pPr>
      <w:r>
        <w:rPr>
          <w:rFonts w:ascii="Arial" w:cs="Arial" w:eastAsia="Arial" w:hAnsi="Arial"/>
          <w:sz w:val="19"/>
          <w:szCs w:val="19"/>
          <w:color w:val="auto"/>
        </w:rPr>
        <w:t>Documents, Tangible Chattel Paper and Money, subject to, in the case of any pledge of (i) the Pledged Equity of such Obligor in any Foreign Subsidiary or (ii) intercompany Indebtedness owed by any Foreign Subsidiary to such Obligor, the effect of foreign Laws, rules, and regulations as they relate to the enforcement of any such pledge. With respect to any Collateral of such Obligor consisting of a Deposit Account, Securities Entitlement or held in a Securities Account, upon execution and delivery by such Obligor, the applicable depository bank or Securities Intermediary and the Administrative Agent of an agreement granting control (within the meaning of the UCC) to the Administrative Agent over such Collateral, the Administrative Agent shall have a valid and perfected, first priority (subject to Permitted Liens) security interest in such Collateral.</w:t>
      </w:r>
    </w:p>
    <w:p>
      <w:pPr>
        <w:spacing w:after="0" w:line="180" w:lineRule="exact"/>
        <w:rPr>
          <w:sz w:val="20"/>
          <w:szCs w:val="20"/>
          <w:color w:val="auto"/>
        </w:rPr>
      </w:pPr>
    </w:p>
    <w:p>
      <w:pPr>
        <w:ind w:left="200" w:firstLine="644"/>
        <w:spacing w:after="0" w:line="316" w:lineRule="auto"/>
        <w:tabs>
          <w:tab w:leader="none" w:pos="1567"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Types of Collateral</w:t>
      </w:r>
      <w:r>
        <w:rPr>
          <w:rFonts w:ascii="Arial" w:cs="Arial" w:eastAsia="Arial" w:hAnsi="Arial"/>
          <w:sz w:val="18"/>
          <w:szCs w:val="18"/>
          <w:color w:val="auto"/>
        </w:rPr>
        <w:t>. None of the Collateral of such Obligor consists of, or is the Accessions or the Proceeds of, As-Extracted Collateral, Consumer Goods, Farm Products, Manufactured Homes, or standing timber.</w:t>
      </w:r>
    </w:p>
    <w:p>
      <w:pPr>
        <w:spacing w:after="0" w:line="129" w:lineRule="exact"/>
        <w:rPr>
          <w:rFonts w:ascii="Arial" w:cs="Arial" w:eastAsia="Arial" w:hAnsi="Arial"/>
          <w:sz w:val="18"/>
          <w:szCs w:val="18"/>
          <w:color w:val="auto"/>
        </w:rPr>
      </w:pPr>
    </w:p>
    <w:p>
      <w:pPr>
        <w:jc w:val="both"/>
        <w:ind w:left="200" w:firstLine="644"/>
        <w:spacing w:after="0" w:line="270" w:lineRule="auto"/>
        <w:tabs>
          <w:tab w:leader="none" w:pos="1834"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(i) Each Account of such Obligor that constitutes Collateral and the papers and documents relating thereto are genuine and in all material respects accurate and what they purport to be, (ii) each such Account arises out of (A) a bona fide sale of goods sold and delivered by such Obligor (or is in the process of being delivered), or (B) services theretofore actually rendered by such Obligor to, the account debtor named therein,</w:t>
      </w:r>
    </w:p>
    <w:p>
      <w:pPr>
        <w:spacing w:after="0" w:line="2" w:lineRule="exact"/>
        <w:rPr>
          <w:rFonts w:ascii="Arial" w:cs="Arial" w:eastAsia="Arial" w:hAnsi="Arial"/>
          <w:sz w:val="18"/>
          <w:szCs w:val="18"/>
          <w:color w:val="auto"/>
        </w:rPr>
      </w:pPr>
    </w:p>
    <w:p>
      <w:pPr>
        <w:ind w:left="560" w:hanging="364"/>
        <w:spacing w:after="0"/>
        <w:tabs>
          <w:tab w:leader="none" w:pos="5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no such Account is evidenced by any Instrument or Chattel Paper unless, to the extent required under </w:t>
      </w:r>
      <w:r>
        <w:rPr>
          <w:rFonts w:ascii="Arial" w:cs="Arial" w:eastAsia="Arial" w:hAnsi="Arial"/>
          <w:sz w:val="18"/>
          <w:szCs w:val="18"/>
          <w:u w:val="single" w:color="auto"/>
          <w:color w:val="auto"/>
        </w:rPr>
        <w:t>Section</w:t>
      </w:r>
    </w:p>
    <w:p>
      <w:pPr>
        <w:spacing w:after="0" w:line="22" w:lineRule="exact"/>
        <w:rPr>
          <w:rFonts w:ascii="Arial" w:cs="Arial" w:eastAsia="Arial" w:hAnsi="Arial"/>
          <w:sz w:val="18"/>
          <w:szCs w:val="18"/>
          <w:color w:val="auto"/>
        </w:rPr>
      </w:pPr>
    </w:p>
    <w:p>
      <w:pPr>
        <w:jc w:val="both"/>
        <w:ind w:left="200"/>
        <w:spacing w:after="0" w:line="241" w:lineRule="auto"/>
        <w:rPr>
          <w:rFonts w:ascii="Arial" w:cs="Arial" w:eastAsia="Arial" w:hAnsi="Arial"/>
          <w:sz w:val="18"/>
          <w:szCs w:val="18"/>
          <w:color w:val="auto"/>
        </w:rPr>
      </w:pPr>
      <w:r>
        <w:rPr>
          <w:rFonts w:ascii="Arial" w:cs="Arial" w:eastAsia="Arial" w:hAnsi="Arial"/>
          <w:sz w:val="20"/>
          <w:szCs w:val="20"/>
          <w:u w:val="single" w:color="auto"/>
          <w:color w:val="auto"/>
        </w:rPr>
        <w:t>4(a)</w:t>
      </w:r>
      <w:r>
        <w:rPr>
          <w:rFonts w:ascii="Arial" w:cs="Arial" w:eastAsia="Arial" w:hAnsi="Arial"/>
          <w:sz w:val="20"/>
          <w:szCs w:val="20"/>
          <w:color w:val="auto"/>
        </w:rPr>
        <w:t>, such Instrument or Chattel Paper has been endorsed over and delivered to, or submitted to the control of, the Administrative Agent, (iv) no surety bond was required or given in connection with any such Account or the contracts or purchase orders out of which they arose, and (v) the right to receive payment under each such Account is assignable.</w:t>
      </w:r>
    </w:p>
    <w:p>
      <w:pPr>
        <w:spacing w:after="0" w:line="194" w:lineRule="exact"/>
        <w:rPr>
          <w:rFonts w:ascii="Arial" w:cs="Arial" w:eastAsia="Arial" w:hAnsi="Arial"/>
          <w:sz w:val="18"/>
          <w:szCs w:val="18"/>
          <w:color w:val="auto"/>
        </w:rPr>
      </w:pPr>
    </w:p>
    <w:p>
      <w:pPr>
        <w:jc w:val="both"/>
        <w:ind w:left="200" w:firstLine="644"/>
        <w:spacing w:after="0" w:line="278" w:lineRule="auto"/>
        <w:tabs>
          <w:tab w:leader="none" w:pos="1553"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Equipment and Inventory</w:t>
      </w:r>
      <w:r>
        <w:rPr>
          <w:rFonts w:ascii="Arial" w:cs="Arial" w:eastAsia="Arial" w:hAnsi="Arial"/>
          <w:sz w:val="18"/>
          <w:szCs w:val="18"/>
          <w:color w:val="auto"/>
        </w:rPr>
        <w:t>. With respect to any Equipment and/or Inventory of such Obligor with a value in excess of $5,000,000, such Obligor has exclusive possession and control of such Equipment and such Inventory except for (i) Equipment leased by such Obligor as a lessee, or (ii) Equipment or Inventory in transit with common carriers. No Inventory of such Obligor with a value in excess of $1,000,000 is held by a Person other than an Obligor pursuant to consignment, sale or return, sale on approval or similar arrangement.</w:t>
      </w:r>
    </w:p>
    <w:p>
      <w:pPr>
        <w:spacing w:after="0" w:line="164" w:lineRule="exact"/>
        <w:rPr>
          <w:rFonts w:ascii="Arial" w:cs="Arial" w:eastAsia="Arial" w:hAnsi="Arial"/>
          <w:sz w:val="18"/>
          <w:szCs w:val="18"/>
          <w:color w:val="auto"/>
        </w:rPr>
      </w:pPr>
    </w:p>
    <w:p>
      <w:pPr>
        <w:jc w:val="both"/>
        <w:ind w:left="200" w:firstLine="644"/>
        <w:spacing w:after="0" w:line="250" w:lineRule="auto"/>
        <w:tabs>
          <w:tab w:leader="none" w:pos="1797" w:val="left"/>
        </w:tabs>
        <w:numPr>
          <w:ilvl w:val="1"/>
          <w:numId w:val="426"/>
        </w:numPr>
        <w:rPr>
          <w:rFonts w:ascii="Arial" w:cs="Arial" w:eastAsia="Arial" w:hAnsi="Arial"/>
          <w:sz w:val="20"/>
          <w:szCs w:val="20"/>
          <w:color w:val="auto"/>
        </w:rPr>
      </w:pPr>
      <w:r>
        <w:rPr>
          <w:rFonts w:ascii="Arial" w:cs="Arial" w:eastAsia="Arial" w:hAnsi="Arial"/>
          <w:sz w:val="20"/>
          <w:szCs w:val="20"/>
          <w:u w:val="single" w:color="auto"/>
          <w:color w:val="auto"/>
        </w:rPr>
        <w:t>Authorization of Pledged Equity</w:t>
      </w:r>
      <w:r>
        <w:rPr>
          <w:rFonts w:ascii="Arial" w:cs="Arial" w:eastAsia="Arial" w:hAnsi="Arial"/>
          <w:sz w:val="20"/>
          <w:szCs w:val="20"/>
          <w:color w:val="auto"/>
        </w:rPr>
        <w:t>. All Pledged Equity being pledged by such Obligor is duly authorized and validly issued, is fully paid and, to the extent applicable, non-assessable and is not subject to the preemptive rights of any Person.</w:t>
      </w:r>
    </w:p>
    <w:p>
      <w:pPr>
        <w:spacing w:after="0" w:line="185" w:lineRule="exact"/>
        <w:rPr>
          <w:rFonts w:ascii="Arial" w:cs="Arial" w:eastAsia="Arial" w:hAnsi="Arial"/>
          <w:sz w:val="20"/>
          <w:szCs w:val="20"/>
          <w:color w:val="auto"/>
        </w:rPr>
      </w:pPr>
    </w:p>
    <w:p>
      <w:pPr>
        <w:jc w:val="both"/>
        <w:ind w:left="200" w:firstLine="644"/>
        <w:spacing w:after="0" w:line="259" w:lineRule="auto"/>
        <w:tabs>
          <w:tab w:leader="none" w:pos="1564" w:val="left"/>
        </w:tabs>
        <w:numPr>
          <w:ilvl w:val="1"/>
          <w:numId w:val="426"/>
        </w:numPr>
        <w:rPr>
          <w:rFonts w:ascii="Arial" w:cs="Arial" w:eastAsia="Arial" w:hAnsi="Arial"/>
          <w:sz w:val="19"/>
          <w:szCs w:val="19"/>
          <w:color w:val="auto"/>
        </w:rPr>
      </w:pPr>
      <w:r>
        <w:rPr>
          <w:rFonts w:ascii="Arial" w:cs="Arial" w:eastAsia="Arial" w:hAnsi="Arial"/>
          <w:sz w:val="19"/>
          <w:szCs w:val="19"/>
          <w:u w:val="single" w:color="auto"/>
          <w:color w:val="auto"/>
        </w:rPr>
        <w:t>No Other Equity Interests, Instruments, etc</w:t>
      </w:r>
      <w:r>
        <w:rPr>
          <w:rFonts w:ascii="Arial" w:cs="Arial" w:eastAsia="Arial" w:hAnsi="Arial"/>
          <w:sz w:val="19"/>
          <w:szCs w:val="19"/>
          <w:color w:val="auto"/>
        </w:rPr>
        <w:t xml:space="preserve">. As of the Closing Date, (i) such Obligor does not own any certificated Equity Interests in any Subsidiary that are required to be pledged and delivered to the Administrative Agent hereunder except as set forth on </w:t>
      </w:r>
      <w:r>
        <w:rPr>
          <w:rFonts w:ascii="Arial" w:cs="Arial" w:eastAsia="Arial" w:hAnsi="Arial"/>
          <w:sz w:val="19"/>
          <w:szCs w:val="19"/>
          <w:u w:val="single" w:color="auto"/>
          <w:color w:val="auto"/>
        </w:rPr>
        <w:t>Schedule 1(b)</w:t>
      </w:r>
      <w:r>
        <w:rPr>
          <w:rFonts w:ascii="Arial" w:cs="Arial" w:eastAsia="Arial" w:hAnsi="Arial"/>
          <w:sz w:val="19"/>
          <w:szCs w:val="19"/>
          <w:color w:val="auto"/>
        </w:rPr>
        <w:t xml:space="preserve">, and (ii) such Obligor does not hold any Instruments, Documents or Tangible Chattel Paper required to be pledged and delivered to the Administrative Agent pursuant to </w:t>
      </w:r>
      <w:r>
        <w:rPr>
          <w:rFonts w:ascii="Arial" w:cs="Arial" w:eastAsia="Arial" w:hAnsi="Arial"/>
          <w:sz w:val="19"/>
          <w:szCs w:val="19"/>
          <w:u w:val="single" w:color="auto"/>
          <w:color w:val="auto"/>
        </w:rPr>
        <w:t>Section 4(a)(i)</w:t>
      </w:r>
      <w:r>
        <w:rPr>
          <w:rFonts w:ascii="Arial" w:cs="Arial" w:eastAsia="Arial" w:hAnsi="Arial"/>
          <w:sz w:val="19"/>
          <w:szCs w:val="19"/>
          <w:color w:val="auto"/>
        </w:rPr>
        <w:t xml:space="preserve"> other than as set forth on </w:t>
      </w:r>
      <w:r>
        <w:rPr>
          <w:rFonts w:ascii="Arial" w:cs="Arial" w:eastAsia="Arial" w:hAnsi="Arial"/>
          <w:sz w:val="19"/>
          <w:szCs w:val="19"/>
          <w:u w:val="single" w:color="auto"/>
          <w:color w:val="auto"/>
        </w:rPr>
        <w:t>Schedule 3(g)</w:t>
      </w:r>
      <w:r>
        <w:rPr>
          <w:rFonts w:ascii="Arial" w:cs="Arial" w:eastAsia="Arial" w:hAnsi="Arial"/>
          <w:sz w:val="19"/>
          <w:szCs w:val="19"/>
          <w:color w:val="auto"/>
        </w:rPr>
        <w:t>. All such certificated securities, Instruments, Documents and Tangible Chattel Paper have been delivered to the Administrative Agent.</w:t>
      </w:r>
    </w:p>
    <w:p>
      <w:pPr>
        <w:spacing w:after="0" w:line="178" w:lineRule="exact"/>
        <w:rPr>
          <w:rFonts w:ascii="Arial" w:cs="Arial" w:eastAsia="Arial" w:hAnsi="Arial"/>
          <w:sz w:val="19"/>
          <w:szCs w:val="19"/>
          <w:color w:val="auto"/>
        </w:rPr>
      </w:pPr>
    </w:p>
    <w:p>
      <w:pPr>
        <w:jc w:val="both"/>
        <w:ind w:left="200" w:firstLine="644"/>
        <w:spacing w:after="0" w:line="260" w:lineRule="auto"/>
        <w:tabs>
          <w:tab w:leader="none" w:pos="1807" w:val="left"/>
        </w:tabs>
        <w:numPr>
          <w:ilvl w:val="1"/>
          <w:numId w:val="426"/>
        </w:numPr>
        <w:rPr>
          <w:rFonts w:ascii="Arial" w:cs="Arial" w:eastAsia="Arial" w:hAnsi="Arial"/>
          <w:sz w:val="19"/>
          <w:szCs w:val="19"/>
          <w:color w:val="auto"/>
        </w:rPr>
      </w:pPr>
      <w:r>
        <w:rPr>
          <w:rFonts w:ascii="Arial" w:cs="Arial" w:eastAsia="Arial" w:hAnsi="Arial"/>
          <w:sz w:val="19"/>
          <w:szCs w:val="19"/>
          <w:u w:val="single" w:color="auto"/>
          <w:color w:val="auto"/>
        </w:rPr>
        <w:t>Partnership and Limited Liability Company Interests</w:t>
      </w:r>
      <w:r>
        <w:rPr>
          <w:rFonts w:ascii="Arial" w:cs="Arial" w:eastAsia="Arial" w:hAnsi="Arial"/>
          <w:sz w:val="19"/>
          <w:szCs w:val="19"/>
          <w:color w:val="auto"/>
        </w:rPr>
        <w:t>. Except as previously disclosed to the Administrative Agent, none of the Collateral of such Obligor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0" w:name="page401"/>
    <w:bookmarkEnd w:id="400"/>
    <w:p>
      <w:pPr>
        <w:jc w:val="both"/>
        <w:ind w:left="200" w:firstLine="644"/>
        <w:spacing w:after="0" w:line="250" w:lineRule="auto"/>
        <w:tabs>
          <w:tab w:leader="none" w:pos="1610" w:val="left"/>
        </w:tabs>
        <w:numPr>
          <w:ilvl w:val="0"/>
          <w:numId w:val="427"/>
        </w:numPr>
        <w:rPr>
          <w:rFonts w:ascii="Arial" w:cs="Arial" w:eastAsia="Arial" w:hAnsi="Arial"/>
          <w:sz w:val="20"/>
          <w:szCs w:val="20"/>
          <w:color w:val="auto"/>
        </w:rPr>
      </w:pPr>
      <w:r>
        <w:rPr>
          <w:rFonts w:ascii="Arial" w:cs="Arial" w:eastAsia="Arial" w:hAnsi="Arial"/>
          <w:sz w:val="20"/>
          <w:szCs w:val="20"/>
          <w:u w:val="single" w:color="auto"/>
          <w:color w:val="auto"/>
        </w:rPr>
        <w:t>Contracts; Agreements; Licenses</w:t>
      </w:r>
      <w:r>
        <w:rPr>
          <w:rFonts w:ascii="Arial" w:cs="Arial" w:eastAsia="Arial" w:hAnsi="Arial"/>
          <w:sz w:val="20"/>
          <w:szCs w:val="20"/>
          <w:color w:val="auto"/>
        </w:rPr>
        <w:t>. Such Obligor has no material contracts, agreements or licenses which are non-assignable by their terms, or as a matter of law, or which prevent the granting of a security interest therein pursuant to terms which are not rendered ineffective pursuant to the UCC.</w:t>
      </w:r>
    </w:p>
    <w:p>
      <w:pPr>
        <w:spacing w:after="0" w:line="185" w:lineRule="exact"/>
        <w:rPr>
          <w:rFonts w:ascii="Arial" w:cs="Arial" w:eastAsia="Arial" w:hAnsi="Arial"/>
          <w:sz w:val="20"/>
          <w:szCs w:val="20"/>
          <w:color w:val="auto"/>
        </w:rPr>
      </w:pPr>
    </w:p>
    <w:p>
      <w:pPr>
        <w:jc w:val="both"/>
        <w:ind w:left="200" w:firstLine="644"/>
        <w:spacing w:after="0" w:line="250" w:lineRule="auto"/>
        <w:tabs>
          <w:tab w:leader="none" w:pos="1664" w:val="left"/>
        </w:tabs>
        <w:numPr>
          <w:ilvl w:val="0"/>
          <w:numId w:val="427"/>
        </w:numPr>
        <w:rPr>
          <w:rFonts w:ascii="Arial" w:cs="Arial" w:eastAsia="Arial" w:hAnsi="Arial"/>
          <w:sz w:val="20"/>
          <w:szCs w:val="20"/>
          <w:color w:val="auto"/>
        </w:rPr>
      </w:pPr>
      <w:r>
        <w:rPr>
          <w:rFonts w:ascii="Arial" w:cs="Arial" w:eastAsia="Arial" w:hAnsi="Arial"/>
          <w:sz w:val="20"/>
          <w:szCs w:val="20"/>
          <w:u w:val="single" w:color="auto"/>
          <w:color w:val="auto"/>
        </w:rPr>
        <w:t>Mergers, Etc</w:t>
      </w:r>
      <w:r>
        <w:rPr>
          <w:rFonts w:ascii="Arial" w:cs="Arial" w:eastAsia="Arial" w:hAnsi="Arial"/>
          <w:sz w:val="20"/>
          <w:szCs w:val="20"/>
          <w:color w:val="auto"/>
        </w:rPr>
        <w:t xml:space="preserve">. Other than (i) the Closing Date Acquisition and (ii) as set forth on </w:t>
      </w:r>
      <w:r>
        <w:rPr>
          <w:rFonts w:ascii="Arial" w:cs="Arial" w:eastAsia="Arial" w:hAnsi="Arial"/>
          <w:sz w:val="20"/>
          <w:szCs w:val="20"/>
          <w:u w:val="single" w:color="auto"/>
          <w:color w:val="auto"/>
        </w:rPr>
        <w:t>Schedule 3(j)</w:t>
      </w:r>
      <w:r>
        <w:rPr>
          <w:rFonts w:ascii="Arial" w:cs="Arial" w:eastAsia="Arial" w:hAnsi="Arial"/>
          <w:sz w:val="20"/>
          <w:szCs w:val="20"/>
          <w:color w:val="auto"/>
        </w:rPr>
        <w:t>, such Obligor has not been party to a merger, consolidation or other change in structure or used any tradename in the five (5) years preceding the date of this Agreement.</w:t>
      </w:r>
    </w:p>
    <w:p>
      <w:pPr>
        <w:spacing w:after="0" w:line="185" w:lineRule="exact"/>
        <w:rPr>
          <w:rFonts w:ascii="Arial" w:cs="Arial" w:eastAsia="Arial" w:hAnsi="Arial"/>
          <w:sz w:val="20"/>
          <w:szCs w:val="20"/>
          <w:color w:val="auto"/>
        </w:rPr>
      </w:pPr>
    </w:p>
    <w:p>
      <w:pPr>
        <w:jc w:val="both"/>
        <w:ind w:left="200" w:firstLine="644"/>
        <w:spacing w:after="0" w:line="269" w:lineRule="auto"/>
        <w:tabs>
          <w:tab w:leader="none" w:pos="1591"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There are no restrictions in any Organization Document of such Obligor governing any Pledged Equity or any other document related thereto which would limit or restrict (i) the grant of a Lien pursuant to this Agreement on such Pledged Equity, (ii) the perfection of such Lien, or (iii) the exercise of remedies in respect of such perfected Lien in the Pledged Equity as contemplated by this Agreement. Except for (A) the filing or recording of UCC financing statements, (B) the filing of appropriate notices with the United States Patent and Trademark Office and the United States Copyright Office, (C) obtaining control to perfect the Liens created by this Agreement (to the extent required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(D) such actions as may be required by Laws affecting the offering and sale of securities, (E) such actions as may be required by applicable foreign Laws affecting the pledge of the Pledged Equity of Foreign Subsidiaries, and (F) consents, authorizations, filings or other actions which have been obtained or made, no consent or authorization of, filing with, or other act by or in respect of, any arbitrator or Governmental Authority and no consent of any other Person (including any stockholder, member or creditor of such Obligor), is required for (1) the grant by such Obligor of the security interest in the Collateral granted hereby or for the execution, delivery or performance of this Agreement by such Obligor, (2) the perfection of such security interest (to the extent such security interest can be perfected by filing under the UCC, the granting of control (to the extent required under </w:t>
      </w:r>
      <w:r>
        <w:rPr>
          <w:rFonts w:ascii="Arial" w:cs="Arial" w:eastAsia="Arial" w:hAnsi="Arial"/>
          <w:sz w:val="18"/>
          <w:szCs w:val="18"/>
          <w:u w:val="single" w:color="auto"/>
          <w:color w:val="auto"/>
        </w:rPr>
        <w:t>Section 4(a)</w:t>
      </w:r>
      <w:r>
        <w:rPr>
          <w:rFonts w:ascii="Arial" w:cs="Arial" w:eastAsia="Arial" w:hAnsi="Arial"/>
          <w:sz w:val="18"/>
          <w:szCs w:val="18"/>
          <w:color w:val="auto"/>
        </w:rPr>
        <w:t>) or by filing an appropriate notice with the United States Patent and Trademark Office or the United States Copyright Office), or (3) the exercise by the Administrative Agent or the Secured Parties of the rights and remedies provided for in this Agreement.</w:t>
      </w:r>
    </w:p>
    <w:p>
      <w:pPr>
        <w:spacing w:after="0" w:line="173" w:lineRule="exact"/>
        <w:rPr>
          <w:rFonts w:ascii="Arial" w:cs="Arial" w:eastAsia="Arial" w:hAnsi="Arial"/>
          <w:sz w:val="18"/>
          <w:szCs w:val="18"/>
          <w:color w:val="auto"/>
        </w:rPr>
      </w:pPr>
    </w:p>
    <w:p>
      <w:pPr>
        <w:ind w:left="200" w:firstLine="644"/>
        <w:spacing w:after="0" w:line="287" w:lineRule="auto"/>
        <w:tabs>
          <w:tab w:leader="none" w:pos="1529" w:val="left"/>
        </w:tabs>
        <w:numPr>
          <w:ilvl w:val="0"/>
          <w:numId w:val="427"/>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As of the Closing Date, such Obligor does not have any Commercial Tort Claims seeking damages in excess of $500,000 other than those listed on </w:t>
      </w:r>
      <w:r>
        <w:rPr>
          <w:rFonts w:ascii="Arial" w:cs="Arial" w:eastAsia="Arial" w:hAnsi="Arial"/>
          <w:sz w:val="19"/>
          <w:szCs w:val="19"/>
          <w:u w:val="single" w:color="auto"/>
          <w:color w:val="auto"/>
        </w:rPr>
        <w:t>Schedule 2(c)</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520" w:hanging="676"/>
        <w:spacing w:after="0"/>
        <w:tabs>
          <w:tab w:leader="none" w:pos="1520" w:val="left"/>
        </w:tabs>
        <w:numPr>
          <w:ilvl w:val="0"/>
          <w:numId w:val="427"/>
        </w:numPr>
        <w:rPr>
          <w:rFonts w:ascii="Arial" w:cs="Arial" w:eastAsia="Arial" w:hAnsi="Arial"/>
          <w:sz w:val="20"/>
          <w:szCs w:val="20"/>
          <w:color w:val="auto"/>
        </w:rPr>
      </w:pPr>
      <w:r>
        <w:rPr>
          <w:rFonts w:ascii="Arial" w:cs="Arial" w:eastAsia="Arial" w:hAnsi="Arial"/>
          <w:sz w:val="20"/>
          <w:szCs w:val="20"/>
          <w:u w:val="single" w:color="auto"/>
          <w:color w:val="auto"/>
        </w:rPr>
        <w:t>Copyrights, Patents and Trademarks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0" w:lineRule="auto"/>
        <w:tabs>
          <w:tab w:leader="none" w:pos="2295" w:val="left"/>
        </w:tabs>
        <w:numPr>
          <w:ilvl w:val="1"/>
          <w:numId w:val="427"/>
        </w:numPr>
        <w:rPr>
          <w:rFonts w:ascii="Arial" w:cs="Arial" w:eastAsia="Arial" w:hAnsi="Arial"/>
          <w:sz w:val="20"/>
          <w:szCs w:val="20"/>
          <w:color w:val="auto"/>
        </w:rPr>
      </w:pPr>
      <w:r>
        <w:rPr>
          <w:rFonts w:ascii="Arial" w:cs="Arial" w:eastAsia="Arial" w:hAnsi="Arial"/>
          <w:sz w:val="20"/>
          <w:szCs w:val="20"/>
          <w:color w:val="auto"/>
        </w:rPr>
        <w:t>To the best of such Obligor’s knowledge, each Copyright, Patent and Trademark of such Obligor that is material to the business of such Obligor and which constitutes Collateral is valid, subsisting, unexpired, enforceable and has not been abandoned.</w:t>
      </w:r>
    </w:p>
    <w:p>
      <w:pPr>
        <w:spacing w:after="0" w:line="185" w:lineRule="exact"/>
        <w:rPr>
          <w:rFonts w:ascii="Arial" w:cs="Arial" w:eastAsia="Arial" w:hAnsi="Arial"/>
          <w:sz w:val="20"/>
          <w:szCs w:val="20"/>
          <w:color w:val="auto"/>
        </w:rPr>
      </w:pPr>
    </w:p>
    <w:p>
      <w:pPr>
        <w:jc w:val="both"/>
        <w:ind w:left="840" w:firstLine="652"/>
        <w:spacing w:after="0" w:line="246" w:lineRule="auto"/>
        <w:tabs>
          <w:tab w:leader="none" w:pos="2420" w:val="left"/>
        </w:tabs>
        <w:numPr>
          <w:ilvl w:val="1"/>
          <w:numId w:val="427"/>
        </w:numPr>
        <w:rPr>
          <w:rFonts w:ascii="Arial" w:cs="Arial" w:eastAsia="Arial" w:hAnsi="Arial"/>
          <w:sz w:val="20"/>
          <w:szCs w:val="20"/>
          <w:color w:val="auto"/>
        </w:rPr>
      </w:pPr>
      <w:r>
        <w:rPr>
          <w:rFonts w:ascii="Arial" w:cs="Arial" w:eastAsia="Arial" w:hAnsi="Arial"/>
          <w:sz w:val="20"/>
          <w:szCs w:val="20"/>
          <w:color w:val="auto"/>
        </w:rPr>
        <w:t>To the best of such Obligor’s knowledge, no holding, decision or judgment has been rendered by any Governmental Authority that would limit, cancel or question the validity of any Copyright, Patent or Trademark of such Obligor that is material to the business of such Obligor, and which constitutes Collateral, in any material respect.</w:t>
      </w:r>
    </w:p>
    <w:p>
      <w:pPr>
        <w:spacing w:after="0" w:line="191" w:lineRule="exact"/>
        <w:rPr>
          <w:rFonts w:ascii="Arial" w:cs="Arial" w:eastAsia="Arial" w:hAnsi="Arial"/>
          <w:sz w:val="20"/>
          <w:szCs w:val="20"/>
          <w:color w:val="auto"/>
        </w:rPr>
      </w:pPr>
    </w:p>
    <w:p>
      <w:pPr>
        <w:jc w:val="both"/>
        <w:ind w:left="840" w:firstLine="652"/>
        <w:spacing w:after="0" w:line="250" w:lineRule="auto"/>
        <w:tabs>
          <w:tab w:leader="none" w:pos="2153" w:val="left"/>
        </w:tabs>
        <w:numPr>
          <w:ilvl w:val="1"/>
          <w:numId w:val="427"/>
        </w:numPr>
        <w:rPr>
          <w:rFonts w:ascii="Arial" w:cs="Arial" w:eastAsia="Arial" w:hAnsi="Arial"/>
          <w:sz w:val="20"/>
          <w:szCs w:val="20"/>
          <w:color w:val="auto"/>
        </w:rPr>
      </w:pPr>
      <w:r>
        <w:rPr>
          <w:rFonts w:ascii="Arial" w:cs="Arial" w:eastAsia="Arial" w:hAnsi="Arial"/>
          <w:sz w:val="20"/>
          <w:szCs w:val="20"/>
          <w:color w:val="auto"/>
        </w:rPr>
        <w:t>To the best of such Obligor’s knowledge, no action or proceeding is pending (A) seeking to limit, cancel or question the validity of any Copyright, Patent or Trademark of such Obligor that is material to the business of such Obligor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1" w:name="page402"/>
    <w:bookmarkEnd w:id="401"/>
    <w:p>
      <w:pPr>
        <w:jc w:val="both"/>
        <w:ind w:left="1300"/>
        <w:spacing w:after="0" w:line="250" w:lineRule="auto"/>
        <w:rPr>
          <w:sz w:val="20"/>
          <w:szCs w:val="20"/>
          <w:color w:val="auto"/>
        </w:rPr>
      </w:pPr>
      <w:r>
        <w:rPr>
          <w:rFonts w:ascii="Arial" w:cs="Arial" w:eastAsia="Arial" w:hAnsi="Arial"/>
          <w:sz w:val="20"/>
          <w:szCs w:val="20"/>
          <w:color w:val="auto"/>
        </w:rPr>
        <w:t>constitutes Collateral, in any material respect or (B) that could reasonably be expected to have a material adverse effect on the value of any Copyright, Patent or Trademark of such Obligor that is material to the business of such Obligor and which constitutes Collateral.</w:t>
      </w:r>
    </w:p>
    <w:p>
      <w:pPr>
        <w:spacing w:after="0" w:line="186" w:lineRule="exact"/>
        <w:rPr>
          <w:sz w:val="20"/>
          <w:szCs w:val="20"/>
          <w:color w:val="auto"/>
        </w:rPr>
      </w:pPr>
    </w:p>
    <w:p>
      <w:pPr>
        <w:jc w:val="both"/>
        <w:ind w:left="1300" w:firstLine="652"/>
        <w:spacing w:after="0" w:line="263" w:lineRule="auto"/>
        <w:tabs>
          <w:tab w:leader="none" w:pos="2804" w:val="left"/>
        </w:tabs>
        <w:numPr>
          <w:ilvl w:val="2"/>
          <w:numId w:val="428"/>
        </w:numPr>
        <w:rPr>
          <w:rFonts w:ascii="Arial" w:cs="Arial" w:eastAsia="Arial" w:hAnsi="Arial"/>
          <w:sz w:val="19"/>
          <w:szCs w:val="19"/>
          <w:color w:val="auto"/>
        </w:rPr>
      </w:pPr>
      <w:r>
        <w:rPr>
          <w:rFonts w:ascii="Arial" w:cs="Arial" w:eastAsia="Arial" w:hAnsi="Arial"/>
          <w:sz w:val="19"/>
          <w:szCs w:val="19"/>
          <w:color w:val="auto"/>
        </w:rPr>
        <w:t>To the best of such Obligor’s knowledge, all applications pertaining to the Copyrights, Patents and Trademarks of such Obligor that are material to the business of such Obligor and which constitute Collateral have been duly and properly filed, and all registrations or letters pertaining to such Copyrights, Patents and Trademarks have been duly and properly filed and issued.</w:t>
      </w:r>
    </w:p>
    <w:p>
      <w:pPr>
        <w:spacing w:after="0" w:line="176" w:lineRule="exact"/>
        <w:rPr>
          <w:rFonts w:ascii="Arial" w:cs="Arial" w:eastAsia="Arial" w:hAnsi="Arial"/>
          <w:sz w:val="19"/>
          <w:szCs w:val="19"/>
          <w:color w:val="auto"/>
        </w:rPr>
      </w:pPr>
    </w:p>
    <w:p>
      <w:pPr>
        <w:ind w:left="1300" w:firstLine="652"/>
        <w:spacing w:after="0" w:line="316" w:lineRule="auto"/>
        <w:tabs>
          <w:tab w:leader="none" w:pos="2845" w:val="left"/>
        </w:tabs>
        <w:numPr>
          <w:ilvl w:val="2"/>
          <w:numId w:val="428"/>
        </w:numPr>
        <w:rPr>
          <w:rFonts w:ascii="Arial" w:cs="Arial" w:eastAsia="Arial" w:hAnsi="Arial"/>
          <w:sz w:val="18"/>
          <w:szCs w:val="18"/>
          <w:color w:val="auto"/>
        </w:rPr>
      </w:pPr>
      <w:r>
        <w:rPr>
          <w:rFonts w:ascii="Arial" w:cs="Arial" w:eastAsia="Arial" w:hAnsi="Arial"/>
          <w:sz w:val="18"/>
          <w:szCs w:val="18"/>
          <w:color w:val="auto"/>
        </w:rPr>
        <w:t>Such Obligor has not made any assignment or agreement in conflict with the security interest in the Copyrights, Patents or Trademarks of such Obligor constituting Collateral hereunder.</w:t>
      </w:r>
    </w:p>
    <w:p>
      <w:pPr>
        <w:spacing w:after="0" w:line="129" w:lineRule="exact"/>
        <w:rPr>
          <w:rFonts w:ascii="Arial" w:cs="Arial" w:eastAsia="Arial" w:hAnsi="Arial"/>
          <w:sz w:val="18"/>
          <w:szCs w:val="18"/>
          <w:color w:val="auto"/>
        </w:rPr>
      </w:pPr>
    </w:p>
    <w:p>
      <w:pPr>
        <w:ind w:right="20" w:firstLine="656"/>
        <w:spacing w:after="0" w:line="260" w:lineRule="auto"/>
        <w:tabs>
          <w:tab w:leader="none" w:pos="1399"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Each Obligor covenants that on and after the Closing Date and until the Facility Termination Date, such Obligor shall:</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1"/>
          <w:numId w:val="429"/>
        </w:numPr>
        <w:rPr>
          <w:rFonts w:ascii="Arial" w:cs="Arial" w:eastAsia="Arial" w:hAnsi="Arial"/>
          <w:sz w:val="20"/>
          <w:szCs w:val="20"/>
          <w:color w:val="auto"/>
        </w:rPr>
      </w:pPr>
      <w:r>
        <w:rPr>
          <w:rFonts w:ascii="Arial" w:cs="Arial" w:eastAsia="Arial" w:hAnsi="Arial"/>
          <w:sz w:val="20"/>
          <w:szCs w:val="20"/>
          <w:u w:val="single" w:color="auto"/>
          <w:color w:val="auto"/>
        </w:rPr>
        <w:t>Instruments/Chattel Paper/Pledged Equity/Control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2" w:lineRule="auto"/>
        <w:tabs>
          <w:tab w:leader="none" w:pos="2697"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 If any amount in excess of $1,000,000 payable under or in connection with any of the Collateral shall be or become evidenced by any Instrument or Tangible Chattel Paper, or if any property constituting Collateral with a value in excess of $1,000,000 shall be stored or shipped subject to a Document, in either case, ensure that such Instrument, Tangible Chattel Paper or Document is either in the possession of such Obligor at all times or, if requested by the Administrative Agent to perfect its security interest in such Collateral, is delivered to the Administrative Agent duly endorsed in a manner reasonably satisfactory to the Administrative Agent, and (B) ensure that any Collateral consisting of Tangible Chattel Paper is marked with a legend reasonably acceptable to the Administrative Agent indicating the Administrative Agent’s security interest in such Tangible Chattel Paper.</w:t>
      </w:r>
    </w:p>
    <w:p>
      <w:pPr>
        <w:spacing w:after="0" w:line="170" w:lineRule="exact"/>
        <w:rPr>
          <w:rFonts w:ascii="Arial" w:cs="Arial" w:eastAsia="Arial" w:hAnsi="Arial"/>
          <w:sz w:val="18"/>
          <w:szCs w:val="18"/>
          <w:color w:val="auto"/>
        </w:rPr>
      </w:pPr>
    </w:p>
    <w:p>
      <w:pPr>
        <w:jc w:val="both"/>
        <w:ind w:left="1300" w:firstLine="652"/>
        <w:spacing w:after="0" w:line="257" w:lineRule="auto"/>
        <w:tabs>
          <w:tab w:leader="none" w:pos="2681" w:val="left"/>
        </w:tabs>
        <w:numPr>
          <w:ilvl w:val="2"/>
          <w:numId w:val="429"/>
        </w:numPr>
        <w:rPr>
          <w:rFonts w:ascii="Arial" w:cs="Arial" w:eastAsia="Arial" w:hAnsi="Arial"/>
          <w:sz w:val="19"/>
          <w:szCs w:val="19"/>
          <w:color w:val="auto"/>
        </w:rPr>
      </w:pPr>
      <w:r>
        <w:rPr>
          <w:rFonts w:ascii="Arial" w:cs="Arial" w:eastAsia="Arial" w:hAnsi="Arial"/>
          <w:sz w:val="19"/>
          <w:szCs w:val="19"/>
          <w:color w:val="auto"/>
        </w:rPr>
        <w:t xml:space="preserve">Deliver to the Administrative Agent, promptly upon the receipt thereof, all certificates and instruments constituting Pledged Equity (other than certificates constituting Pledged Equity issued by the Turkish Subsidiary for so long as such certificates are needed in connection with any transfer thereof permitted by the Credit Agreement), and, prior to such delivery, hold, all such certificates constituting Pledged Equity in trust for the benefit of the Administrative Agent pursuant hereto (it being understood that all such certificates representing Pledged Equity shall be delivered in suitable form for transfer by delivery or shall be accompanied by duly executed instruments of transfer or assignment in blank, substantially in the form provided in </w:t>
      </w:r>
      <w:r>
        <w:rPr>
          <w:rFonts w:ascii="Arial" w:cs="Arial" w:eastAsia="Arial" w:hAnsi="Arial"/>
          <w:sz w:val="19"/>
          <w:szCs w:val="19"/>
          <w:u w:val="single" w:color="auto"/>
          <w:color w:val="auto"/>
        </w:rPr>
        <w:t>Exhibit 4(a)(ii)</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1300" w:firstLine="652"/>
        <w:spacing w:after="0" w:line="263" w:lineRule="auto"/>
        <w:tabs>
          <w:tab w:leader="none" w:pos="2869" w:val="left"/>
        </w:tabs>
        <w:numPr>
          <w:ilvl w:val="2"/>
          <w:numId w:val="429"/>
        </w:numPr>
        <w:rPr>
          <w:rFonts w:ascii="Arial" w:cs="Arial" w:eastAsia="Arial" w:hAnsi="Arial"/>
          <w:sz w:val="19"/>
          <w:szCs w:val="19"/>
          <w:color w:val="auto"/>
        </w:rPr>
      </w:pPr>
      <w:r>
        <w:rPr>
          <w:rFonts w:ascii="Arial" w:cs="Arial" w:eastAsia="Arial" w:hAnsi="Arial"/>
          <w:sz w:val="19"/>
          <w:szCs w:val="19"/>
          <w:color w:val="auto"/>
        </w:rPr>
        <w:t>Execute and deliver all agreements, assignments, instruments or other documents as reasonably requested by the Administrative Agent for the purpose of obtaining and maintaining control with respect to any Collateral consisting of (A) Deposit Accounts, (B) Securities Accounts, (C) Investment Property, (D) Letter-of-Credit Rights, and (E) Electronic Chattel Paper.</w:t>
      </w:r>
    </w:p>
    <w:p>
      <w:pPr>
        <w:spacing w:after="0" w:line="176" w:lineRule="exact"/>
        <w:rPr>
          <w:rFonts w:ascii="Arial" w:cs="Arial" w:eastAsia="Arial" w:hAnsi="Arial"/>
          <w:sz w:val="19"/>
          <w:szCs w:val="19"/>
          <w:color w:val="auto"/>
        </w:rPr>
      </w:pPr>
    </w:p>
    <w:p>
      <w:pPr>
        <w:ind w:left="660" w:right="20" w:firstLine="644"/>
        <w:spacing w:after="0" w:line="260" w:lineRule="auto"/>
        <w:tabs>
          <w:tab w:leader="none" w:pos="1997" w:val="left"/>
        </w:tabs>
        <w:numPr>
          <w:ilvl w:val="1"/>
          <w:numId w:val="429"/>
        </w:numPr>
        <w:rPr>
          <w:rFonts w:ascii="Arial" w:cs="Arial" w:eastAsia="Arial" w:hAnsi="Arial"/>
          <w:sz w:val="20"/>
          <w:szCs w:val="20"/>
          <w:color w:val="auto"/>
        </w:rPr>
      </w:pPr>
      <w:r>
        <w:rPr>
          <w:rFonts w:ascii="Arial" w:cs="Arial" w:eastAsia="Arial" w:hAnsi="Arial"/>
          <w:sz w:val="20"/>
          <w:szCs w:val="20"/>
          <w:u w:val="single" w:color="auto"/>
          <w:color w:val="auto"/>
        </w:rPr>
        <w:t>Filing of Financing Statements, Notices, etc</w:t>
      </w:r>
      <w:r>
        <w:rPr>
          <w:rFonts w:ascii="Arial" w:cs="Arial" w:eastAsia="Arial" w:hAnsi="Arial"/>
          <w:sz w:val="20"/>
          <w:szCs w:val="20"/>
          <w:color w:val="auto"/>
        </w:rPr>
        <w:t>. Execute and deliver to the Administrative Agent such agreements, assignments or instruments (including affidavits,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02" w:name="page403"/>
    <w:bookmarkEnd w:id="402"/>
    <w:p>
      <w:pPr>
        <w:jc w:val="both"/>
        <w:ind w:left="200"/>
        <w:spacing w:after="0" w:line="269" w:lineRule="auto"/>
        <w:rPr>
          <w:sz w:val="20"/>
          <w:szCs w:val="20"/>
          <w:color w:val="auto"/>
        </w:rPr>
      </w:pPr>
      <w:r>
        <w:rPr>
          <w:rFonts w:ascii="Arial" w:cs="Arial" w:eastAsia="Arial" w:hAnsi="Arial"/>
          <w:sz w:val="18"/>
          <w:szCs w:val="18"/>
          <w:color w:val="auto"/>
        </w:rPr>
        <w:t>reaffirmations and amendments and restatements of existing documents, as the Administrative Agent may reasonably request) and do all such other things as the Administrative Agent may reasonably deem necessary or appropriate (i) to assure the Administrative Agent of the creation, perfection and priority of the security interests created hereunder, including (A) such instruments as the Administrative Agent may from time to time reasonably request in order to perfect and maintain the security interests granted hereunder in accordance with the UCC,</w:t>
      </w:r>
    </w:p>
    <w:p>
      <w:pPr>
        <w:spacing w:after="0" w:line="4" w:lineRule="exact"/>
        <w:rPr>
          <w:sz w:val="20"/>
          <w:szCs w:val="20"/>
          <w:color w:val="auto"/>
        </w:rPr>
      </w:pPr>
    </w:p>
    <w:p>
      <w:pPr>
        <w:ind w:left="520" w:hanging="324"/>
        <w:spacing w:after="0"/>
        <w:tabs>
          <w:tab w:leader="none" w:pos="5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with regard to Copyrights, a Notice of Grant of Security Interest in Copyrights in the form of </w:t>
      </w:r>
      <w:r>
        <w:rPr>
          <w:rFonts w:ascii="Arial" w:cs="Arial" w:eastAsia="Arial" w:hAnsi="Arial"/>
          <w:sz w:val="18"/>
          <w:szCs w:val="18"/>
          <w:u w:val="single" w:color="auto"/>
          <w:color w:val="auto"/>
        </w:rPr>
        <w:t>Exhibit 4(b)(i)(B)</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520" w:hanging="324"/>
        <w:spacing w:after="0"/>
        <w:tabs>
          <w:tab w:leader="none" w:pos="5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with regard to Patents, a Notice of Grant of Security Interest in Patents in the form of </w:t>
      </w:r>
      <w:r>
        <w:rPr>
          <w:rFonts w:ascii="Arial" w:cs="Arial" w:eastAsia="Arial" w:hAnsi="Arial"/>
          <w:sz w:val="18"/>
          <w:szCs w:val="18"/>
          <w:u w:val="single" w:color="auto"/>
          <w:color w:val="auto"/>
        </w:rPr>
        <w:t>Exhibit 4(b)(i)(C)</w:t>
      </w:r>
      <w:r>
        <w:rPr>
          <w:rFonts w:ascii="Arial" w:cs="Arial" w:eastAsia="Arial" w:hAnsi="Arial"/>
          <w:sz w:val="18"/>
          <w:szCs w:val="18"/>
          <w:color w:val="auto"/>
        </w:rPr>
        <w:t>, and</w:t>
      </w:r>
    </w:p>
    <w:p>
      <w:pPr>
        <w:spacing w:after="0" w:line="22" w:lineRule="exact"/>
        <w:rPr>
          <w:rFonts w:ascii="Arial" w:cs="Arial" w:eastAsia="Arial" w:hAnsi="Arial"/>
          <w:sz w:val="18"/>
          <w:szCs w:val="18"/>
          <w:color w:val="auto"/>
        </w:rPr>
      </w:pPr>
    </w:p>
    <w:p>
      <w:pPr>
        <w:ind w:left="540" w:hanging="344"/>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with regard to Trademarks, a Notice of Grant of Security Interest in Trademarks in the form of </w:t>
      </w:r>
      <w:r>
        <w:rPr>
          <w:rFonts w:ascii="Arial" w:cs="Arial" w:eastAsia="Arial" w:hAnsi="Arial"/>
          <w:sz w:val="18"/>
          <w:szCs w:val="18"/>
          <w:u w:val="single" w:color="auto"/>
          <w:color w:val="auto"/>
        </w:rPr>
        <w:t>Exhibit 4(b)(i)</w:t>
      </w:r>
    </w:p>
    <w:p>
      <w:pPr>
        <w:spacing w:after="0" w:line="22" w:lineRule="exact"/>
        <w:rPr>
          <w:rFonts w:ascii="Arial" w:cs="Arial" w:eastAsia="Arial" w:hAnsi="Arial"/>
          <w:sz w:val="18"/>
          <w:szCs w:val="18"/>
          <w:color w:val="auto"/>
        </w:rPr>
      </w:pPr>
    </w:p>
    <w:p>
      <w:pPr>
        <w:jc w:val="both"/>
        <w:ind w:left="200"/>
        <w:spacing w:after="0" w:line="253" w:lineRule="auto"/>
        <w:rPr>
          <w:rFonts w:ascii="Arial" w:cs="Arial" w:eastAsia="Arial" w:hAnsi="Arial"/>
          <w:sz w:val="18"/>
          <w:szCs w:val="18"/>
          <w:color w:val="auto"/>
        </w:rPr>
      </w:pPr>
      <w:r>
        <w:rPr>
          <w:rFonts w:ascii="Arial" w:cs="Arial" w:eastAsia="Arial" w:hAnsi="Arial"/>
          <w:sz w:val="19"/>
          <w:szCs w:val="19"/>
          <w:u w:val="single" w:color="auto"/>
          <w:color w:val="auto"/>
        </w:rPr>
        <w:t>(D)</w:t>
      </w:r>
      <w:r>
        <w:rPr>
          <w:rFonts w:ascii="Arial" w:cs="Arial" w:eastAsia="Arial" w:hAnsi="Arial"/>
          <w:sz w:val="19"/>
          <w:szCs w:val="19"/>
          <w:color w:val="auto"/>
        </w:rPr>
        <w:t xml:space="preserve">, (ii) to consummate the transactions contemplated hereby, and (iii) to otherwise protect and assure the Administrative Agent of its rights and interests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such Obligor shall not be required to (x) enter into any Collateral Document governed by the laws of any jurisdiction other than the United States, any state thereof or the District of Columbia, or (y) take any steps to perfect a security interest created over any Collateral located outside of the United States, and, in furtherance of the foregoing, such Obligor hereby (1) irrevocably makes, constitutes and appoints the Administrative Agent, its nominee or any other person whom the Administrative Agent may designate, as such Obligor’s attorney in fact with full power and for the limited purpose to sign in the name of such Obligor any financing statements, or amendments and supplements to financing statements, renewal financing statements, notices or any similar documents which in the Administrative Agent’s reasonable discretion would be necessary or appropriate in order to perfect and maintain perfection of the security interests granted hereunder, such power, being coupled with an interest, being and remaining irrevocable until the Facility Termination Date, and (2) agrees that, to the extent effective under applicable Law, a carbon, photographic or other reproduction of this Agreement or any such financing statement is sufficient for filing as a financing statement by the Administrative Agent without notice thereof to such Obligor wherever the Administrative Agent may in its sole discretion desire to file the same.</w:t>
      </w:r>
    </w:p>
    <w:p>
      <w:pPr>
        <w:spacing w:after="0" w:line="187" w:lineRule="exact"/>
        <w:rPr>
          <w:rFonts w:ascii="Arial" w:cs="Arial" w:eastAsia="Arial" w:hAnsi="Arial"/>
          <w:sz w:val="18"/>
          <w:szCs w:val="18"/>
          <w:color w:val="auto"/>
        </w:rPr>
      </w:pPr>
    </w:p>
    <w:p>
      <w:pPr>
        <w:jc w:val="both"/>
        <w:ind w:left="200" w:firstLine="644"/>
        <w:spacing w:after="0" w:line="243" w:lineRule="auto"/>
        <w:tabs>
          <w:tab w:leader="none" w:pos="1540" w:val="left"/>
        </w:tabs>
        <w:numPr>
          <w:ilvl w:val="1"/>
          <w:numId w:val="430"/>
        </w:numPr>
        <w:rPr>
          <w:rFonts w:ascii="Arial" w:cs="Arial" w:eastAsia="Arial" w:hAnsi="Arial"/>
          <w:sz w:val="20"/>
          <w:szCs w:val="20"/>
          <w:color w:val="auto"/>
        </w:rPr>
      </w:pPr>
      <w:r>
        <w:rPr>
          <w:rFonts w:ascii="Arial" w:cs="Arial" w:eastAsia="Arial" w:hAnsi="Arial"/>
          <w:sz w:val="20"/>
          <w:szCs w:val="20"/>
          <w:u w:val="single" w:color="auto"/>
          <w:color w:val="auto"/>
        </w:rPr>
        <w:t>Collateral Held by Warehouseman, Bailee, etc.</w:t>
      </w:r>
      <w:r>
        <w:rPr>
          <w:rFonts w:ascii="Arial" w:cs="Arial" w:eastAsia="Arial" w:hAnsi="Arial"/>
          <w:sz w:val="20"/>
          <w:szCs w:val="20"/>
          <w:color w:val="auto"/>
        </w:rPr>
        <w:t xml:space="preserve"> If any Collateral of such Obligor with a book value in excess of $1,000,000 is at any time in the possession or control of a warehouseman, bailee or any agent or processor and the Administrative Agent so requests, (i) notify such Person in writing of the Administrative Agent’s security interest therein, (ii) instruct such Person to hold all such Collateral for the Administrative Agent’s account and subject to the Administrative Agent’s instructions, and (iii) use commercially reasonable efforts to obtain a written acknowledgment from such Person that it is holding such Collateral for the benefit of the Administrative Agent.</w:t>
      </w:r>
    </w:p>
    <w:p>
      <w:pPr>
        <w:spacing w:after="0" w:line="192" w:lineRule="exact"/>
        <w:rPr>
          <w:rFonts w:ascii="Arial" w:cs="Arial" w:eastAsia="Arial" w:hAnsi="Arial"/>
          <w:sz w:val="20"/>
          <w:szCs w:val="20"/>
          <w:color w:val="auto"/>
        </w:rPr>
      </w:pPr>
    </w:p>
    <w:p>
      <w:pPr>
        <w:jc w:val="both"/>
        <w:ind w:left="200" w:firstLine="644"/>
        <w:spacing w:after="0" w:line="246" w:lineRule="auto"/>
        <w:tabs>
          <w:tab w:leader="none" w:pos="1564" w:val="left"/>
        </w:tabs>
        <w:numPr>
          <w:ilvl w:val="1"/>
          <w:numId w:val="430"/>
        </w:numPr>
        <w:rPr>
          <w:rFonts w:ascii="Arial" w:cs="Arial" w:eastAsia="Arial" w:hAnsi="Arial"/>
          <w:sz w:val="20"/>
          <w:szCs w:val="20"/>
          <w:color w:val="auto"/>
        </w:rPr>
      </w:pPr>
      <w:r>
        <w:rPr>
          <w:rFonts w:ascii="Arial" w:cs="Arial" w:eastAsia="Arial" w:hAnsi="Arial"/>
          <w:sz w:val="20"/>
          <w:szCs w:val="20"/>
          <w:u w:val="single" w:color="auto"/>
          <w:color w:val="auto"/>
        </w:rPr>
        <w:t>Treatment of Accounts</w:t>
      </w:r>
      <w:r>
        <w:rPr>
          <w:rFonts w:ascii="Arial" w:cs="Arial" w:eastAsia="Arial" w:hAnsi="Arial"/>
          <w:sz w:val="20"/>
          <w:szCs w:val="20"/>
          <w:color w:val="auto"/>
        </w:rPr>
        <w:t>. Not grant or extend the time for payment of any Account of such Obligor, or compromise or settle any Account of such Obligor for less than the full amount thereof, or release any person or property, in whole or in part, from payment thereof, or allow any credit or discount thereon, other than as normal and customary in the ordinary course of such Obligor’s business.</w:t>
      </w:r>
    </w:p>
    <w:p>
      <w:pPr>
        <w:spacing w:after="0" w:line="191" w:lineRule="exact"/>
        <w:rPr>
          <w:rFonts w:ascii="Arial" w:cs="Arial" w:eastAsia="Arial" w:hAnsi="Arial"/>
          <w:sz w:val="20"/>
          <w:szCs w:val="20"/>
          <w:color w:val="auto"/>
        </w:rPr>
      </w:pPr>
    </w:p>
    <w:p>
      <w:pPr>
        <w:jc w:val="both"/>
        <w:ind w:left="200" w:firstLine="644"/>
        <w:spacing w:after="0" w:line="259" w:lineRule="auto"/>
        <w:tabs>
          <w:tab w:leader="none" w:pos="1607" w:val="left"/>
        </w:tabs>
        <w:numPr>
          <w:ilvl w:val="1"/>
          <w:numId w:val="430"/>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(i) Promptly forward to the Administrative Agent an updated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2(c)</w:t>
      </w:r>
      <w:r>
        <w:rPr>
          <w:rFonts w:ascii="Arial" w:cs="Arial" w:eastAsia="Arial" w:hAnsi="Arial"/>
          <w:sz w:val="19"/>
          <w:szCs w:val="19"/>
          <w:color w:val="auto"/>
        </w:rPr>
        <w:t xml:space="preserve"> listing any and all Commercial Tort Claims initiated by or in favor of such Obligor seeking damages in excess of $1,000,000, and (ii) execute and deliver such statements, documents and notices and do and cause to be done all such things as may be required by the Administrative Agent, or required by Law to create, preserve, perfect and maintain the Administrative Agent’s security interest in any Commercial Tort Claims initiated by or in favor of such Obligor seeking damages in excess of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3" w:name="page404"/>
    <w:bookmarkEnd w:id="403"/>
    <w:p>
      <w:pPr>
        <w:jc w:val="both"/>
        <w:ind w:left="200" w:firstLine="644"/>
        <w:spacing w:after="0" w:line="250" w:lineRule="auto"/>
        <w:tabs>
          <w:tab w:leader="none" w:pos="1689"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Books and Records</w:t>
      </w:r>
      <w:r>
        <w:rPr>
          <w:rFonts w:ascii="Arial" w:cs="Arial" w:eastAsia="Arial" w:hAnsi="Arial"/>
          <w:sz w:val="20"/>
          <w:szCs w:val="20"/>
          <w:color w:val="auto"/>
        </w:rPr>
        <w:t>. Upon the written request of the Administrative Agent, mark its books and records (and shall cause the issuer of the Pledged Equity of such Obligor to mark its books and records) to reflect the security interest granted pursuant to this Agreement.</w:t>
      </w:r>
    </w:p>
    <w:p>
      <w:pPr>
        <w:spacing w:after="0" w:line="185" w:lineRule="exact"/>
        <w:rPr>
          <w:rFonts w:ascii="Arial" w:cs="Arial" w:eastAsia="Arial" w:hAnsi="Arial"/>
          <w:sz w:val="20"/>
          <w:szCs w:val="20"/>
          <w:color w:val="auto"/>
        </w:rPr>
      </w:pPr>
    </w:p>
    <w:p>
      <w:pPr>
        <w:jc w:val="both"/>
        <w:ind w:left="200" w:firstLine="644"/>
        <w:spacing w:after="0" w:line="246" w:lineRule="auto"/>
        <w:tabs>
          <w:tab w:leader="none" w:pos="1578"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Nature of Collateral</w:t>
      </w:r>
      <w:r>
        <w:rPr>
          <w:rFonts w:ascii="Arial" w:cs="Arial" w:eastAsia="Arial" w:hAnsi="Arial"/>
          <w:sz w:val="20"/>
          <w:szCs w:val="20"/>
          <w:color w:val="auto"/>
        </w:rPr>
        <w:t>. At all times maintain the Collateral of such Obligor as personal property and not affix any such Collateral to any real property in a manner which would change its nature from personal property to real property or a Fixture to real property, unless the Administrative Agent shall have a perfected Lien on such Fixture or real property.</w:t>
      </w:r>
    </w:p>
    <w:p>
      <w:pPr>
        <w:spacing w:after="0" w:line="191" w:lineRule="exact"/>
        <w:rPr>
          <w:rFonts w:ascii="Arial" w:cs="Arial" w:eastAsia="Arial" w:hAnsi="Arial"/>
          <w:sz w:val="20"/>
          <w:szCs w:val="20"/>
          <w:color w:val="auto"/>
        </w:rPr>
      </w:pPr>
    </w:p>
    <w:p>
      <w:pPr>
        <w:jc w:val="both"/>
        <w:ind w:left="200" w:firstLine="644"/>
        <w:spacing w:after="0" w:line="257" w:lineRule="auto"/>
        <w:tabs>
          <w:tab w:leader="none" w:pos="1632"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Issuance or Acquisition of Equity Interests in Partnerships or Limited Liability Companies</w:t>
      </w:r>
      <w:r>
        <w:rPr>
          <w:rFonts w:ascii="Arial" w:cs="Arial" w:eastAsia="Arial" w:hAnsi="Arial"/>
          <w:sz w:val="19"/>
          <w:szCs w:val="19"/>
          <w:color w:val="auto"/>
        </w:rPr>
        <w:t>. Not, without executing and delivering, or causing to be executed and delivered, to the Administrative Agent such agreements, documents and instruments as the Administrative Agent may reasonably require, issue or acquire any Pledged Equity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84" w:lineRule="exact"/>
        <w:rPr>
          <w:rFonts w:ascii="Arial" w:cs="Arial" w:eastAsia="Arial" w:hAnsi="Arial"/>
          <w:sz w:val="19"/>
          <w:szCs w:val="19"/>
          <w:color w:val="auto"/>
        </w:rPr>
      </w:pPr>
    </w:p>
    <w:p>
      <w:pPr>
        <w:ind w:left="1520" w:hanging="676"/>
        <w:spacing w:after="0"/>
        <w:tabs>
          <w:tab w:leader="none" w:pos="1520"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4" w:lineRule="auto"/>
        <w:tabs>
          <w:tab w:leader="none" w:pos="2315" w:val="left"/>
        </w:tabs>
        <w:numPr>
          <w:ilvl w:val="1"/>
          <w:numId w:val="431"/>
        </w:numPr>
        <w:rPr>
          <w:rFonts w:ascii="Arial" w:cs="Arial" w:eastAsia="Arial" w:hAnsi="Arial"/>
          <w:sz w:val="19"/>
          <w:szCs w:val="19"/>
          <w:color w:val="auto"/>
        </w:rPr>
      </w:pPr>
      <w:r>
        <w:rPr>
          <w:rFonts w:ascii="Arial" w:cs="Arial" w:eastAsia="Arial" w:hAnsi="Arial"/>
          <w:sz w:val="19"/>
          <w:szCs w:val="19"/>
          <w:color w:val="auto"/>
        </w:rPr>
        <w:t>(A) Not do any act or knowingly omit to do any act whereby any material Copyright of such Obligor may become invalidated or injected into the public domain, (B) notify the Administrative Agent promptly if it knows that any material Copyright of such Obligor may become injected into the public domain or of any materially adverse determination or development (including the institution of, or any such determination or development in, any court or tribunal in the United States) regarding such Obligor’s ownership of any such Copyright or its validity, (C) take all reasonable and necessary steps as it shall reasonably deem appropriate under the circumstances, to maintain and pursue each application (and to obtain the relevant registration) of each material Copyright owned by such Obligor and to maintain each registration of each material Copyright owned by such Obligor including filing of for renewal where necessary, and (D) promptly notify the Administrative Agent of any material infringement of any material Copyright of such Obligor of which it becomes aware and take such actions as it shall reasonably deem appropriate under the circumstances to protect such material Copyright, including, where appropriate, the bringing of suit for infringement, seeking injunctive relief and seeking to recover any and all damages for such infringement.</w:t>
      </w:r>
    </w:p>
    <w:p>
      <w:pPr>
        <w:spacing w:after="0" w:line="191" w:lineRule="exact"/>
        <w:rPr>
          <w:rFonts w:ascii="Arial" w:cs="Arial" w:eastAsia="Arial" w:hAnsi="Arial"/>
          <w:sz w:val="19"/>
          <w:szCs w:val="19"/>
          <w:color w:val="auto"/>
        </w:rPr>
      </w:pPr>
    </w:p>
    <w:p>
      <w:pPr>
        <w:ind w:left="840" w:firstLine="652"/>
        <w:spacing w:after="0" w:line="260" w:lineRule="auto"/>
        <w:tabs>
          <w:tab w:leader="none" w:pos="2495" w:val="left"/>
        </w:tabs>
        <w:numPr>
          <w:ilvl w:val="1"/>
          <w:numId w:val="431"/>
        </w:numPr>
        <w:rPr>
          <w:rFonts w:ascii="Arial" w:cs="Arial" w:eastAsia="Arial" w:hAnsi="Arial"/>
          <w:sz w:val="20"/>
          <w:szCs w:val="20"/>
          <w:color w:val="auto"/>
        </w:rPr>
      </w:pPr>
      <w:r>
        <w:rPr>
          <w:rFonts w:ascii="Arial" w:cs="Arial" w:eastAsia="Arial" w:hAnsi="Arial"/>
          <w:sz w:val="20"/>
          <w:szCs w:val="20"/>
          <w:color w:val="auto"/>
        </w:rPr>
        <w:t>Not make any assignment or agreement in conflict with the security interest in the Copyrights of such Obligor hereunder (except as permitted by the Credit Agreement).</w:t>
      </w:r>
    </w:p>
    <w:p>
      <w:pPr>
        <w:spacing w:after="0" w:line="176" w:lineRule="exact"/>
        <w:rPr>
          <w:rFonts w:ascii="Arial" w:cs="Arial" w:eastAsia="Arial" w:hAnsi="Arial"/>
          <w:sz w:val="20"/>
          <w:szCs w:val="20"/>
          <w:color w:val="auto"/>
        </w:rPr>
      </w:pPr>
    </w:p>
    <w:p>
      <w:pPr>
        <w:jc w:val="both"/>
        <w:ind w:left="840" w:firstLine="652"/>
        <w:spacing w:after="0" w:line="257" w:lineRule="auto"/>
        <w:tabs>
          <w:tab w:leader="none" w:pos="2167" w:val="left"/>
        </w:tabs>
        <w:numPr>
          <w:ilvl w:val="1"/>
          <w:numId w:val="431"/>
        </w:numPr>
        <w:rPr>
          <w:rFonts w:ascii="Arial" w:cs="Arial" w:eastAsia="Arial" w:hAnsi="Arial"/>
          <w:sz w:val="19"/>
          <w:szCs w:val="19"/>
          <w:color w:val="auto"/>
        </w:rPr>
      </w:pPr>
      <w:r>
        <w:rPr>
          <w:rFonts w:ascii="Arial" w:cs="Arial" w:eastAsia="Arial" w:hAnsi="Arial"/>
          <w:sz w:val="19"/>
          <w:szCs w:val="19"/>
          <w:color w:val="auto"/>
        </w:rPr>
        <w:t>(A) Continue to use each material Trademark of such Obligor on each and every trademark class of goods applicable to its current line as reflected in its current catalogs, brochures and price lists in order to maintain such Trademark in full force free from any claim of abandonment for non-use, (B) maintain as in the past the quality of products and services offered under such Trademark, (C) employ such Trademark with the appropriate notice of registration, if applicable, (D) not adopt or use any mark in the United States that is confusingly similar or a colorable imitation of such Trademark unless the Administrative Agent, for the ratable benefit of the Secured Parties, shall obtain a perfected security interest in such mark pursuant to this Agreement, and (E)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4" w:name="page405"/>
    <w:bookmarkEnd w:id="404"/>
    <w:p>
      <w:pPr>
        <w:ind w:left="1300"/>
        <w:spacing w:after="0" w:line="260" w:lineRule="auto"/>
        <w:rPr>
          <w:sz w:val="20"/>
          <w:szCs w:val="20"/>
          <w:color w:val="auto"/>
        </w:rPr>
      </w:pPr>
      <w:r>
        <w:rPr>
          <w:rFonts w:ascii="Arial" w:cs="Arial" w:eastAsia="Arial" w:hAnsi="Arial"/>
          <w:sz w:val="20"/>
          <w:szCs w:val="20"/>
          <w:color w:val="auto"/>
        </w:rPr>
        <w:t>(and not permit any licensee or sublicensee thereof to) do any act or omit to do any act whereby any such material Trademark shall become invalidated.</w:t>
      </w:r>
    </w:p>
    <w:p>
      <w:pPr>
        <w:spacing w:after="0" w:line="177" w:lineRule="exact"/>
        <w:rPr>
          <w:sz w:val="20"/>
          <w:szCs w:val="20"/>
          <w:color w:val="auto"/>
        </w:rPr>
      </w:pPr>
    </w:p>
    <w:p>
      <w:pPr>
        <w:ind w:left="1300" w:firstLine="652"/>
        <w:spacing w:after="0" w:line="260" w:lineRule="auto"/>
        <w:tabs>
          <w:tab w:leader="none" w:pos="2737" w:val="left"/>
        </w:tabs>
        <w:numPr>
          <w:ilvl w:val="0"/>
          <w:numId w:val="432"/>
        </w:numPr>
        <w:rPr>
          <w:rFonts w:ascii="Arial" w:cs="Arial" w:eastAsia="Arial" w:hAnsi="Arial"/>
          <w:sz w:val="20"/>
          <w:szCs w:val="20"/>
          <w:color w:val="auto"/>
        </w:rPr>
      </w:pPr>
      <w:r>
        <w:rPr>
          <w:rFonts w:ascii="Arial" w:cs="Arial" w:eastAsia="Arial" w:hAnsi="Arial"/>
          <w:sz w:val="20"/>
          <w:szCs w:val="20"/>
          <w:color w:val="auto"/>
        </w:rPr>
        <w:t>Not do any act, or omit to do any act, whereby any material Patent of such Obligor may become abandoned or dedicated to the public.</w:t>
      </w:r>
    </w:p>
    <w:p>
      <w:pPr>
        <w:spacing w:after="0" w:line="176" w:lineRule="exact"/>
        <w:rPr>
          <w:rFonts w:ascii="Arial" w:cs="Arial" w:eastAsia="Arial" w:hAnsi="Arial"/>
          <w:sz w:val="20"/>
          <w:szCs w:val="20"/>
          <w:color w:val="auto"/>
        </w:rPr>
      </w:pPr>
    </w:p>
    <w:p>
      <w:pPr>
        <w:jc w:val="both"/>
        <w:ind w:left="1300" w:firstLine="652"/>
        <w:spacing w:after="0" w:line="259" w:lineRule="auto"/>
        <w:tabs>
          <w:tab w:leader="none" w:pos="2734" w:val="left"/>
        </w:tabs>
        <w:numPr>
          <w:ilvl w:val="0"/>
          <w:numId w:val="432"/>
        </w:numPr>
        <w:rPr>
          <w:rFonts w:ascii="Arial" w:cs="Arial" w:eastAsia="Arial" w:hAnsi="Arial"/>
          <w:sz w:val="19"/>
          <w:szCs w:val="19"/>
          <w:color w:val="auto"/>
        </w:rPr>
      </w:pPr>
      <w:r>
        <w:rPr>
          <w:rFonts w:ascii="Arial" w:cs="Arial" w:eastAsia="Arial" w:hAnsi="Arial"/>
          <w:sz w:val="19"/>
          <w:szCs w:val="19"/>
          <w:color w:val="auto"/>
        </w:rPr>
        <w:t>Notify the Administrative Agent promptly if it knows that any application or registration relating to any material Patent or Trademark of such Obligor could reasonably be expected to become abandoned or dedicated to the public, or of any materially adverse determination or development (including the institution of, or any such determination or development in, any proceeding in the United States Patent and Trademark Office) regarding such Obligor’s ownership of any material Patent or Trademark or its right to register the same or to keep and maintain the same.</w:t>
      </w:r>
    </w:p>
    <w:p>
      <w:pPr>
        <w:spacing w:after="0" w:line="178" w:lineRule="exact"/>
        <w:rPr>
          <w:rFonts w:ascii="Arial" w:cs="Arial" w:eastAsia="Arial" w:hAnsi="Arial"/>
          <w:sz w:val="19"/>
          <w:szCs w:val="19"/>
          <w:color w:val="auto"/>
        </w:rPr>
      </w:pPr>
    </w:p>
    <w:p>
      <w:pPr>
        <w:jc w:val="both"/>
        <w:ind w:left="1300" w:firstLine="652"/>
        <w:spacing w:after="0" w:line="244" w:lineRule="auto"/>
        <w:tabs>
          <w:tab w:leader="none" w:pos="2793" w:val="left"/>
        </w:tabs>
        <w:numPr>
          <w:ilvl w:val="0"/>
          <w:numId w:val="432"/>
        </w:numPr>
        <w:rPr>
          <w:rFonts w:ascii="Arial" w:cs="Arial" w:eastAsia="Arial" w:hAnsi="Arial"/>
          <w:sz w:val="20"/>
          <w:szCs w:val="20"/>
          <w:color w:val="auto"/>
        </w:rPr>
      </w:pPr>
      <w:r>
        <w:rPr>
          <w:rFonts w:ascii="Arial" w:cs="Arial" w:eastAsia="Arial" w:hAnsi="Arial"/>
          <w:sz w:val="20"/>
          <w:szCs w:val="20"/>
          <w:color w:val="auto"/>
        </w:rPr>
        <w:t>Take all reasonable and necessary steps, including in any proceeding before the United States Patent and Trademark Office, or any political subdivision thereof, to maintain and pursue each application (and to obtain the relevant registration) and to maintain each registration of each material Patent and Trademark, in each case, of such Obligor, including filing of applications for renewal, affidavits of use and affidavits of incontestability.</w:t>
      </w:r>
    </w:p>
    <w:p>
      <w:pPr>
        <w:spacing w:after="0" w:line="194" w:lineRule="exact"/>
        <w:rPr>
          <w:rFonts w:ascii="Arial" w:cs="Arial" w:eastAsia="Arial" w:hAnsi="Arial"/>
          <w:sz w:val="20"/>
          <w:szCs w:val="20"/>
          <w:color w:val="auto"/>
        </w:rPr>
      </w:pPr>
    </w:p>
    <w:p>
      <w:pPr>
        <w:jc w:val="both"/>
        <w:ind w:left="1300" w:firstLine="652"/>
        <w:spacing w:after="0" w:line="243" w:lineRule="auto"/>
        <w:tabs>
          <w:tab w:leader="none" w:pos="2904" w:val="left"/>
        </w:tabs>
        <w:numPr>
          <w:ilvl w:val="0"/>
          <w:numId w:val="432"/>
        </w:numPr>
        <w:rPr>
          <w:rFonts w:ascii="Arial" w:cs="Arial" w:eastAsia="Arial" w:hAnsi="Arial"/>
          <w:sz w:val="20"/>
          <w:szCs w:val="20"/>
          <w:color w:val="auto"/>
        </w:rPr>
      </w:pPr>
      <w:r>
        <w:rPr>
          <w:rFonts w:ascii="Arial" w:cs="Arial" w:eastAsia="Arial" w:hAnsi="Arial"/>
          <w:sz w:val="20"/>
          <w:szCs w:val="20"/>
          <w:color w:val="auto"/>
        </w:rPr>
        <w:t>Promptly notify the Administrative Agent after it learns that any material Patent or Trademark included in the Collateral of such Obligor is infringed, misappropriated or diluted by a third party in any material respect and (A) promptly sue for infringement, misappropriation or dilution, seek injunctive relief where appropriate and to recover any and all damages for such infringement, misappropriation or dilution, or (B) take such other actions, if any, as it shall reasonably deem appropriate under the circumstances to protect such Patent or Trademark.</w:t>
      </w:r>
    </w:p>
    <w:p>
      <w:pPr>
        <w:spacing w:after="0" w:line="195" w:lineRule="exact"/>
        <w:rPr>
          <w:rFonts w:ascii="Arial" w:cs="Arial" w:eastAsia="Arial" w:hAnsi="Arial"/>
          <w:sz w:val="20"/>
          <w:szCs w:val="20"/>
          <w:color w:val="auto"/>
        </w:rPr>
      </w:pPr>
    </w:p>
    <w:p>
      <w:pPr>
        <w:ind w:left="1300" w:firstLine="652"/>
        <w:spacing w:after="0" w:line="260" w:lineRule="auto"/>
        <w:tabs>
          <w:tab w:leader="none" w:pos="2591" w:val="left"/>
        </w:tabs>
        <w:numPr>
          <w:ilvl w:val="0"/>
          <w:numId w:val="432"/>
        </w:numPr>
        <w:rPr>
          <w:rFonts w:ascii="Arial" w:cs="Arial" w:eastAsia="Arial" w:hAnsi="Arial"/>
          <w:sz w:val="20"/>
          <w:szCs w:val="20"/>
          <w:color w:val="auto"/>
        </w:rPr>
      </w:pPr>
      <w:r>
        <w:rPr>
          <w:rFonts w:ascii="Arial" w:cs="Arial" w:eastAsia="Arial" w:hAnsi="Arial"/>
          <w:sz w:val="20"/>
          <w:szCs w:val="20"/>
          <w:color w:val="auto"/>
        </w:rPr>
        <w:t>Not make any assignment or agreement in conflict with the security interest in the Patents or Trademarks of such Obligor hereunder (except as permitted by the Credit Agreement).</w:t>
      </w:r>
    </w:p>
    <w:p>
      <w:pPr>
        <w:spacing w:after="0" w:line="177" w:lineRule="exact"/>
        <w:rPr>
          <w:sz w:val="20"/>
          <w:szCs w:val="20"/>
          <w:color w:val="auto"/>
        </w:rPr>
      </w:pPr>
    </w:p>
    <w:p>
      <w:pPr>
        <w:ind w:left="660" w:firstLine="648"/>
        <w:spacing w:after="0" w:line="287" w:lineRule="auto"/>
        <w:rPr>
          <w:sz w:val="20"/>
          <w:szCs w:val="20"/>
          <w:color w:val="auto"/>
        </w:rPr>
      </w:pPr>
      <w:r>
        <w:rPr>
          <w:rFonts w:ascii="Arial" w:cs="Arial" w:eastAsia="Arial" w:hAnsi="Arial"/>
          <w:sz w:val="19"/>
          <w:szCs w:val="19"/>
          <w:color w:val="auto"/>
        </w:rPr>
        <w:t>Notwithstanding the foregoing, such Obligor may, in its reasonable business judgment, fail to maintain, pursue, preserve or protect any Copyright, Patent or Trademark which is not material to its business.</w:t>
      </w:r>
    </w:p>
    <w:p>
      <w:pPr>
        <w:spacing w:after="0" w:line="152" w:lineRule="exact"/>
        <w:rPr>
          <w:sz w:val="20"/>
          <w:szCs w:val="20"/>
          <w:color w:val="auto"/>
        </w:rPr>
      </w:pPr>
    </w:p>
    <w:p>
      <w:pPr>
        <w:jc w:val="both"/>
        <w:ind w:firstLine="656"/>
        <w:spacing w:after="0" w:line="278" w:lineRule="auto"/>
        <w:tabs>
          <w:tab w:leader="none" w:pos="141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Authorization to File Financing Statements</w:t>
      </w:r>
      <w:r>
        <w:rPr>
          <w:rFonts w:ascii="Arial" w:cs="Arial" w:eastAsia="Arial" w:hAnsi="Arial"/>
          <w:sz w:val="18"/>
          <w:szCs w:val="18"/>
          <w:color w:val="auto"/>
        </w:rPr>
        <w:t>. Each Obligor hereby authorizes the Administrative Agent to prepare and file such financing statements (including continuation statements) or amendments thereof or supplements thereto or other instruments as the Administrative Agent may from time to time deem reasonably necessary or appropriate in order to perfect and maintain the security interests granted hereunder in accordance with the UCC (including authorization to describe the Collateral as “all personal property”, “all assets” or words of similar meaning).</w:t>
      </w:r>
    </w:p>
    <w:p>
      <w:pPr>
        <w:spacing w:after="0" w:line="164" w:lineRule="exact"/>
        <w:rPr>
          <w:rFonts w:ascii="Arial" w:cs="Arial" w:eastAsia="Arial" w:hAnsi="Arial"/>
          <w:sz w:val="18"/>
          <w:szCs w:val="18"/>
          <w:color w:val="auto"/>
        </w:rPr>
      </w:pPr>
    </w:p>
    <w:p>
      <w:pPr>
        <w:jc w:val="both"/>
        <w:ind w:firstLine="656"/>
        <w:spacing w:after="0" w:line="276" w:lineRule="auto"/>
        <w:tabs>
          <w:tab w:leader="none" w:pos="1426"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(i) Upon the occurrence of an Event of Default and during the continuation thereof or (ii) on failure of any Obligor to perform any of the covenants and agreements contained herein or in any other Loan Document and upon prior written notice to the Obligors if, with respect to this clause (ii), the Administrative Agent reasonably determines that the taking of a particular action is required prior to the expiration of any applicable cure period(s) in order to prevent an impairment of its rights in and to any Collateral, then, in either case, the Administrative Agent may, at its sole option and in its sole discretion, perform the same and in so doing may expend such sums as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05" w:name="page406"/>
    <w:bookmarkEnd w:id="405"/>
    <w:p>
      <w:pPr>
        <w:jc w:val="both"/>
        <w:spacing w:after="0" w:line="270" w:lineRule="auto"/>
        <w:rPr>
          <w:sz w:val="20"/>
          <w:szCs w:val="20"/>
          <w:color w:val="auto"/>
        </w:rPr>
      </w:pPr>
      <w:r>
        <w:rPr>
          <w:rFonts w:ascii="Arial" w:cs="Arial" w:eastAsia="Arial" w:hAnsi="Arial"/>
          <w:sz w:val="18"/>
          <w:szCs w:val="18"/>
          <w:color w:val="auto"/>
        </w:rPr>
        <w:t>reasonably deem advisable in the performance thereof, including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that may be compelled to make by operation of law. All such sums and amounts so expended shall be repayable by the Obligors on a joint and several basis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Obligor, and no such advance or expenditure therefor, shall relieve the Obligors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an Obligor in appropriate proceedings and against which adequate reserves are being maintained in accordance with GAAP.</w:t>
      </w:r>
    </w:p>
    <w:p>
      <w:pPr>
        <w:spacing w:after="0" w:line="176" w:lineRule="exact"/>
        <w:rPr>
          <w:sz w:val="20"/>
          <w:szCs w:val="20"/>
          <w:color w:val="auto"/>
        </w:rPr>
      </w:pPr>
    </w:p>
    <w:p>
      <w:pPr>
        <w:ind w:left="1300" w:hanging="644"/>
        <w:spacing w:after="0"/>
        <w:tabs>
          <w:tab w:leader="none" w:pos="1300" w:val="left"/>
        </w:tabs>
        <w:numPr>
          <w:ilvl w:val="0"/>
          <w:numId w:val="434"/>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7" w:lineRule="auto"/>
        <w:tabs>
          <w:tab w:leader="none" w:pos="2094" w:val="left"/>
        </w:tabs>
        <w:numPr>
          <w:ilvl w:val="1"/>
          <w:numId w:val="434"/>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Upon the occurrence and during the continuance of an Event of Default, the Administrative Agent shall have, in addition to the rights and remedies provided herein, in the Loan Documents, in any other documents relating to the Secured Obligations, or by law (including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Administrative Agent may, with or without judicial process or the aid and assistance of others, (i) enter on any premises on which any of the Collateral may be located and, without resistance or interference by the Obligors, take possession of the Collateral, (ii) dispose of any Collateral on any such premises, (iii) require the Obligors to assemble and make available to the Administrative Agent at the expense of the Obligors any Collateral at any place and time designated by the Administrative Agent that is reasonably convenient to both parties, (iv) remove any Collateral from any such premises for the purpose of effecting sale or other disposition thereof, and/or (v) without demand and without advertisement, notice, hearing or process of law, all of which each of the Obligors hereby waives to the fullest extent permitted by law, at any place and time or times, sell and deliver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Money, upon credit or otherwise, at such prices and upon such terms as the Administrative Agent deems advisable, in its sole discretion (subject to any and all mandatory legal requirements). Each Obligor acknowledges that any private sale referenced above may be at prices and on terms less favorable to the seller than the prices and other terms that might have been obtained at a public sale and, notwithstanding the foregoing, agrees that such private sale shall be deemed to have been made in a commercially reasonable manner and, in the case of a sale of Pledged Equity, that the Administrative Agent shall have no obligation to delay sale of any such Pledged Equity for the period of time necessary to permit the issuer of such securities to register such Pledged Equity for public sale under the Securities Act. Neither the Administrative Agent’s compliance with applicable law nor its disclaimer of warranties relating to the Collateral shall be considered to adversely affect the commercial reasonableness of any sale. In addition to all other sums due the Administrative Agent and the Secured Parties with respect to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06" w:name="page407"/>
    <w:bookmarkEnd w:id="406"/>
    <w:p>
      <w:pPr>
        <w:jc w:val="both"/>
        <w:ind w:left="200"/>
        <w:spacing w:after="0" w:line="267" w:lineRule="auto"/>
        <w:rPr>
          <w:sz w:val="20"/>
          <w:szCs w:val="20"/>
          <w:color w:val="auto"/>
        </w:rPr>
      </w:pPr>
      <w:r>
        <w:rPr>
          <w:rFonts w:ascii="Arial" w:cs="Arial" w:eastAsia="Arial" w:hAnsi="Arial"/>
          <w:sz w:val="18"/>
          <w:szCs w:val="18"/>
          <w:color w:val="auto"/>
        </w:rPr>
        <w:t>Obligations, the Obligors shall pay the Administrative Agent and each of the Secured Parties all documented out-of-pocket costs and expenses incurred by the Administrative Agent or any such Secured Party, in enforcing its remedies hereunder including attorneys’ fees and court costs, in obtaining or liquidating the Collateral, in enforcing payment of the Secured Obligations, or in the prosecution or defense of any action or proceeding by or against the Administrative Agent or the Secured Parties or the Obligors concerning any matter arising out of or connected with this Security Agreement, any Collateral or the Secured Obligations, including any of the foregoing arising in, arising under or related to a case under the Debtor Relief Laws. To the extent the rights of notice cannot be legally waived hereunder, each Obligor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Section 11.02 of the Credit Agreement at least ten (10) days before the time of sale or other event giving rise to the requirement of such notice. The Administrative Agent may adjourn any public or private sale from time to time by announcement at the times and place fixed therefor, and such sale may, without further notice, be made at the time and place to which it was so adjourned. Each Obligor further acknowledges and agrees that any offer to sell any Pledged Equity which has been</w:t>
      </w:r>
    </w:p>
    <w:p>
      <w:pPr>
        <w:spacing w:after="0" w:line="5" w:lineRule="exact"/>
        <w:rPr>
          <w:sz w:val="20"/>
          <w:szCs w:val="20"/>
          <w:color w:val="auto"/>
        </w:rPr>
      </w:pPr>
    </w:p>
    <w:p>
      <w:pPr>
        <w:jc w:val="both"/>
        <w:ind w:left="200" w:hanging="4"/>
        <w:spacing w:after="0" w:line="268" w:lineRule="auto"/>
        <w:tabs>
          <w:tab w:leader="none" w:pos="56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publicly advertised on a bona fide basis in a newspaper or other publication of general circulation in the financial community of New York, New York (to the extent that such offer may be advertised without prior registration under the Securities Act), or (B) made privately in the manner described above shall be deemed to involve a “public sale” under the UCC, notwithstanding that such sale may not constitute a “public offering” under the Securities Act, and the Administrative Agent may, in such event, bid for the purchase of such Pledged Equity. The Administrative Agent shall not be obligated to make any sale or other disposition of the Collateral regardless of notice having been given. To the extent permitted by law, any Secured Party may be a purchaser at any such sale. To the extent permitted by applicable law, each of the Obligors hereby waives all of its rights of redemption with respect to any such sale. Subject to the provisions of applicable law, the Administrative Agent may adjourn or postpone or cause the postponement of the sale of all or any portion of the Collateral by announcement at the time and place of such sale, and such sale may, without further notice, to the extent permitted by law, be made at the time and place to which the sale was adjourned or postponed, or the Administrative Agent may further adjourn or postpone such sale by announcement made at such time and place.</w:t>
      </w:r>
    </w:p>
    <w:p>
      <w:pPr>
        <w:spacing w:after="0" w:line="178" w:lineRule="exact"/>
        <w:rPr>
          <w:rFonts w:ascii="Arial" w:cs="Arial" w:eastAsia="Arial" w:hAnsi="Arial"/>
          <w:sz w:val="18"/>
          <w:szCs w:val="18"/>
          <w:color w:val="auto"/>
        </w:rPr>
      </w:pPr>
    </w:p>
    <w:p>
      <w:pPr>
        <w:jc w:val="both"/>
        <w:ind w:left="200" w:firstLine="644"/>
        <w:spacing w:after="0" w:line="305" w:lineRule="auto"/>
        <w:tabs>
          <w:tab w:leader="none" w:pos="1645"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Remedies relating to Accounts</w:t>
      </w:r>
      <w:r>
        <w:rPr>
          <w:rFonts w:ascii="Arial" w:cs="Arial" w:eastAsia="Arial" w:hAnsi="Arial"/>
          <w:sz w:val="16"/>
          <w:szCs w:val="16"/>
          <w:color w:val="auto"/>
        </w:rPr>
        <w:t>. Upon the occurrence and during the continuance of an Event of Default, whether or not the Administrative Agent has exercised any or all of its rights and remedies hereunder, (i) each Obligor will promptly upon request of the Administrative Agent instruct all account debtors to remit all payments in respect of Accounts to a mailing location selected by the Administrative Agent, and (ii) the Administrative Agent shall have the right to enforce any Obligor’s rights against its customers and account debtors, and the Administrative Agent or its designee may notify (or require any Obligor to notify) any Obligor’s customers and account debtors that the Accounts of such Obligor have been assigned to the Administrative Agent or of the Administrative Agent’s security interest therein, and may (either in its own name or in the name of an Obligor or both) demand, collect (including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Secured Parties in the Accounts. Each Obligor acknowledges and agrees that the Proceeds of its Accounts remitted to or on behalf of the Administrative Agent in accordance with the provisions hereof shall be solely for the Administrative Agent’s own convenience and that such Obligor shall not have any right, title or interest in such Accounts or in any such other amounts except as expressly provided 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7" w:name="page408"/>
    <w:bookmarkEnd w:id="407"/>
    <w:p>
      <w:pPr>
        <w:jc w:val="both"/>
        <w:ind w:left="200"/>
        <w:spacing w:after="0" w:line="255" w:lineRule="auto"/>
        <w:rPr>
          <w:sz w:val="20"/>
          <w:szCs w:val="20"/>
          <w:color w:val="auto"/>
        </w:rPr>
      </w:pPr>
      <w:r>
        <w:rPr>
          <w:rFonts w:ascii="Arial" w:cs="Arial" w:eastAsia="Arial" w:hAnsi="Arial"/>
          <w:sz w:val="19"/>
          <w:szCs w:val="19"/>
          <w:color w:val="auto"/>
        </w:rPr>
        <w:t>Administrative Agent and the Secured Parties shall have no liability or responsibility to any Obligor for acceptance of a check, draft or other order for payment of money bearing the legend “payment in full” or words of similar import or any other restrictive legend or endorsement or be responsible for determining the correctness of any remittance. Furthermore, upon the occurrence and during the continuance of an Event of Default, (A) the Administrative Agent shall have the right, but not the obligation, to make test verifications of the Accounts in any manner and through any medium that it reasonably considers advisable, and the Obligors shall furnish all such assistance and information as the Administrative Agent may require in connection with such test verifications, (B) upon the Administrative Agent’s request and at the expense of the Obligors, the Obligors shall cause independent public accountants or others reasonably satisfactory to the Administrative Agent to furnish to the Administrative Agent reports showing reconciliations, aging and test verifications of, and trial balances for, the Accounts, and (C) the Administrative Agent in its own name or in the name of others may communicate with account debtors on the Accounts to verify with them to the Administrative Agent’s satisfaction the existence, amount and terms of any Accounts.</w:t>
      </w:r>
    </w:p>
    <w:p>
      <w:pPr>
        <w:spacing w:after="0" w:line="182" w:lineRule="exact"/>
        <w:rPr>
          <w:sz w:val="20"/>
          <w:szCs w:val="20"/>
          <w:color w:val="auto"/>
        </w:rPr>
      </w:pPr>
    </w:p>
    <w:p>
      <w:pPr>
        <w:jc w:val="both"/>
        <w:ind w:left="200" w:firstLine="644"/>
        <w:spacing w:after="0" w:line="250" w:lineRule="auto"/>
        <w:tabs>
          <w:tab w:leader="none" w:pos="1648" w:val="left"/>
        </w:tabs>
        <w:numPr>
          <w:ilvl w:val="0"/>
          <w:numId w:val="436"/>
        </w:numPr>
        <w:rPr>
          <w:rFonts w:ascii="Arial" w:cs="Arial" w:eastAsia="Arial" w:hAnsi="Arial"/>
          <w:sz w:val="20"/>
          <w:szCs w:val="20"/>
          <w:color w:val="auto"/>
        </w:rPr>
      </w:pPr>
      <w:r>
        <w:rPr>
          <w:rFonts w:ascii="Arial" w:cs="Arial" w:eastAsia="Arial" w:hAnsi="Arial"/>
          <w:sz w:val="20"/>
          <w:szCs w:val="20"/>
          <w:u w:val="single" w:color="auto"/>
          <w:color w:val="auto"/>
        </w:rPr>
        <w:t>Deposit Accounts</w:t>
      </w:r>
      <w:r>
        <w:rPr>
          <w:rFonts w:ascii="Arial" w:cs="Arial" w:eastAsia="Arial" w:hAnsi="Arial"/>
          <w:sz w:val="20"/>
          <w:szCs w:val="20"/>
          <w:color w:val="auto"/>
        </w:rPr>
        <w:t>. Upon the occurrence and during the continuance of an Event of Default, the Administrative Agent may prevent withdrawals or other dispositions of funds in Deposit Accounts maintained with the Administrative Agent.</w:t>
      </w:r>
    </w:p>
    <w:p>
      <w:pPr>
        <w:spacing w:after="0" w:line="185" w:lineRule="exact"/>
        <w:rPr>
          <w:rFonts w:ascii="Arial" w:cs="Arial" w:eastAsia="Arial" w:hAnsi="Arial"/>
          <w:sz w:val="20"/>
          <w:szCs w:val="20"/>
          <w:color w:val="auto"/>
        </w:rPr>
      </w:pPr>
    </w:p>
    <w:p>
      <w:pPr>
        <w:jc w:val="both"/>
        <w:ind w:left="200" w:firstLine="644"/>
        <w:spacing w:after="0" w:line="274" w:lineRule="auto"/>
        <w:tabs>
          <w:tab w:leader="none" w:pos="1726"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In addition to the rights and remedies hereunder, upon the occurrence and during the continuance of an Event of Default, the Administrative Agent shall have the right to enter and remain upon the various premises of the Obligors without cost or charge to the Administrative Agent, and use the same, together with materials, supplies, books and records of the Obligors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spacing w:after="0" w:line="168" w:lineRule="exact"/>
        <w:rPr>
          <w:rFonts w:ascii="Arial" w:cs="Arial" w:eastAsia="Arial" w:hAnsi="Arial"/>
          <w:sz w:val="18"/>
          <w:szCs w:val="18"/>
          <w:color w:val="auto"/>
        </w:rPr>
      </w:pPr>
    </w:p>
    <w:p>
      <w:pPr>
        <w:jc w:val="both"/>
        <w:ind w:left="200" w:firstLine="644"/>
        <w:spacing w:after="0" w:line="255" w:lineRule="auto"/>
        <w:tabs>
          <w:tab w:leader="none" w:pos="1594" w:val="left"/>
        </w:tabs>
        <w:numPr>
          <w:ilvl w:val="0"/>
          <w:numId w:val="436"/>
        </w:numPr>
        <w:rPr>
          <w:rFonts w:ascii="Arial" w:cs="Arial" w:eastAsia="Arial" w:hAnsi="Arial"/>
          <w:sz w:val="19"/>
          <w:szCs w:val="19"/>
          <w:color w:val="auto"/>
        </w:rPr>
      </w:pPr>
      <w:r>
        <w:rPr>
          <w:rFonts w:ascii="Arial" w:cs="Arial" w:eastAsia="Arial" w:hAnsi="Arial"/>
          <w:sz w:val="19"/>
          <w:szCs w:val="19"/>
          <w:u w:val="single" w:color="auto"/>
          <w:color w:val="auto"/>
        </w:rPr>
        <w:t>Nonexclusive Nature of Remedies</w:t>
      </w:r>
      <w:r>
        <w:rPr>
          <w:rFonts w:ascii="Arial" w:cs="Arial" w:eastAsia="Arial" w:hAnsi="Arial"/>
          <w:sz w:val="19"/>
          <w:szCs w:val="19"/>
          <w:color w:val="auto"/>
        </w:rPr>
        <w:t>. Failure by the Administrative Agent or the Secured Parties to exercise any right, remedy or option under this Agreement, any other Loan Document, any other document relating to the Secured Obligations, or as provided by law, or any delay by the Administrative Agent or the Secured Parties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Secured Parties shall only be granted as provided herein. To the extent permitted by law, neither the Administrative Agent, the Secured Parties, nor any party acting as attorney for the Administrative Agent or the Secured Parties, shall be liable hereunder for any acts or omissions or for any error of judgment or mistake of fact or law other than their gross negligence or willful misconduct hereunder, as determined by a court of competent jurisdiction by final and non-appealable judgment. The rights and remedies of the Administrative Agent and the Secured Parties under this Agreement shall be cumulative and not exclusive of any other right or remedy that the Administrative Agent or the Secured Parties may have.</w:t>
      </w:r>
    </w:p>
    <w:p>
      <w:pPr>
        <w:spacing w:after="0" w:line="181" w:lineRule="exact"/>
        <w:rPr>
          <w:rFonts w:ascii="Arial" w:cs="Arial" w:eastAsia="Arial" w:hAnsi="Arial"/>
          <w:sz w:val="19"/>
          <w:szCs w:val="19"/>
          <w:color w:val="auto"/>
        </w:rPr>
      </w:pPr>
    </w:p>
    <w:p>
      <w:pPr>
        <w:jc w:val="both"/>
        <w:ind w:left="200" w:firstLine="644"/>
        <w:spacing w:after="0" w:line="244" w:lineRule="auto"/>
        <w:tabs>
          <w:tab w:leader="none" w:pos="1554" w:val="left"/>
        </w:tabs>
        <w:numPr>
          <w:ilvl w:val="0"/>
          <w:numId w:val="436"/>
        </w:numPr>
        <w:rPr>
          <w:rFonts w:ascii="Arial" w:cs="Arial" w:eastAsia="Arial" w:hAnsi="Arial"/>
          <w:sz w:val="20"/>
          <w:szCs w:val="20"/>
          <w:color w:val="auto"/>
        </w:rPr>
      </w:pPr>
      <w:r>
        <w:rPr>
          <w:rFonts w:ascii="Arial" w:cs="Arial" w:eastAsia="Arial" w:hAnsi="Arial"/>
          <w:sz w:val="20"/>
          <w:szCs w:val="20"/>
          <w:u w:val="single" w:color="auto"/>
          <w:color w:val="auto"/>
        </w:rPr>
        <w:t>Retention of Collateral</w:t>
      </w:r>
      <w:r>
        <w:rPr>
          <w:rFonts w:ascii="Arial" w:cs="Arial" w:eastAsia="Arial" w:hAnsi="Arial"/>
          <w:sz w:val="20"/>
          <w:szCs w:val="20"/>
          <w:color w:val="auto"/>
        </w:rPr>
        <w:t>. In addition to the rights and remedies hereunder, the Administrative Agent may, in compliance with Sections 9-620 and 9-621 of the UCC or otherwise complying with the requirements of applicable law of the relevant jurisdiction, accept or retain all or any portion of the Collateral in satisfaction of the Secured Obligations. Unless and until the Administrative Agent shall have provided such notices, however,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8" w:name="page409"/>
    <w:bookmarkEnd w:id="408"/>
    <w:p>
      <w:pPr>
        <w:ind w:left="200"/>
        <w:spacing w:after="0" w:line="260" w:lineRule="auto"/>
        <w:rPr>
          <w:sz w:val="20"/>
          <w:szCs w:val="20"/>
          <w:color w:val="auto"/>
        </w:rPr>
      </w:pPr>
      <w:r>
        <w:rPr>
          <w:rFonts w:ascii="Arial" w:cs="Arial" w:eastAsia="Arial" w:hAnsi="Arial"/>
          <w:sz w:val="20"/>
          <w:szCs w:val="20"/>
          <w:color w:val="auto"/>
        </w:rPr>
        <w:t>Agent shall not be deemed to have accepted or retained any Collateral in satisfaction of any Secured Obligations for any reason.</w:t>
      </w:r>
    </w:p>
    <w:p>
      <w:pPr>
        <w:spacing w:after="0" w:line="177" w:lineRule="exact"/>
        <w:rPr>
          <w:sz w:val="20"/>
          <w:szCs w:val="20"/>
          <w:color w:val="auto"/>
        </w:rPr>
      </w:pPr>
    </w:p>
    <w:p>
      <w:pPr>
        <w:jc w:val="both"/>
        <w:ind w:left="200" w:firstLine="644"/>
        <w:spacing w:after="0" w:line="259" w:lineRule="auto"/>
        <w:tabs>
          <w:tab w:leader="none" w:pos="1618" w:val="left"/>
        </w:tabs>
        <w:numPr>
          <w:ilvl w:val="1"/>
          <w:numId w:val="437"/>
        </w:numPr>
        <w:rPr>
          <w:rFonts w:ascii="Arial" w:cs="Arial" w:eastAsia="Arial" w:hAnsi="Arial"/>
          <w:sz w:val="19"/>
          <w:szCs w:val="19"/>
          <w:color w:val="auto"/>
        </w:rPr>
      </w:pPr>
      <w:r>
        <w:rPr>
          <w:rFonts w:ascii="Arial" w:cs="Arial" w:eastAsia="Arial" w:hAnsi="Arial"/>
          <w:sz w:val="19"/>
          <w:szCs w:val="19"/>
          <w:u w:val="single" w:color="auto"/>
          <w:color w:val="auto"/>
        </w:rPr>
        <w:t>Deficiency</w:t>
      </w:r>
      <w:r>
        <w:rPr>
          <w:rFonts w:ascii="Arial" w:cs="Arial" w:eastAsia="Arial" w:hAnsi="Arial"/>
          <w:sz w:val="19"/>
          <w:szCs w:val="19"/>
          <w:color w:val="auto"/>
        </w:rPr>
        <w:t>. In the event that the proceeds of any sale, collection or realization are insufficient to pay all amounts to which the Administrative Agent or the Secured Parties are legally entitled, the Obligors shall be jointly and severally liable for the deficiency, together with interest thereon at the Default Rate, together with the costs of collection and the fees, charges and disbursements of counsel. Any surplus remaining after the full payment and satisfaction of the Secured Obligations shall be returned to the Obligors or to whomsoever a court of competent jurisdiction shall determine to be entitled thereto.</w:t>
      </w:r>
    </w:p>
    <w:p>
      <w:pPr>
        <w:spacing w:after="0" w:line="178" w:lineRule="exact"/>
        <w:rPr>
          <w:rFonts w:ascii="Arial" w:cs="Arial" w:eastAsia="Arial" w:hAnsi="Arial"/>
          <w:sz w:val="19"/>
          <w:szCs w:val="19"/>
          <w:color w:val="auto"/>
        </w:rPr>
      </w:pPr>
    </w:p>
    <w:p>
      <w:pPr>
        <w:ind w:left="840" w:hanging="644"/>
        <w:spacing w:after="0"/>
        <w:tabs>
          <w:tab w:leader="none" w:pos="840" w:val="left"/>
        </w:tabs>
        <w:numPr>
          <w:ilvl w:val="0"/>
          <w:numId w:val="438"/>
        </w:numPr>
        <w:rPr>
          <w:rFonts w:ascii="Arial" w:cs="Arial" w:eastAsia="Arial" w:hAnsi="Arial"/>
          <w:sz w:val="20"/>
          <w:szCs w:val="20"/>
          <w:color w:val="auto"/>
        </w:rPr>
      </w:pPr>
      <w:r>
        <w:rPr>
          <w:rFonts w:ascii="Arial" w:cs="Arial" w:eastAsia="Arial" w:hAnsi="Arial"/>
          <w:sz w:val="20"/>
          <w:szCs w:val="20"/>
          <w:u w:val="single" w:color="auto"/>
          <w:color w:val="auto"/>
        </w:rPr>
        <w:t>Rights of the Administrative Agent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00" w:firstLine="644"/>
        <w:spacing w:after="0" w:line="282" w:lineRule="auto"/>
        <w:tabs>
          <w:tab w:leader="none" w:pos="1580" w:val="left"/>
        </w:tabs>
        <w:numPr>
          <w:ilvl w:val="1"/>
          <w:numId w:val="438"/>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In addition to other powers of attorney contained herein, each Obligor hereby designates and appoints the Administrative Agent, on behalf of the Secured Parties, and each of its designees or agents, as attorney-in-fact of such Obligor, irrevocably and with power of substitution, with authority to take any or all of the following actions upon the occurrence and during the continuance of an Event of Default:</w:t>
      </w:r>
    </w:p>
    <w:p>
      <w:pPr>
        <w:spacing w:after="0" w:line="161" w:lineRule="exact"/>
        <w:rPr>
          <w:rFonts w:ascii="Arial" w:cs="Arial" w:eastAsia="Arial" w:hAnsi="Arial"/>
          <w:sz w:val="18"/>
          <w:szCs w:val="18"/>
          <w:color w:val="auto"/>
        </w:rPr>
      </w:pPr>
    </w:p>
    <w:p>
      <w:pPr>
        <w:ind w:left="840" w:firstLine="652"/>
        <w:spacing w:after="0" w:line="260" w:lineRule="auto"/>
        <w:tabs>
          <w:tab w:leader="none" w:pos="2275" w:val="left"/>
        </w:tabs>
        <w:numPr>
          <w:ilvl w:val="2"/>
          <w:numId w:val="438"/>
        </w:numPr>
        <w:rPr>
          <w:rFonts w:ascii="Arial" w:cs="Arial" w:eastAsia="Arial" w:hAnsi="Arial"/>
          <w:sz w:val="20"/>
          <w:szCs w:val="20"/>
          <w:color w:val="auto"/>
        </w:rPr>
      </w:pPr>
      <w:r>
        <w:rPr>
          <w:rFonts w:ascii="Arial" w:cs="Arial" w:eastAsia="Arial" w:hAnsi="Arial"/>
          <w:sz w:val="20"/>
          <w:szCs w:val="20"/>
          <w:color w:val="auto"/>
        </w:rPr>
        <w:t>to demand, collect, settle, compromise, adjust and give discharges and releases, all as the Administrative Agent may reasonably deem appropriate;</w:t>
      </w:r>
    </w:p>
    <w:p>
      <w:pPr>
        <w:spacing w:after="0" w:line="176" w:lineRule="exact"/>
        <w:rPr>
          <w:rFonts w:ascii="Arial" w:cs="Arial" w:eastAsia="Arial" w:hAnsi="Arial"/>
          <w:sz w:val="20"/>
          <w:szCs w:val="20"/>
          <w:color w:val="auto"/>
        </w:rPr>
      </w:pPr>
    </w:p>
    <w:p>
      <w:pPr>
        <w:ind w:left="840" w:firstLine="652"/>
        <w:spacing w:after="0" w:line="260" w:lineRule="auto"/>
        <w:tabs>
          <w:tab w:leader="none" w:pos="2261" w:val="left"/>
        </w:tabs>
        <w:numPr>
          <w:ilvl w:val="2"/>
          <w:numId w:val="438"/>
        </w:numPr>
        <w:rPr>
          <w:rFonts w:ascii="Arial" w:cs="Arial" w:eastAsia="Arial" w:hAnsi="Arial"/>
          <w:sz w:val="20"/>
          <w:szCs w:val="20"/>
          <w:color w:val="auto"/>
        </w:rPr>
      </w:pPr>
      <w:r>
        <w:rPr>
          <w:rFonts w:ascii="Arial" w:cs="Arial" w:eastAsia="Arial" w:hAnsi="Arial"/>
          <w:sz w:val="20"/>
          <w:szCs w:val="20"/>
          <w:color w:val="auto"/>
        </w:rPr>
        <w:t>to commence and prosecute any actions at any court for the purposes of collecting any of the Collateral and enforcing any other right in respect thereof;</w:t>
      </w:r>
    </w:p>
    <w:p>
      <w:pPr>
        <w:spacing w:after="0" w:line="176" w:lineRule="exact"/>
        <w:rPr>
          <w:rFonts w:ascii="Arial" w:cs="Arial" w:eastAsia="Arial" w:hAnsi="Arial"/>
          <w:sz w:val="20"/>
          <w:szCs w:val="20"/>
          <w:color w:val="auto"/>
        </w:rPr>
      </w:pPr>
    </w:p>
    <w:p>
      <w:pPr>
        <w:ind w:left="840" w:firstLine="652"/>
        <w:spacing w:after="0" w:line="316" w:lineRule="auto"/>
        <w:tabs>
          <w:tab w:leader="none" w:pos="2221"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defend, settle or compromise any action, suit or proceeding brought and, in connection therewith, give such discharge or release as the Administrative Agent may reasonably deem appropriate;</w:t>
      </w:r>
    </w:p>
    <w:p>
      <w:pPr>
        <w:spacing w:after="0" w:line="129" w:lineRule="exact"/>
        <w:rPr>
          <w:rFonts w:ascii="Arial" w:cs="Arial" w:eastAsia="Arial" w:hAnsi="Arial"/>
          <w:sz w:val="18"/>
          <w:szCs w:val="18"/>
          <w:color w:val="auto"/>
        </w:rPr>
      </w:pPr>
    </w:p>
    <w:p>
      <w:pPr>
        <w:jc w:val="both"/>
        <w:ind w:left="840" w:firstLine="652"/>
        <w:spacing w:after="0" w:line="263" w:lineRule="auto"/>
        <w:tabs>
          <w:tab w:leader="none" w:pos="2292" w:val="left"/>
        </w:tabs>
        <w:numPr>
          <w:ilvl w:val="2"/>
          <w:numId w:val="438"/>
        </w:numPr>
        <w:rPr>
          <w:rFonts w:ascii="Arial" w:cs="Arial" w:eastAsia="Arial" w:hAnsi="Arial"/>
          <w:sz w:val="19"/>
          <w:szCs w:val="19"/>
          <w:color w:val="auto"/>
        </w:rPr>
      </w:pPr>
      <w:r>
        <w:rPr>
          <w:rFonts w:ascii="Arial" w:cs="Arial" w:eastAsia="Arial" w:hAnsi="Arial"/>
          <w:sz w:val="19"/>
          <w:szCs w:val="19"/>
          <w:color w:val="auto"/>
        </w:rPr>
        <w:t>to receive, open and dispose of mail addressed to an Obligor and endorse checks, notes, drafts, acceptances, money orders, bills of lading, warehouse receipts or other instruments or documents evidencing payment, shipment or storage of the goods giving rise to the Collateral of such Obligor on behalf of and in the name of such Obligor, or securing, or relating to such Collateral;</w:t>
      </w:r>
    </w:p>
    <w:p>
      <w:pPr>
        <w:spacing w:after="0" w:line="176" w:lineRule="exact"/>
        <w:rPr>
          <w:rFonts w:ascii="Arial" w:cs="Arial" w:eastAsia="Arial" w:hAnsi="Arial"/>
          <w:sz w:val="19"/>
          <w:szCs w:val="19"/>
          <w:color w:val="auto"/>
        </w:rPr>
      </w:pPr>
    </w:p>
    <w:p>
      <w:pPr>
        <w:jc w:val="both"/>
        <w:ind w:left="840" w:firstLine="652"/>
        <w:spacing w:after="0" w:line="291" w:lineRule="auto"/>
        <w:tabs>
          <w:tab w:leader="none" w:pos="2428"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sell, assign, transfer, make any agreement in respect of, or otherwise deal with or exercise rights in respect of, any Collateral or the goods or services which have given rise thereto, as fully and completely as though the Administrative Agent were the absolute owner thereof for all purposes;</w:t>
      </w:r>
    </w:p>
    <w:p>
      <w:pPr>
        <w:spacing w:after="0" w:line="151" w:lineRule="exact"/>
        <w:rPr>
          <w:rFonts w:ascii="Arial" w:cs="Arial" w:eastAsia="Arial" w:hAnsi="Arial"/>
          <w:sz w:val="18"/>
          <w:szCs w:val="18"/>
          <w:color w:val="auto"/>
        </w:rPr>
      </w:pPr>
    </w:p>
    <w:p>
      <w:pPr>
        <w:ind w:left="2180" w:hanging="688"/>
        <w:spacing w:after="0"/>
        <w:tabs>
          <w:tab w:leader="none" w:pos="2180" w:val="left"/>
        </w:tabs>
        <w:numPr>
          <w:ilvl w:val="2"/>
          <w:numId w:val="438"/>
        </w:numPr>
        <w:rPr>
          <w:rFonts w:ascii="Arial" w:cs="Arial" w:eastAsia="Arial" w:hAnsi="Arial"/>
          <w:sz w:val="20"/>
          <w:szCs w:val="20"/>
          <w:color w:val="auto"/>
        </w:rPr>
      </w:pPr>
      <w:r>
        <w:rPr>
          <w:rFonts w:ascii="Arial" w:cs="Arial" w:eastAsia="Arial" w:hAnsi="Arial"/>
          <w:sz w:val="20"/>
          <w:szCs w:val="20"/>
          <w:color w:val="auto"/>
        </w:rPr>
        <w:t>to adjust and settle claims under any insurance policy relating thereto;</w:t>
      </w:r>
    </w:p>
    <w:p>
      <w:pPr>
        <w:spacing w:after="0" w:line="215" w:lineRule="exact"/>
        <w:rPr>
          <w:rFonts w:ascii="Arial" w:cs="Arial" w:eastAsia="Arial" w:hAnsi="Arial"/>
          <w:sz w:val="20"/>
          <w:szCs w:val="20"/>
          <w:color w:val="auto"/>
        </w:rPr>
      </w:pPr>
    </w:p>
    <w:p>
      <w:pPr>
        <w:jc w:val="both"/>
        <w:ind w:left="840" w:firstLine="652"/>
        <w:spacing w:after="0" w:line="244" w:lineRule="auto"/>
        <w:tabs>
          <w:tab w:leader="none" w:pos="2370" w:val="left"/>
        </w:tabs>
        <w:numPr>
          <w:ilvl w:val="2"/>
          <w:numId w:val="438"/>
        </w:numPr>
        <w:rPr>
          <w:rFonts w:ascii="Arial" w:cs="Arial" w:eastAsia="Arial" w:hAnsi="Arial"/>
          <w:sz w:val="20"/>
          <w:szCs w:val="20"/>
          <w:color w:val="auto"/>
        </w:rPr>
      </w:pPr>
      <w:r>
        <w:rPr>
          <w:rFonts w:ascii="Arial" w:cs="Arial" w:eastAsia="Arial" w:hAnsi="Arial"/>
          <w:sz w:val="20"/>
          <w:szCs w:val="20"/>
          <w:color w:val="auto"/>
        </w:rPr>
        <w:t>to execute and deliver all assignments, conveyances, statements, financing statements, renewal financing statements, security and pledge agreements, affidavits, notices and other agreements, instruments and documents that the Administrative Agent may deem necessary in order to perfect and maintain the security interests and liens granted in this Agreement and in order to fully consummate all of the transactions contemplated therein;</w:t>
      </w:r>
    </w:p>
    <w:p>
      <w:pPr>
        <w:spacing w:after="0" w:line="194" w:lineRule="exact"/>
        <w:rPr>
          <w:rFonts w:ascii="Arial" w:cs="Arial" w:eastAsia="Arial" w:hAnsi="Arial"/>
          <w:sz w:val="20"/>
          <w:szCs w:val="20"/>
          <w:color w:val="auto"/>
        </w:rPr>
      </w:pPr>
    </w:p>
    <w:p>
      <w:pPr>
        <w:ind w:left="2140" w:hanging="648"/>
        <w:spacing w:after="0"/>
        <w:tabs>
          <w:tab w:leader="none" w:pos="2140"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institute any foreclosure proceedings that the Administrative Agent may reasonably deem</w:t>
      </w:r>
    </w:p>
    <w:p>
      <w:pPr>
        <w:spacing w:after="0" w:line="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color w:val="auto"/>
        </w:rPr>
        <w:t>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09" w:name="page410"/>
    <w:bookmarkEnd w:id="409"/>
    <w:p>
      <w:pPr>
        <w:ind w:left="840" w:firstLine="652"/>
        <w:spacing w:after="0" w:line="260" w:lineRule="auto"/>
        <w:tabs>
          <w:tab w:leader="none" w:pos="2289"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to sign and endorse any drafts, assignments, proxies, stock powers, verifications, notices and other documents relating to the Collateral;</w:t>
      </w:r>
    </w:p>
    <w:p>
      <w:pPr>
        <w:spacing w:after="0" w:line="176" w:lineRule="exact"/>
        <w:rPr>
          <w:rFonts w:ascii="Arial" w:cs="Arial" w:eastAsia="Arial" w:hAnsi="Arial"/>
          <w:sz w:val="20"/>
          <w:szCs w:val="20"/>
          <w:color w:val="auto"/>
        </w:rPr>
      </w:pPr>
    </w:p>
    <w:p>
      <w:pPr>
        <w:jc w:val="both"/>
        <w:ind w:left="840" w:firstLine="652"/>
        <w:spacing w:after="0" w:line="282" w:lineRule="auto"/>
        <w:tabs>
          <w:tab w:leader="none" w:pos="2263"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exchange any of the Pledged Equity or other property upon any merger, consolidation, reorganization, recapitalization or other readjustment of the issuer thereof and, in connection therewith, deposit any of the Pledged Equity with any committee, depository, transfer agent, registrar or other designated agency upon such terms as the Administrative Agent may reasonably deem appropriate;</w:t>
      </w:r>
    </w:p>
    <w:p>
      <w:pPr>
        <w:spacing w:after="0" w:line="161" w:lineRule="exact"/>
        <w:rPr>
          <w:rFonts w:ascii="Arial" w:cs="Arial" w:eastAsia="Arial" w:hAnsi="Arial"/>
          <w:sz w:val="18"/>
          <w:szCs w:val="18"/>
          <w:color w:val="auto"/>
        </w:rPr>
      </w:pPr>
    </w:p>
    <w:p>
      <w:pPr>
        <w:jc w:val="both"/>
        <w:ind w:left="840" w:firstLine="652"/>
        <w:spacing w:after="0" w:line="246" w:lineRule="auto"/>
        <w:tabs>
          <w:tab w:leader="none" w:pos="2317"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to vote for a shareholder resolution, or to sign an instrument in writing, sanctioning the transfer of any or all of the Pledged Equity into the name of the Administrative Agent or one or more of the Secured Parties or into the name of any transferee to whom the Pledged Equity or any part thereof may be sold pursuant to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840" w:firstLine="652"/>
        <w:spacing w:after="0" w:line="260" w:lineRule="auto"/>
        <w:tabs>
          <w:tab w:leader="none" w:pos="226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to pay or discharge taxes, liens, security interests or other encumbrances levied or placed on or threatened against the Collateral;</w:t>
      </w:r>
    </w:p>
    <w:p>
      <w:pPr>
        <w:spacing w:after="0" w:line="176" w:lineRule="exact"/>
        <w:rPr>
          <w:rFonts w:ascii="Arial" w:cs="Arial" w:eastAsia="Arial" w:hAnsi="Arial"/>
          <w:sz w:val="20"/>
          <w:szCs w:val="20"/>
          <w:color w:val="auto"/>
        </w:rPr>
      </w:pPr>
    </w:p>
    <w:p>
      <w:pPr>
        <w:jc w:val="both"/>
        <w:ind w:left="840" w:firstLine="652"/>
        <w:spacing w:after="0" w:line="250" w:lineRule="auto"/>
        <w:tabs>
          <w:tab w:leader="none" w:pos="2141"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85" w:lineRule="exact"/>
        <w:rPr>
          <w:rFonts w:ascii="Arial" w:cs="Arial" w:eastAsia="Arial" w:hAnsi="Arial"/>
          <w:sz w:val="20"/>
          <w:szCs w:val="20"/>
          <w:color w:val="auto"/>
        </w:rPr>
      </w:pPr>
    </w:p>
    <w:p>
      <w:pPr>
        <w:ind w:left="840" w:firstLine="652"/>
        <w:spacing w:after="0" w:line="260" w:lineRule="auto"/>
        <w:tabs>
          <w:tab w:leader="none" w:pos="2258"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to receive payment of and receipt for any and all monies, claims, and other amounts due and to become due at any time in respect of or arising out of any Collateral; and</w:t>
      </w:r>
    </w:p>
    <w:p>
      <w:pPr>
        <w:spacing w:after="0" w:line="176" w:lineRule="exact"/>
        <w:rPr>
          <w:rFonts w:ascii="Arial" w:cs="Arial" w:eastAsia="Arial" w:hAnsi="Arial"/>
          <w:sz w:val="20"/>
          <w:szCs w:val="20"/>
          <w:color w:val="auto"/>
        </w:rPr>
      </w:pPr>
    </w:p>
    <w:p>
      <w:pPr>
        <w:ind w:left="840" w:right="20" w:firstLine="652"/>
        <w:spacing w:after="0" w:line="260" w:lineRule="auto"/>
        <w:tabs>
          <w:tab w:leader="none" w:pos="2447"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to do and perform all such other acts and things as the Administrative Agent may reasonably deem appropriate or convenient in connection with the Collateral.</w:t>
      </w:r>
    </w:p>
    <w:p>
      <w:pPr>
        <w:spacing w:after="0" w:line="177" w:lineRule="exact"/>
        <w:rPr>
          <w:sz w:val="20"/>
          <w:szCs w:val="20"/>
          <w:color w:val="auto"/>
        </w:rPr>
      </w:pPr>
    </w:p>
    <w:p>
      <w:pPr>
        <w:jc w:val="both"/>
        <w:ind w:left="200"/>
        <w:spacing w:after="0" w:line="242" w:lineRule="auto"/>
        <w:rPr>
          <w:sz w:val="20"/>
          <w:szCs w:val="20"/>
          <w:color w:val="auto"/>
        </w:rPr>
      </w:pPr>
      <w:r>
        <w:rPr>
          <w:rFonts w:ascii="Arial" w:cs="Arial" w:eastAsia="Arial" w:hAnsi="Arial"/>
          <w:sz w:val="20"/>
          <w:szCs w:val="20"/>
          <w:color w:val="auto"/>
        </w:rPr>
        <w:t>This power of attorney is a power coupled with an interest and shall be irrevocable until the Facility Termination Date. The Administrative Agent shall be under no duty to exercise or withhold the exercise of any of the rights, powers, privileges and options expressly or implicitly granted to the Administrative Agent in this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as determined by a court of competent jurisdiction by final and non-appealable judgment. This power of attorney is conferred on the Administrative Agent solely to protect, preserve and realize upon its security interest in the Collateral.</w:t>
      </w:r>
    </w:p>
    <w:p>
      <w:pPr>
        <w:spacing w:after="0" w:line="194" w:lineRule="exact"/>
        <w:rPr>
          <w:sz w:val="20"/>
          <w:szCs w:val="20"/>
          <w:color w:val="auto"/>
        </w:rPr>
      </w:pPr>
    </w:p>
    <w:p>
      <w:pPr>
        <w:jc w:val="both"/>
        <w:ind w:left="200" w:firstLine="644"/>
        <w:spacing w:after="0" w:line="246" w:lineRule="auto"/>
        <w:tabs>
          <w:tab w:leader="none" w:pos="1551" w:val="left"/>
        </w:tabs>
        <w:numPr>
          <w:ilvl w:val="0"/>
          <w:numId w:val="440"/>
        </w:numPr>
        <w:rPr>
          <w:rFonts w:ascii="Arial" w:cs="Arial" w:eastAsia="Arial" w:hAnsi="Arial"/>
          <w:sz w:val="20"/>
          <w:szCs w:val="20"/>
          <w:color w:val="auto"/>
        </w:rPr>
      </w:pPr>
      <w:r>
        <w:rPr>
          <w:rFonts w:ascii="Arial" w:cs="Arial" w:eastAsia="Arial" w:hAnsi="Arial"/>
          <w:sz w:val="20"/>
          <w:szCs w:val="20"/>
          <w:u w:val="single" w:color="auto"/>
          <w:color w:val="auto"/>
        </w:rPr>
        <w:t>Assignment by the Administrative Agent</w:t>
      </w:r>
      <w:r>
        <w:rPr>
          <w:rFonts w:ascii="Arial" w:cs="Arial" w:eastAsia="Arial" w:hAnsi="Arial"/>
          <w:sz w:val="20"/>
          <w:szCs w:val="20"/>
          <w:color w:val="auto"/>
        </w:rPr>
        <w:t>. The Administrative Agent may from time to time assign the Secured Obligations to a successor Administrative Agent appointed in accordance with the Credit Agreement, and such successor shall be entitled to all of the rights and remedies of the Administrative Agent under this Agreement in relation thereto.</w:t>
      </w:r>
    </w:p>
    <w:p>
      <w:pPr>
        <w:spacing w:after="0" w:line="191" w:lineRule="exact"/>
        <w:rPr>
          <w:rFonts w:ascii="Arial" w:cs="Arial" w:eastAsia="Arial" w:hAnsi="Arial"/>
          <w:sz w:val="20"/>
          <w:szCs w:val="20"/>
          <w:color w:val="auto"/>
        </w:rPr>
      </w:pPr>
    </w:p>
    <w:p>
      <w:pPr>
        <w:jc w:val="both"/>
        <w:ind w:left="200" w:firstLine="644"/>
        <w:spacing w:after="0" w:line="278" w:lineRule="auto"/>
        <w:tabs>
          <w:tab w:leader="none" w:pos="1567"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The Administrative Agent’s Duty of Care</w:t>
      </w:r>
      <w:r>
        <w:rPr>
          <w:rFonts w:ascii="Arial" w:cs="Arial" w:eastAsia="Arial" w:hAnsi="Arial"/>
          <w:sz w:val="18"/>
          <w:szCs w:val="18"/>
          <w:color w:val="auto"/>
        </w:rPr>
        <w:t>. Other than the exercise of reasonable care to assure the safe custody of the Collateral while being held by the Administrative Agent hereunder, the Administrative Agent shall have no duty or liability to preserve rights pertaining thereto, it being understood and agreed that the Obligors shall be responsible for preservation of all rights in the Collateral, and the Administrative Agent shall be relieved of all responsibility for the Collateral upon surrendering it or tendering the surrender of it to the Obligors.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10" w:name="page411"/>
    <w:bookmarkEnd w:id="410"/>
    <w:p>
      <w:pPr>
        <w:jc w:val="both"/>
        <w:ind w:left="200"/>
        <w:spacing w:after="0" w:line="302" w:lineRule="auto"/>
        <w:rPr>
          <w:sz w:val="20"/>
          <w:szCs w:val="20"/>
          <w:color w:val="auto"/>
        </w:rPr>
      </w:pPr>
      <w:r>
        <w:rPr>
          <w:rFonts w:ascii="Arial" w:cs="Arial" w:eastAsia="Arial" w:hAnsi="Arial"/>
          <w:sz w:val="16"/>
          <w:szCs w:val="16"/>
          <w:color w:val="auto"/>
        </w:rPr>
        <w:t xml:space="preserve">Administrative Agent shall be deemed to have exercised reasonable care in the custody and preservation of the Collateral in its possession if such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Collateral. In the event of a public or private sale of Collateral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the Administrative Agent shall have no responsibility for</w:t>
      </w:r>
    </w:p>
    <w:p>
      <w:pPr>
        <w:spacing w:after="0" w:line="4" w:lineRule="exact"/>
        <w:rPr>
          <w:sz w:val="20"/>
          <w:szCs w:val="20"/>
          <w:color w:val="auto"/>
        </w:rPr>
      </w:pPr>
    </w:p>
    <w:p>
      <w:pPr>
        <w:jc w:val="both"/>
        <w:ind w:left="200" w:hanging="4"/>
        <w:spacing w:after="0" w:line="241" w:lineRule="auto"/>
        <w:tabs>
          <w:tab w:leader="none" w:pos="497"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ascertaining or taking action with respect to any matters relating to any Collateral, whether or not the Administrative Agent has or is deemed to have knowledge of such matters, or (ii) taking any steps to clean, repair or otherwise prepare the Collateral for sale.</w:t>
      </w:r>
    </w:p>
    <w:p>
      <w:pPr>
        <w:spacing w:after="0" w:line="195" w:lineRule="exact"/>
        <w:rPr>
          <w:rFonts w:ascii="Arial" w:cs="Arial" w:eastAsia="Arial" w:hAnsi="Arial"/>
          <w:sz w:val="20"/>
          <w:szCs w:val="20"/>
          <w:color w:val="auto"/>
        </w:rPr>
      </w:pPr>
    </w:p>
    <w:p>
      <w:pPr>
        <w:jc w:val="both"/>
        <w:ind w:left="200" w:firstLine="644"/>
        <w:spacing w:after="0" w:line="270" w:lineRule="auto"/>
        <w:tabs>
          <w:tab w:leader="none" w:pos="1551"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Liability with Respect to Accounts</w:t>
      </w:r>
      <w:r>
        <w:rPr>
          <w:rFonts w:ascii="Arial" w:cs="Arial" w:eastAsia="Arial" w:hAnsi="Arial"/>
          <w:sz w:val="18"/>
          <w:szCs w:val="18"/>
          <w:color w:val="auto"/>
        </w:rPr>
        <w:t>. Anything herein to the contrary notwithstanding, each Obligor shall remain liable under each of the Accounts, as applicable, to observe and perform all the conditions and obligations to be observed and performed by it thereunder, all in accordance with the terms of any agreement giving rise to each such Account. Neither the Administrative Agent nor any Secured Party shall have any obligation or liability under any Account (or any agreement giving rise thereto) by reason of or arising out of this Agreement or the receipt by the Administrative Agent or any Secured Party of any payment relating to such Account pursuant hereto, nor shall the Administrative Agent or any Secured Party be obligated in any manner to perform any of the obligations of an Obligor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75" w:lineRule="exact"/>
        <w:rPr>
          <w:rFonts w:ascii="Arial" w:cs="Arial" w:eastAsia="Arial" w:hAnsi="Arial"/>
          <w:sz w:val="18"/>
          <w:szCs w:val="18"/>
          <w:color w:val="auto"/>
        </w:rPr>
      </w:pPr>
    </w:p>
    <w:p>
      <w:pPr>
        <w:ind w:left="1500" w:hanging="656"/>
        <w:spacing w:after="0"/>
        <w:tabs>
          <w:tab w:leader="none" w:pos="1500" w:val="left"/>
        </w:tabs>
        <w:numPr>
          <w:ilvl w:val="1"/>
          <w:numId w:val="441"/>
        </w:numPr>
        <w:rPr>
          <w:rFonts w:ascii="Arial" w:cs="Arial" w:eastAsia="Arial" w:hAnsi="Arial"/>
          <w:sz w:val="20"/>
          <w:szCs w:val="20"/>
          <w:color w:val="auto"/>
        </w:rPr>
      </w:pPr>
      <w:r>
        <w:rPr>
          <w:rFonts w:ascii="Arial" w:cs="Arial" w:eastAsia="Arial" w:hAnsi="Arial"/>
          <w:sz w:val="20"/>
          <w:szCs w:val="20"/>
          <w:u w:val="single" w:color="auto"/>
          <w:color w:val="auto"/>
        </w:rPr>
        <w:t>Voting and Payment Rights in Respect of the Pledged Equity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43" w:lineRule="auto"/>
        <w:tabs>
          <w:tab w:leader="none" w:pos="2377" w:val="left"/>
        </w:tabs>
        <w:numPr>
          <w:ilvl w:val="2"/>
          <w:numId w:val="441"/>
        </w:numPr>
        <w:rPr>
          <w:rFonts w:ascii="Arial" w:cs="Arial" w:eastAsia="Arial" w:hAnsi="Arial"/>
          <w:sz w:val="20"/>
          <w:szCs w:val="20"/>
          <w:color w:val="auto"/>
        </w:rPr>
      </w:pPr>
      <w:r>
        <w:rPr>
          <w:rFonts w:ascii="Arial" w:cs="Arial" w:eastAsia="Arial" w:hAnsi="Arial"/>
          <w:sz w:val="20"/>
          <w:szCs w:val="20"/>
          <w:color w:val="auto"/>
        </w:rPr>
        <w:t>So long as no Event of Default shall exist, each Obligor may (A) exercise any and all voting and other consensual rights pertaining to the Pledged Equity of such Obligor or any part thereof for any purpose not inconsistent with the terms of this Agreement or the Credit Agreement, and (B) receive and retain any and all dividends (other than stock dividends and other dividends constituting Collateral which are addressed hereinabove), principal or interest paid in respect of the Pledged Equity to the extent they are allowed under the Credit Agreement.</w:t>
      </w:r>
    </w:p>
    <w:p>
      <w:pPr>
        <w:spacing w:after="0" w:line="195" w:lineRule="exact"/>
        <w:rPr>
          <w:rFonts w:ascii="Arial" w:cs="Arial" w:eastAsia="Arial" w:hAnsi="Arial"/>
          <w:sz w:val="20"/>
          <w:szCs w:val="20"/>
          <w:color w:val="auto"/>
        </w:rPr>
      </w:pPr>
    </w:p>
    <w:p>
      <w:pPr>
        <w:jc w:val="both"/>
        <w:ind w:left="840" w:firstLine="652"/>
        <w:spacing w:after="0" w:line="255" w:lineRule="auto"/>
        <w:tabs>
          <w:tab w:leader="none" w:pos="2323" w:val="left"/>
        </w:tabs>
        <w:numPr>
          <w:ilvl w:val="2"/>
          <w:numId w:val="441"/>
        </w:numPr>
        <w:rPr>
          <w:rFonts w:ascii="Arial" w:cs="Arial" w:eastAsia="Arial" w:hAnsi="Arial"/>
          <w:sz w:val="19"/>
          <w:szCs w:val="19"/>
          <w:color w:val="auto"/>
        </w:rPr>
      </w:pPr>
      <w:r>
        <w:rPr>
          <w:rFonts w:ascii="Arial" w:cs="Arial" w:eastAsia="Arial" w:hAnsi="Arial"/>
          <w:sz w:val="19"/>
          <w:szCs w:val="19"/>
          <w:color w:val="auto"/>
        </w:rPr>
        <w:t xml:space="preserve">Upon the occurrence of an Event of Default and during the continuance thereof, (A) all rights of an Obligor to exercise the voting and other consensual rights which it would otherwise be entitled to exercise pursuant to </w:t>
      </w:r>
      <w:r>
        <w:rPr>
          <w:rFonts w:ascii="Arial" w:cs="Arial" w:eastAsia="Arial" w:hAnsi="Arial"/>
          <w:sz w:val="19"/>
          <w:szCs w:val="19"/>
          <w:u w:val="single" w:color="auto"/>
          <w:color w:val="auto"/>
        </w:rPr>
        <w:t>Section 8(e)(i)(A)</w:t>
      </w:r>
      <w:r>
        <w:rPr>
          <w:rFonts w:ascii="Arial" w:cs="Arial" w:eastAsia="Arial" w:hAnsi="Arial"/>
          <w:sz w:val="19"/>
          <w:szCs w:val="19"/>
          <w:color w:val="auto"/>
        </w:rPr>
        <w:t xml:space="preserve"> shall cease and all such rights shall thereupon become vested in the Administrative Agent which shall then have the sole right to exercise such voting and other consensual rights, (B) all rights of an Obligor to receive the dividends, principal and interest payments which it would otherwise be authorized to receive and retain pursuant to </w:t>
      </w:r>
      <w:r>
        <w:rPr>
          <w:rFonts w:ascii="Arial" w:cs="Arial" w:eastAsia="Arial" w:hAnsi="Arial"/>
          <w:sz w:val="19"/>
          <w:szCs w:val="19"/>
          <w:u w:val="single" w:color="auto"/>
          <w:color w:val="auto"/>
        </w:rPr>
        <w:t>Section 8(e)(i)(B)</w:t>
      </w:r>
      <w:r>
        <w:rPr>
          <w:rFonts w:ascii="Arial" w:cs="Arial" w:eastAsia="Arial" w:hAnsi="Arial"/>
          <w:sz w:val="19"/>
          <w:szCs w:val="19"/>
          <w:color w:val="auto"/>
        </w:rPr>
        <w:t xml:space="preserve"> shall cease and all such rights shall thereupon be vested in the Administrative Agent which shall then have the sole right to receive and hold as Collateral such dividends, principal and interest payments, and (C) all dividends, principal and interest payments which are received by an Obligor contrary to the provisions of </w:t>
      </w:r>
      <w:r>
        <w:rPr>
          <w:rFonts w:ascii="Arial" w:cs="Arial" w:eastAsia="Arial" w:hAnsi="Arial"/>
          <w:sz w:val="19"/>
          <w:szCs w:val="19"/>
          <w:u w:val="single" w:color="auto"/>
          <w:color w:val="auto"/>
        </w:rPr>
        <w:t>clause (e)(ii)(B)</w:t>
      </w:r>
      <w:r>
        <w:rPr>
          <w:rFonts w:ascii="Arial" w:cs="Arial" w:eastAsia="Arial" w:hAnsi="Arial"/>
          <w:sz w:val="19"/>
          <w:szCs w:val="19"/>
          <w:color w:val="auto"/>
        </w:rPr>
        <w:t xml:space="preserve"> above shall be received in trust for the benefit of the Administrative Agent, shall be segregated from other property or funds of such Obligor, and shall be forthwith paid over to the Administrative Agent as Collateral in the exact form received, to be held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490220</wp:posOffset>
            </wp:positionV>
            <wp:extent cx="629221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411" w:name="page412"/>
    <w:bookmarkEnd w:id="411"/>
    <w:p>
      <w:pPr>
        <w:ind w:left="1300"/>
        <w:spacing w:after="0"/>
        <w:rPr>
          <w:sz w:val="20"/>
          <w:szCs w:val="20"/>
          <w:color w:val="auto"/>
        </w:rPr>
      </w:pPr>
      <w:r>
        <w:rPr>
          <w:rFonts w:ascii="Arial" w:cs="Arial" w:eastAsia="Arial" w:hAnsi="Arial"/>
          <w:sz w:val="20"/>
          <w:szCs w:val="20"/>
          <w:color w:val="auto"/>
        </w:rPr>
        <w:t>Administrative Agent as Collateral and as further collateral security for the Secured Obligations.</w:t>
      </w:r>
    </w:p>
    <w:p>
      <w:pPr>
        <w:spacing w:after="0" w:line="216" w:lineRule="exact"/>
        <w:rPr>
          <w:sz w:val="20"/>
          <w:szCs w:val="20"/>
          <w:color w:val="auto"/>
        </w:rPr>
      </w:pPr>
    </w:p>
    <w:p>
      <w:pPr>
        <w:jc w:val="both"/>
        <w:ind w:left="660" w:firstLine="644"/>
        <w:spacing w:after="0" w:line="244" w:lineRule="auto"/>
        <w:tabs>
          <w:tab w:leader="none" w:pos="2068" w:val="left"/>
        </w:tabs>
        <w:numPr>
          <w:ilvl w:val="1"/>
          <w:numId w:val="442"/>
        </w:numPr>
        <w:rPr>
          <w:rFonts w:ascii="Arial" w:cs="Arial" w:eastAsia="Arial" w:hAnsi="Arial"/>
          <w:sz w:val="20"/>
          <w:szCs w:val="20"/>
          <w:color w:val="auto"/>
        </w:rPr>
      </w:pPr>
      <w:r>
        <w:rPr>
          <w:rFonts w:ascii="Arial" w:cs="Arial" w:eastAsia="Arial" w:hAnsi="Arial"/>
          <w:sz w:val="20"/>
          <w:szCs w:val="20"/>
          <w:u w:val="single" w:color="auto"/>
          <w:color w:val="auto"/>
        </w:rPr>
        <w:t>Substitution of Pledged Equity</w:t>
      </w:r>
      <w:r>
        <w:rPr>
          <w:rFonts w:ascii="Arial" w:cs="Arial" w:eastAsia="Arial" w:hAnsi="Arial"/>
          <w:sz w:val="20"/>
          <w:szCs w:val="20"/>
          <w:color w:val="auto"/>
        </w:rPr>
        <w:t>. The Administrative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on all Pledged Equity not expressly released or substituted.</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412"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Application of Proceeds</w:t>
      </w:r>
      <w:r>
        <w:rPr>
          <w:rFonts w:ascii="Arial" w:cs="Arial" w:eastAsia="Arial" w:hAnsi="Arial"/>
          <w:sz w:val="20"/>
          <w:szCs w:val="20"/>
          <w:color w:val="auto"/>
        </w:rPr>
        <w:t>. Upon the acceleration of the Obligations pursuant to Section 8.02 of the Credit Agreement, any payments in respect of the Secured Obligations and any proceeds of the Collateral, when received by the Administrative Agent or any Secured Party in Money, will be applied in reduction of the Secured Obligations in the order set forth in Section 8.03 of the Credit Agreement.</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Continuing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2065" w:val="left"/>
        </w:tabs>
        <w:numPr>
          <w:ilvl w:val="1"/>
          <w:numId w:val="443"/>
        </w:numPr>
        <w:rPr>
          <w:rFonts w:ascii="Arial" w:cs="Arial" w:eastAsia="Arial" w:hAnsi="Arial"/>
          <w:sz w:val="20"/>
          <w:szCs w:val="20"/>
          <w:color w:val="auto"/>
        </w:rPr>
      </w:pPr>
      <w:r>
        <w:rPr>
          <w:rFonts w:ascii="Arial" w:cs="Arial" w:eastAsia="Arial" w:hAnsi="Arial"/>
          <w:sz w:val="20"/>
          <w:szCs w:val="20"/>
          <w:color w:val="auto"/>
        </w:rPr>
        <w:t>This Agreement shall remain in full force and effect until the Facility Termination Date, at which time this Agreement and the Liens granted hereunder shall be automatically terminated and the Administrative Agent shall, upon the request and at the expense of the Obligors, forthwith release all of its liens and security interests hereunder and shall execute and deliver all UCC termination statements and/or other documents reasonably requested by the Obligors evidencing such termination.</w:t>
      </w:r>
    </w:p>
    <w:p>
      <w:pPr>
        <w:spacing w:after="0" w:line="194" w:lineRule="exact"/>
        <w:rPr>
          <w:rFonts w:ascii="Arial" w:cs="Arial" w:eastAsia="Arial" w:hAnsi="Arial"/>
          <w:sz w:val="20"/>
          <w:szCs w:val="20"/>
          <w:color w:val="auto"/>
        </w:rPr>
      </w:pPr>
    </w:p>
    <w:p>
      <w:pPr>
        <w:jc w:val="both"/>
        <w:ind w:left="660" w:firstLine="644"/>
        <w:spacing w:after="0" w:line="274" w:lineRule="auto"/>
        <w:tabs>
          <w:tab w:leader="none" w:pos="2029"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This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Debtor Relief Law, all as though such payment had not been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event payment of all or any part of the Secured Obligations is rescinded or must be restored or returned, all costs and expenses (including any legal fees and disbursements) incurred by the Administrative Agent or any Secured Party in defending and enforcing such reinstatement shall be deemed to be included as a part of the Secured Obligations.</w:t>
      </w:r>
    </w:p>
    <w:p>
      <w:pPr>
        <w:spacing w:after="0" w:line="168" w:lineRule="exact"/>
        <w:rPr>
          <w:rFonts w:ascii="Arial" w:cs="Arial" w:eastAsia="Arial" w:hAnsi="Arial"/>
          <w:sz w:val="18"/>
          <w:szCs w:val="18"/>
          <w:color w:val="auto"/>
        </w:rPr>
      </w:pPr>
    </w:p>
    <w:p>
      <w:pPr>
        <w:jc w:val="both"/>
        <w:ind w:firstLine="656"/>
        <w:spacing w:after="0" w:line="276" w:lineRule="auto"/>
        <w:tabs>
          <w:tab w:leader="none" w:pos="1297"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Amendments, Waivers, Modifications, etc.</w:t>
      </w:r>
      <w:r>
        <w:rPr>
          <w:rFonts w:ascii="Arial" w:cs="Arial" w:eastAsia="Arial" w:hAnsi="Arial"/>
          <w:sz w:val="18"/>
          <w:szCs w:val="18"/>
          <w:color w:val="auto"/>
        </w:rPr>
        <w:t xml:space="preserve"> This Agreement and the provisions hereof may not be amended, waived, modified, changed, discharged or terminated except as set forth in Section 11.01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any update or revision to </w:t>
      </w:r>
      <w:r>
        <w:rPr>
          <w:rFonts w:ascii="Arial" w:cs="Arial" w:eastAsia="Arial" w:hAnsi="Arial"/>
          <w:sz w:val="18"/>
          <w:szCs w:val="18"/>
          <w:u w:val="single" w:color="auto"/>
          <w:color w:val="auto"/>
        </w:rPr>
        <w:t>Schedule 2(c)</w:t>
      </w:r>
      <w:r>
        <w:rPr>
          <w:rFonts w:ascii="Arial" w:cs="Arial" w:eastAsia="Arial" w:hAnsi="Arial"/>
          <w:sz w:val="18"/>
          <w:szCs w:val="18"/>
          <w:color w:val="auto"/>
        </w:rPr>
        <w:t xml:space="preserve"> delivered by any Obligor in accordance with the terms hereof shall not constitute an amendment for purposes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Section 11.01 of the Credit Agreement, and (b) any update to the schedules hereto pursuant to a Joinder Agreement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not constitute an amendment for purposes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Section 11.01 of the Credit Agreement.</w:t>
      </w:r>
    </w:p>
    <w:p>
      <w:pPr>
        <w:spacing w:after="0" w:line="164" w:lineRule="exact"/>
        <w:rPr>
          <w:rFonts w:ascii="Arial" w:cs="Arial" w:eastAsia="Arial" w:hAnsi="Arial"/>
          <w:sz w:val="18"/>
          <w:szCs w:val="18"/>
          <w:color w:val="auto"/>
        </w:rPr>
      </w:pPr>
    </w:p>
    <w:p>
      <w:pPr>
        <w:jc w:val="both"/>
        <w:ind w:firstLine="656"/>
        <w:spacing w:after="0" w:line="291" w:lineRule="auto"/>
        <w:tabs>
          <w:tab w:leader="none" w:pos="1345"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be binding upon each Obligor, its successors and assigns and shall inure, together with the rights and remedies of the Administrative Agent and the Secured Parties hereunder, to the benefit of the Administrative Agent and the Secured Parties and their successors and permitted assigns.</w:t>
      </w:r>
    </w:p>
    <w:p>
      <w:pPr>
        <w:spacing w:after="0" w:line="151" w:lineRule="exact"/>
        <w:rPr>
          <w:rFonts w:ascii="Arial" w:cs="Arial" w:eastAsia="Arial" w:hAnsi="Arial"/>
          <w:sz w:val="18"/>
          <w:szCs w:val="18"/>
          <w:color w:val="auto"/>
        </w:rPr>
      </w:pPr>
    </w:p>
    <w:p>
      <w:pPr>
        <w:ind w:firstLine="656"/>
        <w:spacing w:after="0" w:line="260" w:lineRule="auto"/>
        <w:tabs>
          <w:tab w:leader="none" w:pos="1358"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to be given under this Agreement shall be in conformance with Section 11.02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12" w:name="page413"/>
    <w:bookmarkEnd w:id="412"/>
    <w:p>
      <w:pPr>
        <w:jc w:val="both"/>
        <w:ind w:firstLine="656"/>
        <w:spacing w:after="0" w:line="257" w:lineRule="auto"/>
        <w:tabs>
          <w:tab w:leader="none" w:pos="1331"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Subject to Section 11.18 of the Credit Agreement, this Agreement may be in the form of an Electronic Record and may be executed using Electronic Signatures, including facsimile and .pdf, and shall be considered an original, and shall have the same legal effect, validity and enforceability as a paper record.</w:t>
      </w:r>
    </w:p>
    <w:p>
      <w:pPr>
        <w:spacing w:after="0" w:line="184" w:lineRule="exact"/>
        <w:rPr>
          <w:rFonts w:ascii="Arial" w:cs="Arial" w:eastAsia="Arial" w:hAnsi="Arial"/>
          <w:sz w:val="19"/>
          <w:szCs w:val="19"/>
          <w:color w:val="auto"/>
        </w:rPr>
      </w:pPr>
    </w:p>
    <w:p>
      <w:pPr>
        <w:ind w:firstLine="656"/>
        <w:spacing w:after="0" w:line="260" w:lineRule="auto"/>
        <w:tabs>
          <w:tab w:leader="none" w:pos="1345" w:val="left"/>
        </w:tabs>
        <w:numPr>
          <w:ilvl w:val="0"/>
          <w:numId w:val="44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shall not in any way affect the meaning or construction of any provision of this Agreement.</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345"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Governing Law; Submission to Jurisdiction; Venue; Waiver of Jury Trial</w:t>
      </w:r>
      <w:r>
        <w:rPr>
          <w:rFonts w:ascii="Arial" w:cs="Arial" w:eastAsia="Arial" w:hAnsi="Arial"/>
          <w:sz w:val="19"/>
          <w:szCs w:val="19"/>
          <w:color w:val="auto"/>
        </w:rPr>
        <w:t xml:space="preserve">. The terms of Sections 11.14 and 11.15 of the Credit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345" w:val="left"/>
        </w:tabs>
        <w:numPr>
          <w:ilvl w:val="0"/>
          <w:numId w:val="44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46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Entirety</w:t>
      </w:r>
      <w:r>
        <w:rPr>
          <w:rFonts w:ascii="Arial" w:cs="Arial" w:eastAsia="Arial" w:hAnsi="Arial"/>
          <w:sz w:val="18"/>
          <w:szCs w:val="18"/>
          <w:color w:val="auto"/>
        </w:rPr>
        <w:t>. This Agreement, the other Loan Documents and the other documents relating to the Secured Obligations represent the entire agreement of the parties hereto and thereto, and supersede all prior agreements and understandings, oral or written, if any, including any commitment letters or correspondence relating to the Loan Documents, any other documents relating to the Secured Obligations, or the transactions contemplated herein and therein.</w:t>
      </w:r>
    </w:p>
    <w:p>
      <w:pPr>
        <w:spacing w:after="0" w:line="161" w:lineRule="exact"/>
        <w:rPr>
          <w:rFonts w:ascii="Arial" w:cs="Arial" w:eastAsia="Arial" w:hAnsi="Arial"/>
          <w:sz w:val="18"/>
          <w:szCs w:val="18"/>
          <w:color w:val="auto"/>
        </w:rPr>
      </w:pPr>
    </w:p>
    <w:p>
      <w:pPr>
        <w:jc w:val="both"/>
        <w:ind w:firstLine="656"/>
        <w:spacing w:after="0" w:line="250" w:lineRule="auto"/>
        <w:tabs>
          <w:tab w:leader="none" w:pos="1466" w:val="left"/>
        </w:tabs>
        <w:numPr>
          <w:ilvl w:val="0"/>
          <w:numId w:val="44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representations and warranties of the Obligors hereunder shall survive the execution and delivery of this Agreement, the other Loan Documents and the other documents relating to the Secured Obligations, the delivery of the Notes and the extension of credit thereunder or in connection therewith.</w:t>
      </w:r>
    </w:p>
    <w:p>
      <w:pPr>
        <w:spacing w:after="0" w:line="185" w:lineRule="exact"/>
        <w:rPr>
          <w:rFonts w:ascii="Arial" w:cs="Arial" w:eastAsia="Arial" w:hAnsi="Arial"/>
          <w:sz w:val="20"/>
          <w:szCs w:val="20"/>
          <w:color w:val="auto"/>
        </w:rPr>
      </w:pPr>
    </w:p>
    <w:p>
      <w:pPr>
        <w:jc w:val="both"/>
        <w:ind w:firstLine="656"/>
        <w:spacing w:after="0" w:line="256" w:lineRule="auto"/>
        <w:tabs>
          <w:tab w:leader="none" w:pos="1331"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Other Security</w:t>
      </w:r>
      <w:r>
        <w:rPr>
          <w:rFonts w:ascii="Arial" w:cs="Arial" w:eastAsia="Arial" w:hAnsi="Arial"/>
          <w:sz w:val="19"/>
          <w:szCs w:val="19"/>
          <w:color w:val="auto"/>
        </w:rPr>
        <w:t>. To the extent that any of the Secured Obligations are now or hereafter secured by property other than the Collateral (including real property and securities owned by an Obligor), or by a guarantee, endorsement or property of any other Person, then the Administrative Agent shall have the right to proceed against such other property, guarantee or endorsement upon the occurrence and during the continuance of an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Agreement, under any of the other Loan Documents or under any other document relating to the Secured Obligations.</w:t>
      </w:r>
    </w:p>
    <w:p>
      <w:pPr>
        <w:spacing w:after="0" w:line="184" w:lineRule="exact"/>
        <w:rPr>
          <w:rFonts w:ascii="Arial" w:cs="Arial" w:eastAsia="Arial" w:hAnsi="Arial"/>
          <w:sz w:val="19"/>
          <w:szCs w:val="19"/>
          <w:color w:val="auto"/>
        </w:rPr>
      </w:pPr>
    </w:p>
    <w:p>
      <w:pPr>
        <w:jc w:val="both"/>
        <w:ind w:firstLine="656"/>
        <w:spacing w:after="0" w:line="260" w:lineRule="auto"/>
        <w:tabs>
          <w:tab w:leader="none" w:pos="1385"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Joinder</w:t>
      </w:r>
      <w:r>
        <w:rPr>
          <w:rFonts w:ascii="Arial" w:cs="Arial" w:eastAsia="Arial" w:hAnsi="Arial"/>
          <w:sz w:val="19"/>
          <w:szCs w:val="19"/>
          <w:color w:val="auto"/>
        </w:rPr>
        <w:t>. At any time after the date of this Agreement, one or more additional Persons may become party hereto by executing and delivering to the Administrative Agent a Joinder Agreement. Immediately upon such execution and delivery of such Joinder Agreement (and without any further action), each such additional Person will become a party to this Agreement as an “Obligor” and have all of the rights and obligations of an Obligor hereunder and this Agreement and the schedules hereto shall be deemed amended by such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13" w:name="page414"/>
    <w:bookmarkEnd w:id="413"/>
    <w:p>
      <w:pPr>
        <w:ind w:firstLine="656"/>
        <w:spacing w:after="0" w:line="260" w:lineRule="auto"/>
        <w:tabs>
          <w:tab w:leader="none" w:pos="1480" w:val="left"/>
        </w:tabs>
        <w:numPr>
          <w:ilvl w:val="0"/>
          <w:numId w:val="445"/>
        </w:numPr>
        <w:rPr>
          <w:rFonts w:ascii="Arial" w:cs="Arial" w:eastAsia="Arial" w:hAnsi="Arial"/>
          <w:sz w:val="20"/>
          <w:szCs w:val="20"/>
          <w:color w:val="auto"/>
        </w:rPr>
      </w:pPr>
      <w:r>
        <w:rPr>
          <w:rFonts w:ascii="Arial" w:cs="Arial" w:eastAsia="Arial" w:hAnsi="Arial"/>
          <w:sz w:val="20"/>
          <w:szCs w:val="20"/>
          <w:u w:val="single" w:color="auto"/>
          <w:color w:val="auto"/>
        </w:rPr>
        <w:t>Rights of Required Lenders</w:t>
      </w:r>
      <w:r>
        <w:rPr>
          <w:rFonts w:ascii="Arial" w:cs="Arial" w:eastAsia="Arial" w:hAnsi="Arial"/>
          <w:sz w:val="20"/>
          <w:szCs w:val="20"/>
          <w:color w:val="auto"/>
        </w:rPr>
        <w:t>. All rights of the Administrative Agent hereunder, if not exercised by the Administrative Agent, may be exercised by the Required Lenders.</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493" w:val="left"/>
        </w:tabs>
        <w:numPr>
          <w:ilvl w:val="0"/>
          <w:numId w:val="445"/>
        </w:numPr>
        <w:rPr>
          <w:rFonts w:ascii="Arial" w:cs="Arial" w:eastAsia="Arial" w:hAnsi="Arial"/>
          <w:sz w:val="20"/>
          <w:szCs w:val="20"/>
          <w:color w:val="auto"/>
        </w:rPr>
      </w:pPr>
      <w:r>
        <w:rPr>
          <w:rFonts w:ascii="Arial" w:cs="Arial" w:eastAsia="Arial" w:hAnsi="Arial"/>
          <w:sz w:val="20"/>
          <w:szCs w:val="20"/>
          <w:u w:val="single" w:color="auto"/>
          <w:color w:val="auto"/>
        </w:rPr>
        <w:t>Consent of Issuers of Pledged Equity</w:t>
      </w:r>
      <w:r>
        <w:rPr>
          <w:rFonts w:ascii="Arial" w:cs="Arial" w:eastAsia="Arial" w:hAnsi="Arial"/>
          <w:sz w:val="20"/>
          <w:szCs w:val="20"/>
          <w:color w:val="auto"/>
        </w:rPr>
        <w:t>. Each issuer of Pledged Equity party to this Agreement hereby acknowledges, consents and agrees to the grant of the security interests in such Pledged Equity by the applicable Obligors pursuant to this Agreement, together with all rights accompanying such security interest as provided by this Agreement and applicable law, notwithstanding any anti-assignment provisions in any operating agreement, limited partnership agreement or similar organizational or governance documents of such issuer.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14" w:name="page415"/>
    <w:bookmarkEnd w:id="414"/>
    <w:p>
      <w:pPr>
        <w:ind w:firstLine="648"/>
        <w:spacing w:after="0" w:line="260" w:lineRule="auto"/>
        <w:rPr>
          <w:sz w:val="20"/>
          <w:szCs w:val="20"/>
          <w:color w:val="auto"/>
        </w:rPr>
      </w:pPr>
      <w:r>
        <w:rPr>
          <w:rFonts w:ascii="Arial" w:cs="Arial" w:eastAsia="Arial" w:hAnsi="Arial"/>
          <w:sz w:val="20"/>
          <w:szCs w:val="20"/>
          <w:color w:val="auto"/>
        </w:rPr>
        <w:t>Each of the parties hereto has caused a counterpart of this Agreement to be duly executed and delivered as of the date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20"/>
                <w:szCs w:val="20"/>
                <w:color w:val="auto"/>
              </w:rPr>
              <w:t>OBLIGORS:</w:t>
            </w: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AEROVIRONMENT, INC.,</w:t>
            </w:r>
          </w:p>
        </w:tc>
      </w:tr>
      <w:tr>
        <w:trPr>
          <w:trHeight w:val="250"/>
        </w:trPr>
        <w:tc>
          <w:tcPr>
            <w:tcW w:w="2960" w:type="dxa"/>
            <w:vAlign w:val="bottom"/>
          </w:tcPr>
          <w:p>
            <w:pPr>
              <w:spacing w:after="0"/>
              <w:rPr>
                <w:sz w:val="21"/>
                <w:szCs w:val="21"/>
                <w:color w:val="auto"/>
              </w:rPr>
            </w:pP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a Delaware corporation</w:t>
            </w:r>
          </w:p>
        </w:tc>
      </w:tr>
      <w:tr>
        <w:trPr>
          <w:trHeight w:val="455"/>
        </w:trPr>
        <w:tc>
          <w:tcPr>
            <w:tcW w:w="296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Arial" w:cs="Arial" w:eastAsia="Arial" w:hAnsi="Arial"/>
                <w:sz w:val="20"/>
                <w:szCs w:val="20"/>
                <w:color w:val="auto"/>
              </w:rPr>
              <w:t>By:</w:t>
            </w:r>
          </w:p>
        </w:tc>
        <w:tc>
          <w:tcPr>
            <w:tcW w:w="2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/s/Kevin McDonnell</w:t>
            </w:r>
          </w:p>
        </w:tc>
        <w:tc>
          <w:tcPr>
            <w:tcW w:w="2260" w:type="dxa"/>
            <w:vAlign w:val="bottom"/>
          </w:tcPr>
          <w:p>
            <w:pPr>
              <w:spacing w:after="0"/>
              <w:rPr>
                <w:sz w:val="24"/>
                <w:szCs w:val="24"/>
                <w:color w:val="auto"/>
              </w:rPr>
            </w:pPr>
          </w:p>
        </w:tc>
      </w:tr>
      <w:tr>
        <w:trPr>
          <w:trHeight w:val="193"/>
        </w:trPr>
        <w:tc>
          <w:tcPr>
            <w:tcW w:w="2960" w:type="dxa"/>
            <w:vAlign w:val="bottom"/>
          </w:tcPr>
          <w:p>
            <w:pPr>
              <w:spacing w:after="0"/>
              <w:rPr>
                <w:sz w:val="16"/>
                <w:szCs w:val="16"/>
                <w:color w:val="auto"/>
              </w:rPr>
            </w:pPr>
          </w:p>
        </w:tc>
        <w:tc>
          <w:tcPr>
            <w:tcW w:w="4700" w:type="dxa"/>
            <w:vAlign w:val="bottom"/>
            <w:gridSpan w:val="2"/>
          </w:tcPr>
          <w:p>
            <w:pPr>
              <w:ind w:left="1920"/>
              <w:spacing w:after="0" w:line="193" w:lineRule="exact"/>
              <w:rPr>
                <w:sz w:val="20"/>
                <w:szCs w:val="20"/>
                <w:color w:val="auto"/>
              </w:rPr>
            </w:pPr>
            <w:r>
              <w:rPr>
                <w:rFonts w:ascii="Arial" w:cs="Arial" w:eastAsia="Arial" w:hAnsi="Arial"/>
                <w:sz w:val="20"/>
                <w:szCs w:val="20"/>
                <w:color w:val="auto"/>
              </w:rPr>
              <w:t>Name:Kevin McDonnell</w:t>
            </w:r>
          </w:p>
        </w:tc>
        <w:tc>
          <w:tcPr>
            <w:tcW w:w="2260" w:type="dxa"/>
            <w:vAlign w:val="bottom"/>
          </w:tcPr>
          <w:p>
            <w:pPr>
              <w:spacing w:after="0"/>
              <w:rPr>
                <w:sz w:val="16"/>
                <w:szCs w:val="16"/>
                <w:color w:val="auto"/>
              </w:rPr>
            </w:pPr>
          </w:p>
        </w:tc>
      </w:tr>
      <w:tr>
        <w:trPr>
          <w:trHeight w:val="250"/>
        </w:trPr>
        <w:tc>
          <w:tcPr>
            <w:tcW w:w="2960" w:type="dxa"/>
            <w:vAlign w:val="bottom"/>
          </w:tcPr>
          <w:p>
            <w:pPr>
              <w:spacing w:after="0"/>
              <w:rPr>
                <w:sz w:val="21"/>
                <w:szCs w:val="21"/>
                <w:color w:val="auto"/>
              </w:rPr>
            </w:pP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Title: Senior Vice President and Chief Executive Officer</w:t>
            </w:r>
          </w:p>
        </w:tc>
      </w:tr>
      <w:tr>
        <w:trPr>
          <w:trHeight w:val="668"/>
        </w:trPr>
        <w:tc>
          <w:tcPr>
            <w:tcW w:w="2960" w:type="dxa"/>
            <w:vAlign w:val="bottom"/>
          </w:tcPr>
          <w:p>
            <w:pPr>
              <w:spacing w:after="0"/>
              <w:rPr>
                <w:sz w:val="24"/>
                <w:szCs w:val="24"/>
                <w:color w:val="auto"/>
              </w:rPr>
            </w:pP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ARCTURUS UAV, INC.,</w:t>
            </w:r>
          </w:p>
        </w:tc>
      </w:tr>
      <w:tr>
        <w:trPr>
          <w:trHeight w:val="250"/>
        </w:trPr>
        <w:tc>
          <w:tcPr>
            <w:tcW w:w="2960" w:type="dxa"/>
            <w:vAlign w:val="bottom"/>
          </w:tcPr>
          <w:p>
            <w:pPr>
              <w:spacing w:after="0"/>
              <w:rPr>
                <w:sz w:val="21"/>
                <w:szCs w:val="21"/>
                <w:color w:val="auto"/>
              </w:rPr>
            </w:pP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a California corporation</w:t>
            </w:r>
          </w:p>
        </w:tc>
      </w:tr>
      <w:tr>
        <w:trPr>
          <w:trHeight w:val="455"/>
        </w:trPr>
        <w:tc>
          <w:tcPr>
            <w:tcW w:w="296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Arial" w:cs="Arial" w:eastAsia="Arial" w:hAnsi="Arial"/>
                <w:sz w:val="20"/>
                <w:szCs w:val="20"/>
                <w:color w:val="auto"/>
              </w:rPr>
              <w:t>By:</w:t>
            </w:r>
          </w:p>
        </w:tc>
        <w:tc>
          <w:tcPr>
            <w:tcW w:w="2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/s/Kristy Benson</w:t>
            </w:r>
          </w:p>
        </w:tc>
        <w:tc>
          <w:tcPr>
            <w:tcW w:w="2260" w:type="dxa"/>
            <w:vAlign w:val="bottom"/>
          </w:tcPr>
          <w:p>
            <w:pPr>
              <w:spacing w:after="0"/>
              <w:rPr>
                <w:sz w:val="24"/>
                <w:szCs w:val="24"/>
                <w:color w:val="auto"/>
              </w:rPr>
            </w:pPr>
          </w:p>
        </w:tc>
      </w:tr>
      <w:tr>
        <w:trPr>
          <w:trHeight w:val="193"/>
        </w:trPr>
        <w:tc>
          <w:tcPr>
            <w:tcW w:w="2960" w:type="dxa"/>
            <w:vAlign w:val="bottom"/>
          </w:tcPr>
          <w:p>
            <w:pPr>
              <w:spacing w:after="0"/>
              <w:rPr>
                <w:sz w:val="16"/>
                <w:szCs w:val="16"/>
                <w:color w:val="auto"/>
              </w:rPr>
            </w:pPr>
          </w:p>
        </w:tc>
        <w:tc>
          <w:tcPr>
            <w:tcW w:w="4700" w:type="dxa"/>
            <w:vAlign w:val="bottom"/>
            <w:gridSpan w:val="2"/>
          </w:tcPr>
          <w:p>
            <w:pPr>
              <w:ind w:left="1920"/>
              <w:spacing w:after="0" w:line="193" w:lineRule="exact"/>
              <w:rPr>
                <w:sz w:val="20"/>
                <w:szCs w:val="20"/>
                <w:color w:val="auto"/>
              </w:rPr>
            </w:pPr>
            <w:r>
              <w:rPr>
                <w:rFonts w:ascii="Arial" w:cs="Arial" w:eastAsia="Arial" w:hAnsi="Arial"/>
                <w:sz w:val="20"/>
                <w:szCs w:val="20"/>
                <w:color w:val="auto"/>
              </w:rPr>
              <w:t>Name:Kristy Benson</w:t>
            </w:r>
          </w:p>
        </w:tc>
        <w:tc>
          <w:tcPr>
            <w:tcW w:w="2260" w:type="dxa"/>
            <w:vAlign w:val="bottom"/>
          </w:tcPr>
          <w:p>
            <w:pPr>
              <w:spacing w:after="0"/>
              <w:rPr>
                <w:sz w:val="16"/>
                <w:szCs w:val="16"/>
                <w:color w:val="auto"/>
              </w:rPr>
            </w:pPr>
          </w:p>
        </w:tc>
      </w:tr>
      <w:tr>
        <w:trPr>
          <w:trHeight w:val="250"/>
        </w:trPr>
        <w:tc>
          <w:tcPr>
            <w:tcW w:w="2960" w:type="dxa"/>
            <w:vAlign w:val="bottom"/>
          </w:tcPr>
          <w:p>
            <w:pPr>
              <w:spacing w:after="0"/>
              <w:rPr>
                <w:sz w:val="21"/>
                <w:szCs w:val="21"/>
                <w:color w:val="auto"/>
              </w:rPr>
            </w:pPr>
          </w:p>
        </w:tc>
        <w:tc>
          <w:tcPr>
            <w:tcW w:w="6960" w:type="dxa"/>
            <w:vAlign w:val="bottom"/>
            <w:gridSpan w:val="3"/>
          </w:tcPr>
          <w:p>
            <w:pPr>
              <w:ind w:left="1920"/>
              <w:spacing w:after="0"/>
              <w:rPr>
                <w:sz w:val="20"/>
                <w:szCs w:val="20"/>
                <w:color w:val="auto"/>
              </w:rPr>
            </w:pPr>
            <w:r>
              <w:rPr>
                <w:rFonts w:ascii="Arial" w:cs="Arial" w:eastAsia="Arial" w:hAnsi="Arial"/>
                <w:sz w:val="20"/>
                <w:szCs w:val="20"/>
                <w:color w:val="auto"/>
              </w:rPr>
              <w:t>Title: Vice President and Treasurer</w:t>
            </w:r>
          </w:p>
        </w:tc>
      </w:tr>
      <w:tr>
        <w:trPr>
          <w:trHeight w:val="1448"/>
        </w:trPr>
        <w:tc>
          <w:tcPr>
            <w:tcW w:w="2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8" w:right="999" w:bottom="1440" w:gutter="0" w:footer="0" w:header="0"/>
        </w:sectPr>
      </w:pPr>
    </w:p>
    <w:bookmarkStart w:id="415" w:name="page416"/>
    <w:bookmarkEnd w:id="415"/>
    <w:p>
      <w:pPr>
        <w:spacing w:after="0"/>
        <w:rPr>
          <w:sz w:val="20"/>
          <w:szCs w:val="20"/>
          <w:color w:val="auto"/>
        </w:rPr>
      </w:pPr>
      <w:r>
        <w:rPr>
          <w:rFonts w:ascii="Arial" w:cs="Arial" w:eastAsia="Arial" w:hAnsi="Arial"/>
          <w:sz w:val="16"/>
          <w:szCs w:val="16"/>
          <w:color w:val="auto"/>
        </w:rPr>
        <w:t>Accepted and agreed to as of the date first above written.</w:t>
      </w:r>
    </w:p>
    <w:p>
      <w:pPr>
        <w:sectPr>
          <w:pgSz w:w="11900" w:h="16838" w:orient="portrait"/>
          <w:cols w:equalWidth="0" w:num="1">
            <w:col w:w="9479"/>
          </w:cols>
          <w:pgMar w:left="980" w:top="1108"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00" w:lineRule="exact"/>
        <w:rPr>
          <w:sz w:val="20"/>
          <w:szCs w:val="20"/>
          <w:color w:val="auto"/>
        </w:rPr>
      </w:pPr>
    </w:p>
    <w:p>
      <w:pPr>
        <w:spacing w:after="0" w:line="2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/s/Taelitha Bonds-Harris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Name:Taelitha Bonds-Harris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-137795</wp:posOffset>
            </wp:positionV>
            <wp:extent cx="1405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915035</wp:posOffset>
            </wp:positionV>
            <wp:extent cx="629221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type w:val="continuous"/>
        </w:sectPr>
      </w:pPr>
    </w:p>
    <w:bookmarkStart w:id="416" w:name="page417"/>
    <w:bookmarkEnd w:id="416"/>
    <w:p>
      <w:pPr>
        <w:ind w:right="160"/>
        <w:spacing w:after="0" w:line="266" w:lineRule="auto"/>
        <w:rPr>
          <w:sz w:val="20"/>
          <w:szCs w:val="20"/>
          <w:color w:val="auto"/>
        </w:rPr>
      </w:pPr>
      <w:r>
        <w:rPr>
          <w:rFonts w:ascii="Arial" w:cs="Arial" w:eastAsia="Arial" w:hAnsi="Arial"/>
          <w:sz w:val="18"/>
          <w:szCs w:val="18"/>
          <w:b w:val="1"/>
          <w:bCs w:val="1"/>
          <w:color w:val="auto"/>
        </w:rPr>
        <w:t>Pursuant to Item 601(b)(10)(iv) of Regulation S-K, certain information contained in this document, marked by brackets as [**], has been omitted because it is both (i) not material and (ii) would likely cause competitive harm to the registrant if publically disclosed.</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SCHEDULE 1(b)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PLEDGED EQUITY</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36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340" w:type="dxa"/>
            <w:vAlign w:val="bottom"/>
            <w:tcBorders>
              <w:top w:val="single" w:sz="8" w:color="auto"/>
              <w:right w:val="single" w:sz="8" w:color="auto"/>
            </w:tcBorders>
            <w:shd w:val="clear" w:color="auto" w:fill="D9D9D9"/>
          </w:tcPr>
          <w:p>
            <w:pPr>
              <w:spacing w:after="0"/>
              <w:rPr>
                <w:sz w:val="19"/>
                <w:szCs w:val="19"/>
                <w:color w:val="auto"/>
              </w:rPr>
            </w:pPr>
          </w:p>
        </w:tc>
        <w:tc>
          <w:tcPr>
            <w:tcW w:w="1140" w:type="dxa"/>
            <w:vAlign w:val="bottom"/>
            <w:tcBorders>
              <w:top w:val="single" w:sz="8" w:color="auto"/>
              <w:right w:val="single" w:sz="8" w:color="auto"/>
            </w:tcBorders>
            <w:shd w:val="clear" w:color="auto" w:fill="D9D9D9"/>
          </w:tcPr>
          <w:p>
            <w:pPr>
              <w:spacing w:after="0"/>
              <w:rPr>
                <w:sz w:val="19"/>
                <w:szCs w:val="19"/>
                <w:color w:val="auto"/>
              </w:rPr>
            </w:pPr>
          </w:p>
        </w:tc>
        <w:tc>
          <w:tcPr>
            <w:tcW w:w="1200" w:type="dxa"/>
            <w:vAlign w:val="bottom"/>
            <w:tcBorders>
              <w:top w:val="single" w:sz="8" w:color="auto"/>
              <w:right w:val="single" w:sz="8" w:color="auto"/>
            </w:tcBorders>
            <w:shd w:val="clear" w:color="auto" w:fill="D9D9D9"/>
          </w:tcPr>
          <w:p>
            <w:pPr>
              <w:jc w:val="center"/>
              <w:spacing w:after="0" w:line="220" w:lineRule="exact"/>
              <w:rPr>
                <w:sz w:val="20"/>
                <w:szCs w:val="20"/>
                <w:color w:val="auto"/>
              </w:rPr>
            </w:pPr>
            <w:r>
              <w:rPr>
                <w:rFonts w:ascii="Arial" w:cs="Arial" w:eastAsia="Arial" w:hAnsi="Arial"/>
                <w:sz w:val="20"/>
                <w:szCs w:val="20"/>
                <w:b w:val="1"/>
                <w:bCs w:val="1"/>
                <w:color w:val="auto"/>
                <w:w w:val="89"/>
              </w:rPr>
              <w:t>Number of</w:t>
            </w:r>
          </w:p>
        </w:tc>
        <w:tc>
          <w:tcPr>
            <w:tcW w:w="1180" w:type="dxa"/>
            <w:vAlign w:val="bottom"/>
            <w:tcBorders>
              <w:top w:val="single" w:sz="8" w:color="auto"/>
              <w:right w:val="single" w:sz="8" w:color="auto"/>
            </w:tcBorders>
            <w:shd w:val="clear" w:color="auto" w:fill="D9D9D9"/>
          </w:tcPr>
          <w:p>
            <w:pPr>
              <w:spacing w:after="0"/>
              <w:rPr>
                <w:sz w:val="19"/>
                <w:szCs w:val="19"/>
                <w:color w:val="auto"/>
              </w:rPr>
            </w:pPr>
          </w:p>
        </w:tc>
        <w:tc>
          <w:tcPr>
            <w:tcW w:w="1240" w:type="dxa"/>
            <w:vAlign w:val="bottom"/>
            <w:tcBorders>
              <w:top w:val="single" w:sz="8" w:color="auto"/>
              <w:right w:val="single" w:sz="8" w:color="auto"/>
            </w:tcBorders>
            <w:shd w:val="clear" w:color="auto" w:fill="D9D9D9"/>
          </w:tcPr>
          <w:p>
            <w:pPr>
              <w:spacing w:after="0"/>
              <w:rPr>
                <w:sz w:val="19"/>
                <w:szCs w:val="19"/>
                <w:color w:val="auto"/>
              </w:rPr>
            </w:pPr>
          </w:p>
        </w:tc>
        <w:tc>
          <w:tcPr>
            <w:tcW w:w="1240" w:type="dxa"/>
            <w:vAlign w:val="bottom"/>
            <w:tcBorders>
              <w:top w:val="single" w:sz="8" w:color="auto"/>
              <w:right w:val="single" w:sz="8" w:color="auto"/>
            </w:tcBorders>
            <w:shd w:val="clear" w:color="auto" w:fill="D9D9D9"/>
          </w:tcPr>
          <w:p>
            <w:pPr>
              <w:spacing w:after="0"/>
              <w:rPr>
                <w:sz w:val="19"/>
                <w:szCs w:val="19"/>
                <w:color w:val="auto"/>
              </w:rPr>
            </w:pPr>
          </w:p>
        </w:tc>
        <w:tc>
          <w:tcPr>
            <w:tcW w:w="1240" w:type="dxa"/>
            <w:vAlign w:val="bottom"/>
            <w:tcBorders>
              <w:top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Borders>
              <w:right w:val="single" w:sz="8" w:color="auto"/>
            </w:tcBorders>
            <w:shd w:val="clear" w:color="auto" w:fill="D9D9D9"/>
          </w:tcPr>
          <w:p>
            <w:pPr>
              <w:spacing w:after="0"/>
              <w:rPr>
                <w:sz w:val="19"/>
                <w:szCs w:val="19"/>
                <w:color w:val="auto"/>
              </w:rPr>
            </w:pP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Jurisdiction</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3"/>
              </w:rPr>
              <w:t>shares of</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7"/>
              </w:rPr>
              <w:t>Percentage of</w:t>
            </w:r>
          </w:p>
        </w:tc>
        <w:tc>
          <w:tcPr>
            <w:tcW w:w="12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Class or</w:t>
            </w:r>
          </w:p>
        </w:tc>
        <w:tc>
          <w:tcPr>
            <w:tcW w:w="1240" w:type="dxa"/>
            <w:vAlign w:val="bottom"/>
            <w:tcBorders>
              <w:right w:val="single" w:sz="8" w:color="auto"/>
            </w:tcBorders>
            <w:shd w:val="clear" w:color="auto" w:fill="D9D9D9"/>
          </w:tcPr>
          <w:p>
            <w:pPr>
              <w:spacing w:after="0"/>
              <w:rPr>
                <w:sz w:val="19"/>
                <w:szCs w:val="19"/>
                <w:color w:val="auto"/>
              </w:rPr>
            </w:pPr>
          </w:p>
        </w:tc>
        <w:tc>
          <w:tcPr>
            <w:tcW w:w="12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36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Obligor</w:t>
            </w: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Issuer</w:t>
            </w:r>
          </w:p>
        </w:tc>
        <w:tc>
          <w:tcPr>
            <w:tcW w:w="1140" w:type="dxa"/>
            <w:vAlign w:val="bottom"/>
            <w:tcBorders>
              <w:right w:val="single" w:sz="8" w:color="auto"/>
            </w:tcBorders>
            <w:vMerge w:val="continue"/>
            <w:shd w:val="clear" w:color="auto" w:fill="D9D9D9"/>
          </w:tcPr>
          <w:p>
            <w:pPr>
              <w:spacing w:after="0"/>
              <w:rPr>
                <w:sz w:val="17"/>
                <w:szCs w:val="17"/>
                <w:color w:val="auto"/>
              </w:rPr>
            </w:pPr>
          </w:p>
        </w:tc>
        <w:tc>
          <w:tcPr>
            <w:tcW w:w="1200" w:type="dxa"/>
            <w:vAlign w:val="bottom"/>
            <w:tcBorders>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20"/>
                <w:szCs w:val="20"/>
                <w:b w:val="1"/>
                <w:bCs w:val="1"/>
                <w:color w:val="auto"/>
                <w:w w:val="84"/>
              </w:rPr>
              <w:t>each class of</w:t>
            </w:r>
          </w:p>
        </w:tc>
        <w:tc>
          <w:tcPr>
            <w:tcW w:w="1180" w:type="dxa"/>
            <w:vAlign w:val="bottom"/>
            <w:tcBorders>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20"/>
                <w:szCs w:val="20"/>
                <w:b w:val="1"/>
                <w:bCs w:val="1"/>
                <w:color w:val="auto"/>
                <w:w w:val="91"/>
              </w:rPr>
              <w:t>Equity</w:t>
            </w:r>
          </w:p>
        </w:tc>
        <w:tc>
          <w:tcPr>
            <w:tcW w:w="1240" w:type="dxa"/>
            <w:vAlign w:val="bottom"/>
            <w:tcBorders>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20"/>
                <w:szCs w:val="20"/>
                <w:b w:val="1"/>
                <w:bCs w:val="1"/>
                <w:color w:val="auto"/>
                <w:w w:val="87"/>
              </w:rPr>
              <w:t>nature of such</w:t>
            </w:r>
          </w:p>
        </w:tc>
        <w:tc>
          <w:tcPr>
            <w:tcW w:w="1240" w:type="dxa"/>
            <w:vAlign w:val="bottom"/>
            <w:tcBorders>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20"/>
                <w:szCs w:val="20"/>
                <w:b w:val="1"/>
                <w:bCs w:val="1"/>
                <w:color w:val="auto"/>
                <w:w w:val="91"/>
              </w:rPr>
              <w:t>Certificate</w:t>
            </w:r>
          </w:p>
        </w:tc>
        <w:tc>
          <w:tcPr>
            <w:tcW w:w="1240" w:type="dxa"/>
            <w:vAlign w:val="bottom"/>
            <w:tcBorders>
              <w:right w:val="single" w:sz="8" w:color="auto"/>
            </w:tcBorders>
            <w:shd w:val="clear" w:color="auto" w:fill="D9D9D9"/>
          </w:tcPr>
          <w:p>
            <w:pPr>
              <w:ind w:left="280"/>
              <w:spacing w:after="0" w:line="198" w:lineRule="exact"/>
              <w:rPr>
                <w:sz w:val="20"/>
                <w:szCs w:val="20"/>
                <w:color w:val="auto"/>
              </w:rPr>
            </w:pPr>
            <w:r>
              <w:rPr>
                <w:rFonts w:ascii="Arial" w:cs="Arial" w:eastAsia="Arial" w:hAnsi="Arial"/>
                <w:sz w:val="20"/>
                <w:szCs w:val="20"/>
                <w:b w:val="1"/>
                <w:bCs w:val="1"/>
                <w:color w:val="auto"/>
              </w:rPr>
              <w:t>Percent</w:t>
            </w:r>
          </w:p>
        </w:tc>
        <w:tc>
          <w:tcPr>
            <w:tcW w:w="0" w:type="dxa"/>
            <w:vAlign w:val="bottom"/>
          </w:tcPr>
          <w:p>
            <w:pPr>
              <w:spacing w:after="0"/>
              <w:rPr>
                <w:sz w:val="1"/>
                <w:szCs w:val="1"/>
                <w:color w:val="auto"/>
              </w:rPr>
            </w:pPr>
          </w:p>
        </w:tc>
      </w:tr>
      <w:tr>
        <w:trPr>
          <w:trHeight w:val="139"/>
        </w:trPr>
        <w:tc>
          <w:tcPr>
            <w:tcW w:w="136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1340" w:type="dxa"/>
            <w:vAlign w:val="bottom"/>
            <w:tcBorders>
              <w:right w:val="single" w:sz="8" w:color="auto"/>
            </w:tcBorders>
            <w:vMerge w:val="continue"/>
            <w:shd w:val="clear" w:color="auto" w:fill="D9D9D9"/>
          </w:tcPr>
          <w:p>
            <w:pPr>
              <w:spacing w:after="0"/>
              <w:rPr>
                <w:sz w:val="12"/>
                <w:szCs w:val="12"/>
                <w:color w:val="auto"/>
              </w:rPr>
            </w:pPr>
          </w:p>
        </w:tc>
        <w:tc>
          <w:tcPr>
            <w:tcW w:w="1140" w:type="dxa"/>
            <w:vAlign w:val="bottom"/>
            <w:tcBorders>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6"/>
                <w:szCs w:val="16"/>
                <w:b w:val="1"/>
                <w:bCs w:val="1"/>
                <w:color w:val="auto"/>
              </w:rPr>
              <w:t>of</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Equity</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Interest</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Equity</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Number</w:t>
            </w:r>
          </w:p>
        </w:tc>
        <w:tc>
          <w:tcPr>
            <w:tcW w:w="124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20"/>
                <w:szCs w:val="20"/>
                <w:b w:val="1"/>
                <w:bCs w:val="1"/>
                <w:color w:val="auto"/>
              </w:rPr>
              <w:t>Pledged</w:t>
            </w:r>
          </w:p>
        </w:tc>
        <w:tc>
          <w:tcPr>
            <w:tcW w:w="0" w:type="dxa"/>
            <w:vAlign w:val="bottom"/>
          </w:tcPr>
          <w:p>
            <w:pPr>
              <w:spacing w:after="0"/>
              <w:rPr>
                <w:sz w:val="1"/>
                <w:szCs w:val="1"/>
                <w:color w:val="auto"/>
              </w:rPr>
            </w:pPr>
          </w:p>
        </w:tc>
      </w:tr>
      <w:tr>
        <w:trPr>
          <w:trHeight w:val="121"/>
        </w:trPr>
        <w:tc>
          <w:tcPr>
            <w:tcW w:w="1360" w:type="dxa"/>
            <w:vAlign w:val="bottom"/>
            <w:tcBorders>
              <w:left w:val="single" w:sz="8" w:color="auto"/>
              <w:right w:val="single" w:sz="8" w:color="auto"/>
            </w:tcBorders>
            <w:shd w:val="clear" w:color="auto" w:fill="D9D9D9"/>
          </w:tcPr>
          <w:p>
            <w:pPr>
              <w:spacing w:after="0"/>
              <w:rPr>
                <w:sz w:val="10"/>
                <w:szCs w:val="10"/>
                <w:color w:val="auto"/>
              </w:rPr>
            </w:pPr>
          </w:p>
        </w:tc>
        <w:tc>
          <w:tcPr>
            <w:tcW w:w="1340" w:type="dxa"/>
            <w:vAlign w:val="bottom"/>
            <w:tcBorders>
              <w:right w:val="single" w:sz="8" w:color="auto"/>
            </w:tcBorders>
            <w:shd w:val="clear" w:color="auto" w:fill="D9D9D9"/>
          </w:tcPr>
          <w:p>
            <w:pPr>
              <w:spacing w:after="0"/>
              <w:rPr>
                <w:sz w:val="10"/>
                <w:szCs w:val="10"/>
                <w:color w:val="auto"/>
              </w:rPr>
            </w:pP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Organization</w:t>
            </w:r>
          </w:p>
        </w:tc>
        <w:tc>
          <w:tcPr>
            <w:tcW w:w="1200" w:type="dxa"/>
            <w:vAlign w:val="bottom"/>
            <w:tcBorders>
              <w:right w:val="single" w:sz="8" w:color="auto"/>
            </w:tcBorders>
            <w:vMerge w:val="continue"/>
            <w:shd w:val="clear" w:color="auto" w:fill="D9D9D9"/>
          </w:tcPr>
          <w:p>
            <w:pPr>
              <w:spacing w:after="0"/>
              <w:rPr>
                <w:sz w:val="10"/>
                <w:szCs w:val="10"/>
                <w:color w:val="auto"/>
              </w:rPr>
            </w:pPr>
          </w:p>
        </w:tc>
        <w:tc>
          <w:tcPr>
            <w:tcW w:w="1180" w:type="dxa"/>
            <w:vAlign w:val="bottom"/>
            <w:tcBorders>
              <w:right w:val="single" w:sz="8" w:color="auto"/>
            </w:tcBorders>
            <w:vMerge w:val="continue"/>
            <w:shd w:val="clear" w:color="auto" w:fill="D9D9D9"/>
          </w:tcPr>
          <w:p>
            <w:pPr>
              <w:spacing w:after="0"/>
              <w:rPr>
                <w:sz w:val="10"/>
                <w:szCs w:val="10"/>
                <w:color w:val="auto"/>
              </w:rPr>
            </w:pPr>
          </w:p>
        </w:tc>
        <w:tc>
          <w:tcPr>
            <w:tcW w:w="1240" w:type="dxa"/>
            <w:vAlign w:val="bottom"/>
            <w:tcBorders>
              <w:right w:val="single" w:sz="8" w:color="auto"/>
            </w:tcBorders>
            <w:vMerge w:val="continue"/>
            <w:shd w:val="clear" w:color="auto" w:fill="D9D9D9"/>
          </w:tcPr>
          <w:p>
            <w:pPr>
              <w:spacing w:after="0"/>
              <w:rPr>
                <w:sz w:val="10"/>
                <w:szCs w:val="10"/>
                <w:color w:val="auto"/>
              </w:rPr>
            </w:pPr>
          </w:p>
        </w:tc>
        <w:tc>
          <w:tcPr>
            <w:tcW w:w="1240" w:type="dxa"/>
            <w:vAlign w:val="bottom"/>
            <w:tcBorders>
              <w:right w:val="single" w:sz="8" w:color="auto"/>
            </w:tcBorders>
            <w:vMerge w:val="continue"/>
            <w:shd w:val="clear" w:color="auto" w:fill="D9D9D9"/>
          </w:tcPr>
          <w:p>
            <w:pPr>
              <w:spacing w:after="0"/>
              <w:rPr>
                <w:sz w:val="10"/>
                <w:szCs w:val="10"/>
                <w:color w:val="auto"/>
              </w:rPr>
            </w:pPr>
          </w:p>
        </w:tc>
        <w:tc>
          <w:tcPr>
            <w:tcW w:w="124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left w:val="single" w:sz="8" w:color="auto"/>
              <w:right w:val="single" w:sz="8" w:color="auto"/>
            </w:tcBorders>
            <w:shd w:val="clear" w:color="auto" w:fill="D9D9D9"/>
          </w:tcPr>
          <w:p>
            <w:pPr>
              <w:spacing w:after="0"/>
              <w:rPr>
                <w:sz w:val="11"/>
                <w:szCs w:val="11"/>
                <w:color w:val="auto"/>
              </w:rPr>
            </w:pPr>
          </w:p>
        </w:tc>
        <w:tc>
          <w:tcPr>
            <w:tcW w:w="1340" w:type="dxa"/>
            <w:vAlign w:val="bottom"/>
            <w:tcBorders>
              <w:right w:val="single" w:sz="8" w:color="auto"/>
            </w:tcBorders>
            <w:shd w:val="clear" w:color="auto" w:fill="D9D9D9"/>
          </w:tcPr>
          <w:p>
            <w:pPr>
              <w:spacing w:after="0"/>
              <w:rPr>
                <w:sz w:val="11"/>
                <w:szCs w:val="11"/>
                <w:color w:val="auto"/>
              </w:rPr>
            </w:pPr>
          </w:p>
        </w:tc>
        <w:tc>
          <w:tcPr>
            <w:tcW w:w="1140" w:type="dxa"/>
            <w:vAlign w:val="bottom"/>
            <w:tcBorders>
              <w:right w:val="single" w:sz="8" w:color="auto"/>
            </w:tcBorders>
            <w:vMerge w:val="continue"/>
            <w:shd w:val="clear" w:color="auto" w:fill="D9D9D9"/>
          </w:tcPr>
          <w:p>
            <w:pPr>
              <w:spacing w:after="0"/>
              <w:rPr>
                <w:sz w:val="11"/>
                <w:szCs w:val="11"/>
                <w:color w:val="auto"/>
              </w:rPr>
            </w:pP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Interests</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Owned</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Interests</w:t>
            </w:r>
          </w:p>
        </w:tc>
        <w:tc>
          <w:tcPr>
            <w:tcW w:w="124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60" w:type="dxa"/>
            <w:vAlign w:val="bottom"/>
            <w:tcBorders>
              <w:left w:val="single" w:sz="8" w:color="auto"/>
              <w:right w:val="single" w:sz="8" w:color="auto"/>
            </w:tcBorders>
            <w:shd w:val="clear" w:color="auto" w:fill="D9D9D9"/>
          </w:tcPr>
          <w:p>
            <w:pPr>
              <w:spacing w:after="0"/>
              <w:rPr>
                <w:sz w:val="8"/>
                <w:szCs w:val="8"/>
                <w:color w:val="auto"/>
              </w:rPr>
            </w:pPr>
          </w:p>
        </w:tc>
        <w:tc>
          <w:tcPr>
            <w:tcW w:w="1340" w:type="dxa"/>
            <w:vAlign w:val="bottom"/>
            <w:tcBorders>
              <w:right w:val="single" w:sz="8" w:color="auto"/>
            </w:tcBorders>
            <w:shd w:val="clear" w:color="auto" w:fill="D9D9D9"/>
          </w:tcPr>
          <w:p>
            <w:pPr>
              <w:spacing w:after="0"/>
              <w:rPr>
                <w:sz w:val="8"/>
                <w:szCs w:val="8"/>
                <w:color w:val="auto"/>
              </w:rPr>
            </w:pPr>
          </w:p>
        </w:tc>
        <w:tc>
          <w:tcPr>
            <w:tcW w:w="1140" w:type="dxa"/>
            <w:vAlign w:val="bottom"/>
            <w:tcBorders>
              <w:right w:val="single" w:sz="8" w:color="auto"/>
            </w:tcBorders>
            <w:shd w:val="clear" w:color="auto" w:fill="D9D9D9"/>
          </w:tcPr>
          <w:p>
            <w:pPr>
              <w:spacing w:after="0"/>
              <w:rPr>
                <w:sz w:val="8"/>
                <w:szCs w:val="8"/>
                <w:color w:val="auto"/>
              </w:rPr>
            </w:pPr>
          </w:p>
        </w:tc>
        <w:tc>
          <w:tcPr>
            <w:tcW w:w="1200" w:type="dxa"/>
            <w:vAlign w:val="bottom"/>
            <w:tcBorders>
              <w:right w:val="single" w:sz="8" w:color="auto"/>
            </w:tcBorders>
            <w:vMerge w:val="continue"/>
            <w:shd w:val="clear" w:color="auto" w:fill="D9D9D9"/>
          </w:tcPr>
          <w:p>
            <w:pPr>
              <w:spacing w:after="0"/>
              <w:rPr>
                <w:sz w:val="8"/>
                <w:szCs w:val="8"/>
                <w:color w:val="auto"/>
              </w:rPr>
            </w:pPr>
          </w:p>
        </w:tc>
        <w:tc>
          <w:tcPr>
            <w:tcW w:w="1180" w:type="dxa"/>
            <w:vAlign w:val="bottom"/>
            <w:tcBorders>
              <w:right w:val="single" w:sz="8" w:color="auto"/>
            </w:tcBorders>
            <w:vMerge w:val="continue"/>
            <w:shd w:val="clear" w:color="auto" w:fill="D9D9D9"/>
          </w:tcPr>
          <w:p>
            <w:pPr>
              <w:spacing w:after="0"/>
              <w:rPr>
                <w:sz w:val="8"/>
                <w:szCs w:val="8"/>
                <w:color w:val="auto"/>
              </w:rPr>
            </w:pPr>
          </w:p>
        </w:tc>
        <w:tc>
          <w:tcPr>
            <w:tcW w:w="1240" w:type="dxa"/>
            <w:vAlign w:val="bottom"/>
            <w:tcBorders>
              <w:right w:val="single" w:sz="8" w:color="auto"/>
            </w:tcBorders>
            <w:vMerge w:val="continue"/>
            <w:shd w:val="clear" w:color="auto" w:fill="D9D9D9"/>
          </w:tcPr>
          <w:p>
            <w:pPr>
              <w:spacing w:after="0"/>
              <w:rPr>
                <w:sz w:val="8"/>
                <w:szCs w:val="8"/>
                <w:color w:val="auto"/>
              </w:rPr>
            </w:pPr>
          </w:p>
        </w:tc>
        <w:tc>
          <w:tcPr>
            <w:tcW w:w="1240" w:type="dxa"/>
            <w:vAlign w:val="bottom"/>
            <w:tcBorders>
              <w:right w:val="single" w:sz="8" w:color="auto"/>
            </w:tcBorders>
            <w:shd w:val="clear" w:color="auto" w:fill="D9D9D9"/>
          </w:tcPr>
          <w:p>
            <w:pPr>
              <w:spacing w:after="0"/>
              <w:rPr>
                <w:sz w:val="8"/>
                <w:szCs w:val="8"/>
                <w:color w:val="auto"/>
              </w:rPr>
            </w:pPr>
          </w:p>
        </w:tc>
        <w:tc>
          <w:tcPr>
            <w:tcW w:w="124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36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340" w:type="dxa"/>
            <w:vAlign w:val="bottom"/>
            <w:tcBorders>
              <w:bottom w:val="single" w:sz="8" w:color="D9D9D9"/>
              <w:right w:val="single" w:sz="8" w:color="auto"/>
            </w:tcBorders>
            <w:shd w:val="clear" w:color="auto" w:fill="D9D9D9"/>
          </w:tcPr>
          <w:p>
            <w:pPr>
              <w:spacing w:after="0"/>
              <w:rPr>
                <w:sz w:val="24"/>
                <w:szCs w:val="24"/>
                <w:color w:val="auto"/>
              </w:rPr>
            </w:pPr>
          </w:p>
        </w:tc>
        <w:tc>
          <w:tcPr>
            <w:tcW w:w="1140" w:type="dxa"/>
            <w:vAlign w:val="bottom"/>
            <w:tcBorders>
              <w:bottom w:val="single" w:sz="8" w:color="D9D9D9"/>
              <w:right w:val="single" w:sz="8" w:color="auto"/>
            </w:tcBorders>
            <w:shd w:val="clear" w:color="auto" w:fill="D9D9D9"/>
          </w:tcPr>
          <w:p>
            <w:pPr>
              <w:spacing w:after="0"/>
              <w:rPr>
                <w:sz w:val="24"/>
                <w:szCs w:val="24"/>
                <w:color w:val="auto"/>
              </w:rPr>
            </w:pPr>
          </w:p>
        </w:tc>
        <w:tc>
          <w:tcPr>
            <w:tcW w:w="12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7"/>
              </w:rPr>
              <w:t>outstanding</w:t>
            </w:r>
          </w:p>
        </w:tc>
        <w:tc>
          <w:tcPr>
            <w:tcW w:w="118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60" w:type="dxa"/>
            <w:vAlign w:val="bottom"/>
            <w:tcBorders>
              <w:top w:val="single" w:sz="8" w:color="auto"/>
              <w:left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Altoy Savunma</w:t>
            </w:r>
          </w:p>
        </w:tc>
        <w:tc>
          <w:tcPr>
            <w:tcW w:w="114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AeroVironment,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Sanayi ve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Turkey</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3,000 shares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85%</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Voting</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Various</w:t>
            </w:r>
            <w:r>
              <w:rPr>
                <w:rFonts w:ascii="Arial" w:cs="Arial" w:eastAsia="Arial" w:hAnsi="Arial"/>
                <w:sz w:val="29"/>
                <w:szCs w:val="29"/>
                <w:color w:val="auto"/>
                <w:w w:val="86"/>
                <w:vertAlign w:val="superscript"/>
              </w:rPr>
              <w:t>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65%</w:t>
            </w:r>
          </w:p>
        </w:tc>
        <w:tc>
          <w:tcPr>
            <w:tcW w:w="0" w:type="dxa"/>
            <w:vAlign w:val="bottom"/>
          </w:tcPr>
          <w:p>
            <w:pPr>
              <w:spacing w:after="0"/>
              <w:rPr>
                <w:sz w:val="1"/>
                <w:szCs w:val="1"/>
                <w:color w:val="auto"/>
              </w:rPr>
            </w:pPr>
          </w:p>
        </w:tc>
      </w:tr>
      <w:tr>
        <w:trPr>
          <w:trHeight w:val="192"/>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Inc.</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Havacilik</w:t>
            </w:r>
          </w:p>
        </w:tc>
        <w:tc>
          <w:tcPr>
            <w:tcW w:w="114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60" w:type="dxa"/>
            <w:vAlign w:val="bottom"/>
            <w:tcBorders>
              <w:left w:val="single" w:sz="8" w:color="auto"/>
              <w:right w:val="single" w:sz="8" w:color="auto"/>
            </w:tcBorders>
            <w:vMerge w:val="continue"/>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136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Anonim Sirketi</w:t>
            </w:r>
          </w:p>
        </w:tc>
        <w:tc>
          <w:tcPr>
            <w:tcW w:w="114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3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110,000</w:t>
            </w: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AeroVironment,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Arcturus UAV,</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California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shares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Voting</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TBD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16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Inc.</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Inc.</w:t>
            </w:r>
          </w:p>
        </w:tc>
        <w:tc>
          <w:tcPr>
            <w:tcW w:w="11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of Common</w:t>
            </w:r>
          </w:p>
        </w:tc>
        <w:tc>
          <w:tcPr>
            <w:tcW w:w="118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360" w:type="dxa"/>
            <w:vAlign w:val="bottom"/>
            <w:tcBorders>
              <w:left w:val="single" w:sz="8" w:color="auto"/>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Stock</w:t>
            </w:r>
          </w:p>
        </w:tc>
        <w:tc>
          <w:tcPr>
            <w:tcW w:w="118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AeroVironment,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AeroVironment,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Afghanistan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NA</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Voting</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Uncertificated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65%</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Arial" w:cs="Arial" w:eastAsia="Arial" w:hAnsi="Arial"/>
                <w:sz w:val="20"/>
                <w:szCs w:val="20"/>
                <w:color w:val="auto"/>
                <w:w w:val="92"/>
              </w:rPr>
              <w:t>Inc.</w:t>
            </w:r>
          </w:p>
        </w:tc>
        <w:tc>
          <w:tcPr>
            <w:tcW w:w="13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20"/>
                <w:szCs w:val="20"/>
                <w:color w:val="auto"/>
                <w:w w:val="92"/>
              </w:rPr>
              <w:t>Inc.</w:t>
            </w:r>
          </w:p>
        </w:tc>
        <w:tc>
          <w:tcPr>
            <w:tcW w:w="114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15684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31" w:lineRule="exact"/>
        <w:rPr>
          <w:sz w:val="20"/>
          <w:szCs w:val="20"/>
          <w:color w:val="auto"/>
        </w:rPr>
      </w:pPr>
    </w:p>
    <w:p>
      <w:pPr>
        <w:ind w:left="420" w:hanging="412"/>
        <w:spacing w:after="0"/>
        <w:tabs>
          <w:tab w:leader="none" w:pos="420" w:val="left"/>
        </w:tabs>
        <w:numPr>
          <w:ilvl w:val="0"/>
          <w:numId w:val="446"/>
        </w:numPr>
        <w:rPr>
          <w:rFonts w:ascii="Arial" w:cs="Arial" w:eastAsia="Arial" w:hAnsi="Arial"/>
          <w:sz w:val="27"/>
          <w:szCs w:val="27"/>
          <w:color w:val="auto"/>
          <w:vertAlign w:val="superscript"/>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762635</wp:posOffset>
            </wp:positionV>
            <wp:extent cx="629221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93" w:right="979" w:bottom="1440" w:gutter="0" w:footer="0" w:header="0"/>
        </w:sectPr>
      </w:pPr>
    </w:p>
    <w:bookmarkStart w:id="417" w:name="page418"/>
    <w:bookmarkEnd w:id="417"/>
    <w:p>
      <w:pPr>
        <w:jc w:val="center"/>
        <w:ind w:right="-440"/>
        <w:spacing w:after="0"/>
        <w:rPr>
          <w:sz w:val="20"/>
          <w:szCs w:val="20"/>
          <w:color w:val="auto"/>
        </w:rPr>
      </w:pPr>
      <w:r>
        <w:rPr>
          <w:rFonts w:ascii="Arial" w:cs="Arial" w:eastAsia="Arial" w:hAnsi="Arial"/>
          <w:sz w:val="20"/>
          <w:szCs w:val="20"/>
          <w:u w:val="single" w:color="auto"/>
          <w:color w:val="auto"/>
        </w:rPr>
        <w:t>SCHEDULE 2(c)</w:t>
      </w:r>
    </w:p>
    <w:p>
      <w:pPr>
        <w:spacing w:after="0" w:line="216" w:lineRule="exact"/>
        <w:rPr>
          <w:sz w:val="20"/>
          <w:szCs w:val="20"/>
          <w:color w:val="auto"/>
        </w:rPr>
      </w:pPr>
    </w:p>
    <w:p>
      <w:pPr>
        <w:jc w:val="right"/>
        <w:ind w:right="3179"/>
        <w:spacing w:after="0"/>
        <w:rPr>
          <w:sz w:val="20"/>
          <w:szCs w:val="20"/>
          <w:color w:val="auto"/>
        </w:rPr>
      </w:pPr>
      <w:r>
        <w:rPr>
          <w:rFonts w:ascii="Arial" w:cs="Arial" w:eastAsia="Arial" w:hAnsi="Arial"/>
          <w:sz w:val="20"/>
          <w:szCs w:val="20"/>
          <w:color w:val="auto"/>
        </w:rPr>
        <w:t>COMMERCIAL TORT CLAIMS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918845</wp:posOffset>
            </wp:positionV>
            <wp:extent cx="629221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sectPr>
      </w:pPr>
    </w:p>
    <w:bookmarkStart w:id="418" w:name="page419"/>
    <w:bookmarkEnd w:id="418"/>
    <w:p>
      <w:pPr>
        <w:jc w:val="center"/>
        <w:ind w:right="-460"/>
        <w:spacing w:after="0"/>
        <w:rPr>
          <w:sz w:val="20"/>
          <w:szCs w:val="20"/>
          <w:color w:val="auto"/>
        </w:rPr>
      </w:pPr>
      <w:r>
        <w:rPr>
          <w:rFonts w:ascii="Arial" w:cs="Arial" w:eastAsia="Arial" w:hAnsi="Arial"/>
          <w:sz w:val="20"/>
          <w:szCs w:val="20"/>
          <w:u w:val="single" w:color="auto"/>
          <w:color w:val="auto"/>
        </w:rPr>
        <w:t>SCHEDULE 3(g)</w:t>
      </w:r>
    </w:p>
    <w:p>
      <w:pPr>
        <w:spacing w:after="0" w:line="216" w:lineRule="exact"/>
        <w:rPr>
          <w:sz w:val="20"/>
          <w:szCs w:val="20"/>
          <w:color w:val="auto"/>
        </w:rPr>
      </w:pPr>
    </w:p>
    <w:p>
      <w:pPr>
        <w:jc w:val="right"/>
        <w:ind w:right="1819"/>
        <w:spacing w:after="0"/>
        <w:rPr>
          <w:sz w:val="20"/>
          <w:szCs w:val="20"/>
          <w:color w:val="auto"/>
        </w:rPr>
      </w:pPr>
      <w:r>
        <w:rPr>
          <w:rFonts w:ascii="Arial" w:cs="Arial" w:eastAsia="Arial" w:hAnsi="Arial"/>
          <w:sz w:val="20"/>
          <w:szCs w:val="20"/>
          <w:color w:val="auto"/>
        </w:rPr>
        <w:t>INSTRUMENTS; DOCUMENTS; TANGIBLE CHATTEL PAPER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910590</wp:posOffset>
            </wp:positionV>
            <wp:extent cx="629221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sectPr>
      </w:pPr>
    </w:p>
    <w:bookmarkStart w:id="419" w:name="page420"/>
    <w:bookmarkEnd w:id="419"/>
    <w:p>
      <w:pPr>
        <w:jc w:val="center"/>
        <w:ind w:right="-108"/>
        <w:spacing w:after="0"/>
        <w:rPr>
          <w:sz w:val="20"/>
          <w:szCs w:val="20"/>
          <w:color w:val="auto"/>
        </w:rPr>
      </w:pPr>
      <w:r>
        <w:rPr>
          <w:rFonts w:ascii="Arial" w:cs="Arial" w:eastAsia="Arial" w:hAnsi="Arial"/>
          <w:sz w:val="20"/>
          <w:szCs w:val="20"/>
          <w:u w:val="single" w:color="auto"/>
          <w:color w:val="auto"/>
        </w:rPr>
        <w:t>SCHEDULE 3(j)</w:t>
      </w:r>
    </w:p>
    <w:p>
      <w:pPr>
        <w:spacing w:after="0" w:line="229" w:lineRule="exact"/>
        <w:rPr>
          <w:sz w:val="20"/>
          <w:szCs w:val="20"/>
          <w:color w:val="auto"/>
        </w:rPr>
      </w:pPr>
    </w:p>
    <w:p>
      <w:pPr>
        <w:ind w:left="848"/>
        <w:spacing w:after="0"/>
        <w:rPr>
          <w:sz w:val="20"/>
          <w:szCs w:val="20"/>
          <w:color w:val="auto"/>
        </w:rPr>
      </w:pPr>
      <w:r>
        <w:rPr>
          <w:rFonts w:ascii="Arial" w:cs="Arial" w:eastAsia="Arial" w:hAnsi="Arial"/>
          <w:sz w:val="20"/>
          <w:szCs w:val="20"/>
          <w:color w:val="auto"/>
        </w:rPr>
        <w:t>MERGERS, CONSOLIDATIONS, CHANGE IN STRUCTURE OR USE OF TRADENAMES</w:t>
      </w:r>
    </w:p>
    <w:p>
      <w:pPr>
        <w:spacing w:after="0" w:line="229" w:lineRule="exact"/>
        <w:rPr>
          <w:sz w:val="20"/>
          <w:szCs w:val="20"/>
          <w:color w:val="auto"/>
        </w:rPr>
      </w:pPr>
    </w:p>
    <w:p>
      <w:pPr>
        <w:ind w:left="328" w:right="99" w:hanging="328"/>
        <w:spacing w:after="0" w:line="260" w:lineRule="auto"/>
        <w:tabs>
          <w:tab w:leader="none" w:pos="35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On October 1, 2018 Arcturus UAV, LLC converted from a California limited liability company to a California corporation with the name Arcturus UAV,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885825</wp:posOffset>
            </wp:positionV>
            <wp:extent cx="629221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47"/>
          </w:cols>
          <w:pgMar w:left="1312" w:top="1108" w:right="1440" w:bottom="1440" w:gutter="0" w:footer="0" w:header="0"/>
        </w:sectPr>
      </w:pPr>
    </w:p>
    <w:bookmarkStart w:id="420" w:name="page421"/>
    <w:bookmarkEnd w:id="420"/>
    <w:p>
      <w:pPr>
        <w:jc w:val="center"/>
        <w:spacing w:after="0"/>
        <w:rPr>
          <w:sz w:val="20"/>
          <w:szCs w:val="20"/>
          <w:color w:val="auto"/>
        </w:rPr>
      </w:pPr>
      <w:r>
        <w:rPr>
          <w:rFonts w:ascii="Arial" w:cs="Arial" w:eastAsia="Arial" w:hAnsi="Arial"/>
          <w:sz w:val="20"/>
          <w:szCs w:val="20"/>
          <w:u w:val="single" w:color="auto"/>
          <w:color w:val="auto"/>
        </w:rPr>
        <w:t>EXHIBIT 4(a)(ii)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IRREVOCABLE STOCK POWER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hereby sells, assigns and transfers to ______________________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following Equity Interests of _____________________, a ____________ [corporation][limited liability company]:</w:t>
      </w:r>
    </w:p>
    <w:p>
      <w:pPr>
        <w:spacing w:after="0" w:line="200" w:lineRule="exact"/>
        <w:rPr>
          <w:sz w:val="20"/>
          <w:szCs w:val="20"/>
          <w:color w:val="auto"/>
        </w:rPr>
      </w:pPr>
    </w:p>
    <w:p>
      <w:pPr>
        <w:ind w:left="1600"/>
        <w:spacing w:after="0"/>
        <w:tabs>
          <w:tab w:leader="none" w:pos="6660" w:val="left"/>
        </w:tabs>
        <w:rPr>
          <w:sz w:val="20"/>
          <w:szCs w:val="20"/>
          <w:color w:val="auto"/>
        </w:rPr>
      </w:pPr>
      <w:r>
        <w:rPr>
          <w:rFonts w:ascii="Arial" w:cs="Arial" w:eastAsia="Arial" w:hAnsi="Arial"/>
          <w:sz w:val="20"/>
          <w:szCs w:val="20"/>
          <w:u w:val="single" w:color="auto"/>
          <w:color w:val="auto"/>
        </w:rPr>
        <w:t>No. of [Shares][Units]</w:t>
      </w:r>
      <w:r>
        <w:rPr>
          <w:sz w:val="20"/>
          <w:szCs w:val="20"/>
          <w:color w:val="auto"/>
        </w:rPr>
        <w:tab/>
      </w:r>
      <w:r>
        <w:rPr>
          <w:rFonts w:ascii="Arial" w:cs="Arial" w:eastAsia="Arial" w:hAnsi="Arial"/>
          <w:sz w:val="18"/>
          <w:szCs w:val="18"/>
          <w:u w:val="single" w:color="auto"/>
          <w:color w:val="auto"/>
        </w:rPr>
        <w:t>Certificate Number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appoints __________________________________ its agent and attorney-in-fact to transfer all or any part</w:t>
      </w:r>
    </w:p>
    <w:p>
      <w:pPr>
        <w:spacing w:after="0" w:line="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of such Equity Interests and to take all necessary and appropriate action to effect any such transfer. The agent and attorney-in-fact may substitute and appoint one or more persons to act for him.</w:t>
      </w:r>
    </w:p>
    <w:p>
      <w:pPr>
        <w:spacing w:after="0" w:line="20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[OBLIGOR]</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-144780</wp:posOffset>
            </wp:positionV>
            <wp:extent cx="16198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jc w:val="center"/>
        <w:ind w:right="-4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900430</wp:posOffset>
            </wp:positionV>
            <wp:extent cx="629221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1" w:name="page422"/>
    <w:bookmarkEnd w:id="421"/>
    <w:p>
      <w:pPr>
        <w:jc w:val="center"/>
        <w:spacing w:after="0"/>
        <w:rPr>
          <w:sz w:val="20"/>
          <w:szCs w:val="20"/>
          <w:color w:val="auto"/>
        </w:rPr>
      </w:pPr>
      <w:r>
        <w:rPr>
          <w:rFonts w:ascii="Arial" w:cs="Arial" w:eastAsia="Arial" w:hAnsi="Arial"/>
          <w:sz w:val="20"/>
          <w:szCs w:val="20"/>
          <w:u w:val="single" w:color="auto"/>
          <w:color w:val="auto"/>
        </w:rPr>
        <w:t>EXHIBIT 4(b)(i)(B)</w:t>
      </w:r>
    </w:p>
    <w:p>
      <w:pPr>
        <w:spacing w:after="0" w:line="22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[FORM OF] NOTICE OF GRANT OF SECURITY INTEREST IN COPYRIGHTS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United States Copyright Office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Please be advised that pursuant to the Security and Pledge Agreement dated as of February 19, 2021 (as amended, restated, amended and restated, extended,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the Obligors from time to time party thereto (each an “</w:t>
      </w:r>
      <w:r>
        <w:rPr>
          <w:rFonts w:ascii="Arial" w:cs="Arial" w:eastAsia="Arial" w:hAnsi="Arial"/>
          <w:sz w:val="20"/>
          <w:szCs w:val="20"/>
          <w:u w:val="single" w:color="auto"/>
          <w:color w:val="auto"/>
        </w:rPr>
        <w:t>Obligor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Obligors</w:t>
      </w:r>
      <w:r>
        <w:rPr>
          <w:rFonts w:ascii="Arial" w:cs="Arial" w:eastAsia="Arial" w:hAnsi="Arial"/>
          <w:sz w:val="20"/>
          <w:szCs w:val="20"/>
          <w:color w:val="auto"/>
        </w:rPr>
        <w:t>”) and Bank of America, N.A., as the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for the Secured Parties referenced therein, the undersigned Obligor has granted to the Administrative Agent, for the benefit of the Secured Parties, a continuing security interest in, and a right to set off against, any and all right, title and interest of such Obligor in and to the copyrights and copyright applications shown on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918845</wp:posOffset>
            </wp:positionV>
            <wp:extent cx="629221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2" w:name="page423"/>
    <w:bookmarkEnd w:id="422"/>
    <w:p>
      <w:pPr>
        <w:jc w:val="both"/>
        <w:ind w:firstLine="648"/>
        <w:spacing w:after="0" w:line="246" w:lineRule="auto"/>
        <w:rPr>
          <w:sz w:val="20"/>
          <w:szCs w:val="20"/>
          <w:color w:val="auto"/>
        </w:rPr>
      </w:pPr>
      <w:r>
        <w:rPr>
          <w:rFonts w:ascii="Arial" w:cs="Arial" w:eastAsia="Arial" w:hAnsi="Arial"/>
          <w:sz w:val="20"/>
          <w:szCs w:val="20"/>
          <w:color w:val="auto"/>
        </w:rPr>
        <w:t>The undersigned Obligor and the Administrative Agent, on behalf of the Secured Parties, hereby acknowledge and agree that the security interest in the foregoing copyrights and copyright applications (i) may only be terminated in accordance with the terms of the Agreement and (ii) is not to be construed as an assignment of any copyright or copyright application.</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[OBLIGOR]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-144780</wp:posOffset>
            </wp:positionV>
            <wp:extent cx="16116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-144780</wp:posOffset>
            </wp:positionV>
            <wp:extent cx="16973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908685</wp:posOffset>
            </wp:positionV>
            <wp:extent cx="629221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3" w:name="page424"/>
    <w:bookmarkEnd w:id="423"/>
    <w:p>
      <w:pPr>
        <w:jc w:val="center"/>
        <w:spacing w:after="0"/>
        <w:rPr>
          <w:sz w:val="20"/>
          <w:szCs w:val="20"/>
          <w:color w:val="auto"/>
        </w:rPr>
      </w:pPr>
      <w:r>
        <w:rPr>
          <w:rFonts w:ascii="Arial" w:cs="Arial" w:eastAsia="Arial" w:hAnsi="Arial"/>
          <w:sz w:val="20"/>
          <w:szCs w:val="20"/>
          <w:u w:val="single" w:color="auto"/>
          <w:color w:val="auto"/>
        </w:rPr>
        <w:t>EXHIBIT 4(b)(i)(C)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NOTICE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 OF SECURITY INTEREST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PATENTS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United States Patent and Trademark Office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Please be advised that pursuant to the Security and Pledge Agreement dated as of February 19, 2021 (as amended, restated, amended and restated, extended,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the Obligors from time to time party thereto (each a “</w:t>
      </w:r>
      <w:r>
        <w:rPr>
          <w:rFonts w:ascii="Arial" w:cs="Arial" w:eastAsia="Arial" w:hAnsi="Arial"/>
          <w:sz w:val="20"/>
          <w:szCs w:val="20"/>
          <w:u w:val="single" w:color="auto"/>
          <w:color w:val="auto"/>
        </w:rPr>
        <w:t>Obligor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Obligors</w:t>
      </w:r>
      <w:r>
        <w:rPr>
          <w:rFonts w:ascii="Arial" w:cs="Arial" w:eastAsia="Arial" w:hAnsi="Arial"/>
          <w:sz w:val="20"/>
          <w:szCs w:val="20"/>
          <w:color w:val="auto"/>
        </w:rPr>
        <w:t>”) and Bank of America, N.A., as the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for the Secured Parties referenced therein, the undersigned Obligor has granted to the Administrative Agent, for the benefit of the Secured Parties, a continuing security interest in, and a right to set off against, any and all right, title and interest of such Obligor in and to the patents and patent applications shown on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918845</wp:posOffset>
            </wp:positionV>
            <wp:extent cx="629221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4" w:name="page425"/>
    <w:bookmarkEnd w:id="424"/>
    <w:p>
      <w:pPr>
        <w:jc w:val="both"/>
        <w:ind w:firstLine="648"/>
        <w:spacing w:after="0" w:line="291" w:lineRule="auto"/>
        <w:rPr>
          <w:sz w:val="20"/>
          <w:szCs w:val="20"/>
          <w:color w:val="auto"/>
        </w:rPr>
      </w:pPr>
      <w:r>
        <w:rPr>
          <w:rFonts w:ascii="Arial" w:cs="Arial" w:eastAsia="Arial" w:hAnsi="Arial"/>
          <w:sz w:val="18"/>
          <w:szCs w:val="18"/>
          <w:color w:val="auto"/>
        </w:rPr>
        <w:t>The undersigned Obligor and the Administrative Agent, on behalf of the Secured Parties, hereby acknowledge and agree that the security interest in the foregoing patents and patent applications (i) may only be terminated in accordance with the terms of the Agreement and (ii) is not to be construed as an assignment of any patent or patent application.</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[OBLIGOR]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-144780</wp:posOffset>
            </wp:positionV>
            <wp:extent cx="16541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-144780</wp:posOffset>
            </wp:positionV>
            <wp:extent cx="16973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1054735</wp:posOffset>
            </wp:positionV>
            <wp:extent cx="629221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5" w:name="page426"/>
    <w:bookmarkEnd w:id="425"/>
    <w:p>
      <w:pPr>
        <w:jc w:val="center"/>
        <w:spacing w:after="0"/>
        <w:rPr>
          <w:sz w:val="20"/>
          <w:szCs w:val="20"/>
          <w:color w:val="auto"/>
        </w:rPr>
      </w:pPr>
      <w:r>
        <w:rPr>
          <w:rFonts w:ascii="Arial" w:cs="Arial" w:eastAsia="Arial" w:hAnsi="Arial"/>
          <w:sz w:val="20"/>
          <w:szCs w:val="20"/>
          <w:u w:val="single" w:color="auto"/>
          <w:color w:val="auto"/>
        </w:rPr>
        <w:t>EXHIBIT 4(b)(i)(D)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NOTICE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 OF SECURITY INTEREST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TRADEMARKS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United States Patent and Trademark Office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Please be advised that pursuant to the Security and Pledge Agreement dated as of February 19, 2021 (as amended, restated, amended and restated, extended, supplemented or otherwise modified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Obligors from time to time party thereto (each a “</w:t>
      </w:r>
      <w:r>
        <w:rPr>
          <w:rFonts w:ascii="Arial" w:cs="Arial" w:eastAsia="Arial" w:hAnsi="Arial"/>
          <w:sz w:val="19"/>
          <w:szCs w:val="19"/>
          <w:u w:val="single" w:color="auto"/>
          <w:color w:val="auto"/>
        </w:rPr>
        <w:t>Obligor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Bank of America, N.A., as the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for the Secured Parties referenced therein, the undersigned Obligor has granted to the Administrative Agent, for the benefit of the Secured Parties, a continuing security interest in, and a right to set off against, any and all right, title and interest of such Obligor in and to the trademarks and trademark applications shown on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918845</wp:posOffset>
            </wp:positionV>
            <wp:extent cx="629221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6" w:name="page427"/>
    <w:bookmarkEnd w:id="426"/>
    <w:p>
      <w:pPr>
        <w:jc w:val="both"/>
        <w:ind w:firstLine="648"/>
        <w:spacing w:after="0" w:line="246" w:lineRule="auto"/>
        <w:rPr>
          <w:sz w:val="20"/>
          <w:szCs w:val="20"/>
          <w:color w:val="auto"/>
        </w:rPr>
      </w:pPr>
      <w:r>
        <w:rPr>
          <w:rFonts w:ascii="Arial" w:cs="Arial" w:eastAsia="Arial" w:hAnsi="Arial"/>
          <w:sz w:val="20"/>
          <w:szCs w:val="20"/>
          <w:color w:val="auto"/>
        </w:rPr>
        <w:t>The undersigned Obligor and the Administrative Agent, on behalf of the Secured Parties, hereby acknowledge and agree that the security interest in the foregoing trademarks and trademark applications (i) may only be terminated in accordance with the terms of the Agreement and (ii) is not to be construed as an assignment of any trademark or trademark application.</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[OBLIGOR]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-144780</wp:posOffset>
            </wp:positionV>
            <wp:extent cx="161163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the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-144780</wp:posOffset>
            </wp:positionV>
            <wp:extent cx="16973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754380</wp:posOffset>
            </wp:positionV>
            <wp:extent cx="629221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27" w:name="page428"/>
    <w:bookmarkEnd w:id="427"/>
    <w:p>
      <w:pPr>
        <w:ind w:left="8900"/>
        <w:spacing w:after="0"/>
        <w:rPr>
          <w:sz w:val="20"/>
          <w:szCs w:val="20"/>
          <w:color w:val="auto"/>
        </w:rPr>
      </w:pPr>
      <w:r>
        <w:rPr>
          <w:rFonts w:ascii="Arial" w:cs="Arial" w:eastAsia="Arial" w:hAnsi="Arial"/>
          <w:sz w:val="18"/>
          <w:szCs w:val="18"/>
          <w:b w:val="1"/>
          <w:bCs w:val="1"/>
          <w:color w:val="auto"/>
        </w:rPr>
        <w:t>Exhibit 10.5</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14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Amendment No. 13 to the Design and Development Agreement (Step2)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Amendment No. 10 as of January 24, Amendment No.11 as of April 30, 2020, Amendment No.12 as of September 21, 2020, and Amendment No.13 as of October 28, 2020 between HAPSMobile and AV) (collectively, the “</w:t>
      </w:r>
      <w:r>
        <w:rPr>
          <w:rFonts w:ascii="Arial" w:cs="Arial" w:eastAsia="Arial" w:hAnsi="Arial"/>
          <w:sz w:val="19"/>
          <w:szCs w:val="19"/>
          <w:b w:val="1"/>
          <w:bCs w:val="1"/>
          <w:color w:val="auto"/>
        </w:rPr>
        <w:t>DDA</w:t>
      </w:r>
      <w:r>
        <w:rPr>
          <w:rFonts w:ascii="Arial" w:cs="Arial" w:eastAsia="Arial" w:hAnsi="Arial"/>
          <w:sz w:val="19"/>
          <w:szCs w:val="19"/>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Parties hereby agree to amend the total fees of Design and Development for Step 2 due to the phased strategic extension of the project term of performance and the change to the Statement of Work as set forth herein (the “</w:t>
      </w:r>
      <w:r>
        <w:rPr>
          <w:rFonts w:ascii="Arial" w:cs="Arial" w:eastAsia="Arial" w:hAnsi="Arial"/>
          <w:sz w:val="18"/>
          <w:szCs w:val="18"/>
          <w:b w:val="1"/>
          <w:bCs w:val="1"/>
          <w:color w:val="auto"/>
        </w:rPr>
        <w:t>Change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Therefore, to formalize and reflect the Change, the Parties hereby agree with the amendments to the DDA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Amendments</w:t>
      </w:r>
    </w:p>
    <w:p>
      <w:pPr>
        <w:spacing w:after="0" w:line="202"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 Attachment A (DELIVERABLES) to the DDA (as amended by the Amendments No.1, 2, 3, 4, 6, 7, 8, 11, 12 and 13)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 and replaced with the attached new attachment herein, Attachment A, entitled (DELIVELABLES).</w:t>
      </w:r>
    </w:p>
    <w:p>
      <w:pPr>
        <w:spacing w:after="0" w:line="15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 Attachment C-2, entitled “Statement of Work (SOW) for Phased Strategic Performance Extension” to the DDA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by the Amendments No.5, 7, 9, 11, 12 and 13) is hereby added to Attachment C and C-1.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Attachment E-1 (Flight Test Site Requirement Description) to the DDA (as amended by the Amendments No.7, 9 11 and</w:t>
      </w:r>
    </w:p>
    <w:p>
      <w:pPr>
        <w:spacing w:after="0" w:line="45" w:lineRule="exact"/>
        <w:rPr>
          <w:sz w:val="20"/>
          <w:szCs w:val="20"/>
          <w:color w:val="auto"/>
        </w:rPr>
      </w:pPr>
    </w:p>
    <w:p>
      <w:pPr>
        <w:ind w:firstLine="8"/>
        <w:spacing w:after="0" w:line="244" w:lineRule="auto"/>
        <w:tabs>
          <w:tab w:leader="none" w:pos="326" w:val="left"/>
        </w:tabs>
        <w:numPr>
          <w:ilvl w:val="0"/>
          <w:numId w:val="448"/>
        </w:numPr>
        <w:rPr>
          <w:rFonts w:ascii="Arial" w:cs="Arial" w:eastAsia="Arial" w:hAnsi="Arial"/>
          <w:sz w:val="20"/>
          <w:szCs w:val="20"/>
          <w:color w:val="auto"/>
        </w:rPr>
      </w:pPr>
      <w:r>
        <w:rPr>
          <w:rFonts w:ascii="Arial" w:cs="Arial" w:eastAsia="Arial" w:hAnsi="Arial"/>
          <w:sz w:val="20"/>
          <w:szCs w:val="20"/>
          <w:color w:val="auto"/>
        </w:rPr>
        <w:t>is hereby deleted in its entirety and replaced with the attached new attachment herein, Attachment E-1, entitled (Flight Test Site Requirement Description).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 Attachment F (INVOICE AND INCURRED COSTS DOCUMENTATION) to the DDA (as amended by the 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No.1, 5, 7, 9, 11, 12 and 13) is hereby deleted in its entirety and replaced with the attached new attachment herein, Attachment F, entitled (INVOICE AND INCURRED COSTS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428" w:name="page429"/>
    <w:bookmarkEnd w:id="428"/>
    <w:p>
      <w:pPr>
        <w:jc w:val="both"/>
        <w:spacing w:after="0" w:line="253"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 Attachment H (PROJECT MILESTONE) to the DDA (as amended by the Amendments No.2, 4, 5, 6, 7, 11, 12 and 13)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 and replaced with the attached new attachment herein, Attachment H, entitled (PROJECT MILESTONE).</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6</w:t>
      </w:r>
      <w:r>
        <w:rPr>
          <w:rFonts w:ascii="Arial" w:cs="Arial" w:eastAsia="Arial" w:hAnsi="Arial"/>
          <w:sz w:val="20"/>
          <w:szCs w:val="20"/>
          <w:color w:val="auto"/>
        </w:rPr>
        <w:t>. All other terms and conditions not specifically modified or amended herein remain in full force and effect as provided for</w:t>
      </w:r>
      <w:r>
        <w:rPr>
          <w:rFonts w:ascii="Arial" w:cs="Arial" w:eastAsia="Arial" w:hAnsi="Arial"/>
          <w:sz w:val="20"/>
          <w:szCs w:val="20"/>
          <w:b w:val="1"/>
          <w:bCs w:val="1"/>
          <w:color w:val="auto"/>
        </w:rPr>
        <w:t xml:space="preserve"> </w:t>
      </w:r>
      <w:r>
        <w:rPr>
          <w:rFonts w:ascii="Arial" w:cs="Arial" w:eastAsia="Arial" w:hAnsi="Arial"/>
          <w:sz w:val="20"/>
          <w:szCs w:val="20"/>
          <w:color w:val="auto"/>
        </w:rPr>
        <w:t>in the DDA and its Attachments, including Amendments 1 through 13. Capitalized terms, unless otherwise defined herein, shall have the meaning set forth in the DDA. This Amendment may only be modified or amended by a written document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29" w:name="page430"/>
    <w:bookmarkEnd w:id="429"/>
    <w:p>
      <w:pPr>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SIGNED for and on behalf of</w:t>
            </w:r>
          </w:p>
        </w:tc>
        <w:tc>
          <w:tcPr>
            <w:tcW w:w="1320" w:type="dxa"/>
            <w:vAlign w:val="bottom"/>
          </w:tcPr>
          <w:p>
            <w:pPr>
              <w:spacing w:after="0"/>
              <w:rPr>
                <w:sz w:val="21"/>
                <w:szCs w:val="21"/>
                <w:color w:val="auto"/>
              </w:rPr>
            </w:pPr>
          </w:p>
        </w:tc>
        <w:tc>
          <w:tcPr>
            <w:tcW w:w="4960" w:type="dxa"/>
            <w:vAlign w:val="bottom"/>
            <w:gridSpan w:val="2"/>
          </w:tcPr>
          <w:p>
            <w:pPr>
              <w:ind w:left="200"/>
              <w:spacing w:after="0"/>
              <w:rPr>
                <w:sz w:val="20"/>
                <w:szCs w:val="20"/>
                <w:color w:val="auto"/>
              </w:rPr>
            </w:pPr>
            <w:r>
              <w:rPr>
                <w:rFonts w:ascii="Arial" w:cs="Arial" w:eastAsia="Arial" w:hAnsi="Arial"/>
                <w:sz w:val="20"/>
                <w:szCs w:val="20"/>
                <w:color w:val="auto"/>
              </w:rPr>
              <w:t>SIGNED for and on behalf of</w:t>
            </w:r>
          </w:p>
        </w:tc>
        <w:tc>
          <w:tcPr>
            <w:tcW w:w="0" w:type="dxa"/>
            <w:vAlign w:val="bottom"/>
          </w:tcPr>
          <w:p>
            <w:pPr>
              <w:spacing w:after="0"/>
              <w:rPr>
                <w:sz w:val="1"/>
                <w:szCs w:val="1"/>
                <w:color w:val="auto"/>
              </w:rPr>
            </w:pPr>
          </w:p>
        </w:tc>
      </w:tr>
      <w:tr>
        <w:trPr>
          <w:trHeight w:val="270"/>
        </w:trPr>
        <w:tc>
          <w:tcPr>
            <w:tcW w:w="3640" w:type="dxa"/>
            <w:vAlign w:val="bottom"/>
            <w:gridSpan w:val="3"/>
          </w:tcPr>
          <w:p>
            <w:pPr>
              <w:spacing w:after="0"/>
              <w:rPr>
                <w:sz w:val="20"/>
                <w:szCs w:val="20"/>
                <w:color w:val="auto"/>
              </w:rPr>
            </w:pPr>
            <w:r>
              <w:rPr>
                <w:rFonts w:ascii="Arial" w:cs="Arial" w:eastAsia="Arial" w:hAnsi="Arial"/>
                <w:sz w:val="20"/>
                <w:szCs w:val="20"/>
                <w:color w:val="auto"/>
              </w:rPr>
              <w:t>HAPSMobile Inc.</w:t>
            </w:r>
          </w:p>
        </w:tc>
        <w:tc>
          <w:tcPr>
            <w:tcW w:w="1320" w:type="dxa"/>
            <w:vAlign w:val="bottom"/>
          </w:tcPr>
          <w:p>
            <w:pPr>
              <w:spacing w:after="0"/>
              <w:rPr>
                <w:sz w:val="23"/>
                <w:szCs w:val="23"/>
                <w:color w:val="auto"/>
              </w:rPr>
            </w:pPr>
          </w:p>
        </w:tc>
        <w:tc>
          <w:tcPr>
            <w:tcW w:w="4960" w:type="dxa"/>
            <w:vAlign w:val="bottom"/>
            <w:gridSpan w:val="2"/>
          </w:tcPr>
          <w:p>
            <w:pPr>
              <w:ind w:left="200"/>
              <w:spacing w:after="0"/>
              <w:rPr>
                <w:sz w:val="20"/>
                <w:szCs w:val="20"/>
                <w:color w:val="auto"/>
              </w:rPr>
            </w:pPr>
            <w:r>
              <w:rPr>
                <w:rFonts w:ascii="Arial" w:cs="Arial" w:eastAsia="Arial" w:hAnsi="Arial"/>
                <w:sz w:val="20"/>
                <w:szCs w:val="20"/>
                <w:color w:val="auto"/>
              </w:rPr>
              <w:t>AeroVironment, Inc.</w:t>
            </w:r>
          </w:p>
        </w:tc>
        <w:tc>
          <w:tcPr>
            <w:tcW w:w="0" w:type="dxa"/>
            <w:vAlign w:val="bottom"/>
          </w:tcPr>
          <w:p>
            <w:pPr>
              <w:spacing w:after="0"/>
              <w:rPr>
                <w:sz w:val="1"/>
                <w:szCs w:val="1"/>
                <w:color w:val="auto"/>
              </w:rPr>
            </w:pPr>
          </w:p>
        </w:tc>
      </w:tr>
      <w:tr>
        <w:trPr>
          <w:trHeight w:val="81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3140" w:type="dxa"/>
            <w:vAlign w:val="bottom"/>
            <w:gridSpan w:val="2"/>
          </w:tcPr>
          <w:p>
            <w:pPr>
              <w:ind w:left="80"/>
              <w:spacing w:after="0"/>
              <w:rPr>
                <w:sz w:val="20"/>
                <w:szCs w:val="20"/>
                <w:color w:val="auto"/>
              </w:rPr>
            </w:pPr>
            <w:r>
              <w:rPr>
                <w:rFonts w:ascii="Arial" w:cs="Arial" w:eastAsia="Arial" w:hAnsi="Arial"/>
                <w:sz w:val="20"/>
                <w:szCs w:val="20"/>
                <w:color w:val="auto"/>
              </w:rPr>
              <w:t>/s/Junichi Miyakawa</w:t>
            </w:r>
          </w:p>
        </w:tc>
        <w:tc>
          <w:tcPr>
            <w:tcW w:w="13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/s/ Trace Stevenson</w:t>
            </w:r>
          </w:p>
        </w:tc>
        <w:tc>
          <w:tcPr>
            <w:tcW w:w="0" w:type="dxa"/>
            <w:vAlign w:val="bottom"/>
          </w:tcPr>
          <w:p>
            <w:pPr>
              <w:spacing w:after="0"/>
              <w:rPr>
                <w:sz w:val="1"/>
                <w:szCs w:val="1"/>
                <w:color w:val="auto"/>
              </w:rPr>
            </w:pPr>
          </w:p>
        </w:tc>
      </w:tr>
      <w:tr>
        <w:trPr>
          <w:trHeight w:val="36"/>
        </w:trPr>
        <w:tc>
          <w:tcPr>
            <w:tcW w:w="580" w:type="dxa"/>
            <w:vAlign w:val="bottom"/>
            <w:gridSpan w:val="2"/>
            <w:vMerge w:val="restart"/>
          </w:tcPr>
          <w:p>
            <w:pPr>
              <w:spacing w:after="0"/>
              <w:rPr>
                <w:sz w:val="20"/>
                <w:szCs w:val="20"/>
                <w:color w:val="auto"/>
              </w:rPr>
            </w:pPr>
            <w:r>
              <w:rPr>
                <w:rFonts w:ascii="Arial" w:cs="Arial" w:eastAsia="Arial" w:hAnsi="Arial"/>
                <w:sz w:val="20"/>
                <w:szCs w:val="20"/>
                <w:color w:val="auto"/>
                <w:w w:val="94"/>
              </w:rPr>
              <w:t>Name:</w:t>
            </w:r>
          </w:p>
        </w:tc>
        <w:tc>
          <w:tcPr>
            <w:tcW w:w="3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20" w:type="dxa"/>
            <w:vAlign w:val="bottom"/>
            <w:vMerge w:val="restart"/>
          </w:tcPr>
          <w:p>
            <w:pPr>
              <w:ind w:left="200"/>
              <w:spacing w:after="0"/>
              <w:rPr>
                <w:sz w:val="20"/>
                <w:szCs w:val="20"/>
                <w:color w:val="auto"/>
              </w:rPr>
            </w:pPr>
            <w:r>
              <w:rPr>
                <w:rFonts w:ascii="Arial" w:cs="Arial" w:eastAsia="Arial" w:hAnsi="Arial"/>
                <w:sz w:val="20"/>
                <w:szCs w:val="20"/>
                <w:color w:val="auto"/>
              </w:rPr>
              <w:t>Name:</w:t>
            </w:r>
          </w:p>
        </w:tc>
        <w:tc>
          <w:tcPr>
            <w:tcW w:w="4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80" w:type="dxa"/>
            <w:vAlign w:val="bottom"/>
            <w:gridSpan w:val="2"/>
            <w:vMerge w:val="continue"/>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20"/>
                <w:szCs w:val="20"/>
                <w:color w:val="auto"/>
              </w:rPr>
              <w:t>Junichi Miyakawa</w:t>
            </w:r>
          </w:p>
        </w:tc>
        <w:tc>
          <w:tcPr>
            <w:tcW w:w="1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Trace Stevenson</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Arial" w:cs="Arial" w:eastAsia="Arial" w:hAnsi="Arial"/>
                <w:sz w:val="20"/>
                <w:szCs w:val="20"/>
                <w:color w:val="auto"/>
              </w:rPr>
              <w:t>Title:</w:t>
            </w:r>
          </w:p>
        </w:tc>
        <w:tc>
          <w:tcPr>
            <w:tcW w:w="3140" w:type="dxa"/>
            <w:vAlign w:val="bottom"/>
            <w:gridSpan w:val="2"/>
          </w:tcPr>
          <w:p>
            <w:pPr>
              <w:ind w:left="80"/>
              <w:spacing w:after="0"/>
              <w:rPr>
                <w:sz w:val="20"/>
                <w:szCs w:val="20"/>
                <w:color w:val="auto"/>
              </w:rPr>
            </w:pPr>
            <w:r>
              <w:rPr>
                <w:rFonts w:ascii="Arial" w:cs="Arial" w:eastAsia="Arial" w:hAnsi="Arial"/>
                <w:sz w:val="20"/>
                <w:szCs w:val="20"/>
                <w:color w:val="auto"/>
              </w:rPr>
              <w:t>President &amp; CEO</w:t>
            </w:r>
          </w:p>
        </w:tc>
        <w:tc>
          <w:tcPr>
            <w:tcW w:w="132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20"/>
                <w:szCs w:val="20"/>
                <w:color w:val="auto"/>
              </w:rPr>
              <w:t>Title:</w:t>
            </w:r>
          </w:p>
        </w:tc>
        <w:tc>
          <w:tcPr>
            <w:tcW w:w="4140" w:type="dxa"/>
            <w:vAlign w:val="bottom"/>
          </w:tcPr>
          <w:p>
            <w:pPr>
              <w:spacing w:after="0"/>
              <w:rPr>
                <w:sz w:val="20"/>
                <w:szCs w:val="20"/>
                <w:color w:val="auto"/>
              </w:rPr>
            </w:pPr>
            <w:r>
              <w:rPr>
                <w:rFonts w:ascii="Arial" w:cs="Arial" w:eastAsia="Arial" w:hAnsi="Arial"/>
                <w:sz w:val="20"/>
                <w:szCs w:val="20"/>
                <w:color w:val="auto"/>
                <w:w w:val="91"/>
              </w:rPr>
              <w:t>Vice President Emerging Business and Deputy GM</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20"/>
                <w:szCs w:val="20"/>
                <w:color w:val="auto"/>
              </w:rPr>
              <w:t>Date:</w:t>
            </w:r>
          </w:p>
        </w:tc>
        <w:tc>
          <w:tcPr>
            <w:tcW w:w="3140" w:type="dxa"/>
            <w:vAlign w:val="bottom"/>
            <w:gridSpan w:val="2"/>
          </w:tcPr>
          <w:p>
            <w:pPr>
              <w:ind w:left="80"/>
              <w:spacing w:after="0"/>
              <w:rPr>
                <w:sz w:val="20"/>
                <w:szCs w:val="20"/>
                <w:color w:val="auto"/>
              </w:rPr>
            </w:pPr>
            <w:r>
              <w:rPr>
                <w:rFonts w:ascii="Arial" w:cs="Arial" w:eastAsia="Arial" w:hAnsi="Arial"/>
                <w:sz w:val="20"/>
                <w:szCs w:val="20"/>
                <w:color w:val="auto"/>
              </w:rPr>
              <w:t>2021-01-07</w:t>
            </w:r>
          </w:p>
        </w:tc>
        <w:tc>
          <w:tcPr>
            <w:tcW w:w="13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20"/>
                <w:szCs w:val="20"/>
                <w:color w:val="auto"/>
              </w:rPr>
              <w:t>Date:</w:t>
            </w:r>
          </w:p>
        </w:tc>
        <w:tc>
          <w:tcPr>
            <w:tcW w:w="4140" w:type="dxa"/>
            <w:vAlign w:val="bottom"/>
          </w:tcPr>
          <w:p>
            <w:pPr>
              <w:spacing w:after="0"/>
              <w:rPr>
                <w:sz w:val="20"/>
                <w:szCs w:val="20"/>
                <w:color w:val="auto"/>
              </w:rPr>
            </w:pPr>
            <w:r>
              <w:rPr>
                <w:rFonts w:ascii="Arial" w:cs="Arial" w:eastAsia="Arial" w:hAnsi="Arial"/>
                <w:sz w:val="20"/>
                <w:szCs w:val="20"/>
                <w:color w:val="auto"/>
              </w:rPr>
              <w:t>2021-01-11</w:t>
            </w:r>
          </w:p>
        </w:tc>
        <w:tc>
          <w:tcPr>
            <w:tcW w:w="0" w:type="dxa"/>
            <w:vAlign w:val="bottom"/>
          </w:tcPr>
          <w:p>
            <w:pPr>
              <w:spacing w:after="0"/>
              <w:rPr>
                <w:sz w:val="1"/>
                <w:szCs w:val="1"/>
                <w:color w:val="auto"/>
              </w:rPr>
            </w:pPr>
          </w:p>
        </w:tc>
      </w:tr>
      <w:tr>
        <w:trPr>
          <w:trHeight w:val="91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40" w:type="dxa"/>
            <w:vAlign w:val="bottom"/>
            <w:gridSpan w:val="2"/>
          </w:tcPr>
          <w:p>
            <w:pPr>
              <w:jc w:val="right"/>
              <w:ind w:right="661"/>
              <w:spacing w:after="0"/>
              <w:rPr>
                <w:sz w:val="20"/>
                <w:szCs w:val="20"/>
                <w:color w:val="auto"/>
              </w:rPr>
            </w:pPr>
            <w:r>
              <w:rPr>
                <w:rFonts w:ascii="Arial" w:cs="Arial" w:eastAsia="Arial" w:hAnsi="Arial"/>
                <w:sz w:val="20"/>
                <w:szCs w:val="20"/>
                <w:color w:val="auto"/>
              </w:rPr>
              <w:t>3</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30" w:name="page431"/>
    <w:bookmarkEnd w:id="430"/>
    <w:p>
      <w:pPr>
        <w:jc w:val="center"/>
        <w:spacing w:after="0"/>
        <w:rPr>
          <w:sz w:val="20"/>
          <w:szCs w:val="20"/>
          <w:color w:val="auto"/>
        </w:rPr>
      </w:pPr>
      <w:r>
        <w:rPr>
          <w:rFonts w:ascii="Arial" w:cs="Arial" w:eastAsia="Arial" w:hAnsi="Arial"/>
          <w:sz w:val="20"/>
          <w:szCs w:val="20"/>
          <w:b w:val="1"/>
          <w:bCs w:val="1"/>
          <w:color w:val="auto"/>
        </w:rPr>
        <w:t>ATTACHMENT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Attachment A is revised in its entirety by the Amendment No. 14 to the DDA)</w:t>
      </w:r>
    </w:p>
    <w:p>
      <w:pPr>
        <w:spacing w:after="0" w:line="202" w:lineRule="exact"/>
        <w:rPr>
          <w:sz w:val="20"/>
          <w:szCs w:val="20"/>
          <w:color w:val="auto"/>
        </w:rPr>
      </w:pPr>
    </w:p>
    <w:p>
      <w:pPr>
        <w:ind w:left="200" w:hanging="192"/>
        <w:spacing w:after="0"/>
        <w:tabs>
          <w:tab w:leader="none" w:pos="200" w:val="left"/>
        </w:tabs>
        <w:numPr>
          <w:ilvl w:val="0"/>
          <w:numId w:val="449"/>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20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560" w:type="dxa"/>
            <w:vAlign w:val="bottom"/>
            <w:tcBorders>
              <w:top w:val="single" w:sz="8" w:color="999999"/>
              <w:left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8"/>
              </w:rPr>
              <w:t>Deliverables</w:t>
            </w:r>
          </w:p>
        </w:tc>
        <w:tc>
          <w:tcPr>
            <w:tcW w:w="3040" w:type="dxa"/>
            <w:vAlign w:val="bottom"/>
            <w:tcBorders>
              <w:top w:val="single" w:sz="8" w:color="999999"/>
              <w:right w:val="single" w:sz="8" w:color="999999"/>
            </w:tcBorders>
          </w:tcPr>
          <w:p>
            <w:pPr>
              <w:ind w:left="500"/>
              <w:spacing w:after="0"/>
              <w:rPr>
                <w:sz w:val="20"/>
                <w:szCs w:val="20"/>
                <w:color w:val="auto"/>
              </w:rPr>
            </w:pPr>
            <w:r>
              <w:rPr>
                <w:rFonts w:ascii="Arial" w:cs="Arial" w:eastAsia="Arial" w:hAnsi="Arial"/>
                <w:sz w:val="20"/>
                <w:szCs w:val="20"/>
                <w:b w:val="1"/>
                <w:bCs w:val="1"/>
                <w:color w:val="auto"/>
              </w:rPr>
              <w:t>Deliverable Description</w:t>
            </w:r>
          </w:p>
        </w:tc>
        <w:tc>
          <w:tcPr>
            <w:tcW w:w="140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144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1"/>
              </w:rPr>
              <w:t>Milestone</w:t>
            </w:r>
          </w:p>
        </w:tc>
        <w:tc>
          <w:tcPr>
            <w:tcW w:w="148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9"/>
              </w:rPr>
              <w:t>Estimated</w:t>
            </w:r>
          </w:p>
        </w:tc>
      </w:tr>
      <w:tr>
        <w:trPr>
          <w:trHeight w:val="243"/>
        </w:trPr>
        <w:tc>
          <w:tcPr>
            <w:tcW w:w="2560" w:type="dxa"/>
            <w:vAlign w:val="bottom"/>
            <w:tcBorders>
              <w:left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1"/>
              </w:rPr>
              <w:t>Name</w:t>
            </w:r>
          </w:p>
        </w:tc>
        <w:tc>
          <w:tcPr>
            <w:tcW w:w="3040" w:type="dxa"/>
            <w:vAlign w:val="bottom"/>
            <w:tcBorders>
              <w:right w:val="single" w:sz="8" w:color="999999"/>
            </w:tcBorders>
          </w:tcPr>
          <w:p>
            <w:pPr>
              <w:spacing w:after="0"/>
              <w:rPr>
                <w:sz w:val="21"/>
                <w:szCs w:val="21"/>
                <w:color w:val="auto"/>
              </w:rPr>
            </w:pPr>
          </w:p>
        </w:tc>
        <w:tc>
          <w:tcPr>
            <w:tcW w:w="140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44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4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560" w:type="dxa"/>
            <w:vAlign w:val="bottom"/>
            <w:tcBorders>
              <w:left w:val="single" w:sz="8" w:color="999999"/>
              <w:bottom w:val="single" w:sz="8" w:color="999999"/>
              <w:right w:val="single" w:sz="8" w:color="999999"/>
            </w:tcBorders>
          </w:tcPr>
          <w:p>
            <w:pPr>
              <w:spacing w:after="0"/>
              <w:rPr>
                <w:sz w:val="21"/>
                <w:szCs w:val="21"/>
                <w:color w:val="auto"/>
              </w:rPr>
            </w:pPr>
          </w:p>
        </w:tc>
        <w:tc>
          <w:tcPr>
            <w:tcW w:w="304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440" w:type="dxa"/>
            <w:vAlign w:val="bottom"/>
            <w:tcBorders>
              <w:bottom w:val="single" w:sz="8" w:color="999999"/>
              <w:right w:val="single" w:sz="8" w:color="999999"/>
            </w:tcBorders>
          </w:tcPr>
          <w:p>
            <w:pPr>
              <w:spacing w:after="0"/>
              <w:rPr>
                <w:sz w:val="21"/>
                <w:szCs w:val="21"/>
                <w:color w:val="auto"/>
              </w:rPr>
            </w:pPr>
          </w:p>
        </w:tc>
        <w:tc>
          <w:tcPr>
            <w:tcW w:w="14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36"/>
        </w:trPr>
        <w:tc>
          <w:tcPr>
            <w:tcW w:w="256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Hawk30 Prototype [***]</w:t>
            </w:r>
          </w:p>
        </w:tc>
        <w:tc>
          <w:tcPr>
            <w:tcW w:w="304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Stratospheric solar aircraft [***]</w:t>
            </w:r>
          </w:p>
        </w:tc>
        <w:tc>
          <w:tcPr>
            <w:tcW w:w="14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w w:val="88"/>
              </w:rPr>
              <w:t>2.3.2.3</w:t>
            </w:r>
          </w:p>
        </w:tc>
        <w:tc>
          <w:tcPr>
            <w:tcW w:w="144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256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Hawk30 Prototype [***]</w:t>
            </w:r>
          </w:p>
        </w:tc>
        <w:tc>
          <w:tcPr>
            <w:tcW w:w="304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Stratospheric solar aircraft [***]</w:t>
            </w:r>
          </w:p>
        </w:tc>
        <w:tc>
          <w:tcPr>
            <w:tcW w:w="14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w w:val="88"/>
              </w:rPr>
              <w:t>2.3.2.6</w:t>
            </w:r>
          </w:p>
        </w:tc>
        <w:tc>
          <w:tcPr>
            <w:tcW w:w="144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*3.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current physical solar array implementation plan is as follows: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Hawk30 Prototype [***] will have [***].</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Hawk30 Prototype [***] will have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155575</wp:posOffset>
            </wp:positionV>
            <wp:extent cx="4972050" cy="24174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49720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Ground Control System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right="3400" w:firstLine="8"/>
        <w:spacing w:after="0" w:line="244" w:lineRule="auto"/>
        <w:tabs>
          <w:tab w:leader="none" w:pos="478" w:val="left"/>
        </w:tabs>
        <w:numPr>
          <w:ilvl w:val="0"/>
          <w:numId w:val="45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31" w:name="page432"/>
    <w:bookmarkEnd w:id="431"/>
    <w:tbl>
      <w:tblPr>
        <w:tblLayout w:type="fixed"/>
        <w:tblInd w:w="10" w:type="dxa"/>
        <w:tblCellMar>
          <w:top w:w="0" w:type="dxa"/>
          <w:left w:w="0" w:type="dxa"/>
          <w:bottom w:w="0" w:type="dxa"/>
          <w:right w:w="0" w:type="dxa"/>
        </w:tblCellMar>
      </w:tblPr>
      <w:tr>
        <w:trPr>
          <w:trHeight w:val="220"/>
        </w:trPr>
        <w:tc>
          <w:tcPr>
            <w:tcW w:w="2680" w:type="dxa"/>
            <w:vAlign w:val="bottom"/>
            <w:tcBorders>
              <w:top w:val="single" w:sz="8" w:color="999999"/>
              <w:left w:val="single" w:sz="8" w:color="999999"/>
              <w:right w:val="single" w:sz="8" w:color="999999"/>
            </w:tcBorders>
          </w:tcPr>
          <w:p>
            <w:pPr>
              <w:ind w:left="540"/>
              <w:spacing w:after="0" w:line="220" w:lineRule="exact"/>
              <w:rPr>
                <w:sz w:val="20"/>
                <w:szCs w:val="20"/>
                <w:color w:val="auto"/>
              </w:rPr>
            </w:pPr>
            <w:r>
              <w:rPr>
                <w:rFonts w:ascii="Arial" w:cs="Arial" w:eastAsia="Arial" w:hAnsi="Arial"/>
                <w:sz w:val="20"/>
                <w:szCs w:val="20"/>
                <w:b w:val="1"/>
                <w:bCs w:val="1"/>
                <w:color w:val="auto"/>
              </w:rPr>
              <w:t>Deliverables Name</w:t>
            </w:r>
          </w:p>
        </w:tc>
        <w:tc>
          <w:tcPr>
            <w:tcW w:w="3280" w:type="dxa"/>
            <w:vAlign w:val="bottom"/>
            <w:tcBorders>
              <w:top w:val="single" w:sz="8" w:color="999999"/>
              <w:right w:val="single" w:sz="8" w:color="999999"/>
            </w:tcBorders>
          </w:tcPr>
          <w:p>
            <w:pPr>
              <w:ind w:left="64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0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130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5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7"/>
              </w:rPr>
              <w:t>Estimated</w:t>
            </w:r>
          </w:p>
        </w:tc>
      </w:tr>
      <w:tr>
        <w:trPr>
          <w:trHeight w:val="230"/>
        </w:trPr>
        <w:tc>
          <w:tcPr>
            <w:tcW w:w="2680" w:type="dxa"/>
            <w:vAlign w:val="bottom"/>
            <w:tcBorders>
              <w:left w:val="single" w:sz="8" w:color="999999"/>
              <w:right w:val="single" w:sz="8" w:color="999999"/>
            </w:tcBorders>
          </w:tcPr>
          <w:p>
            <w:pPr>
              <w:spacing w:after="0"/>
              <w:rPr>
                <w:sz w:val="19"/>
                <w:szCs w:val="19"/>
                <w:color w:val="auto"/>
              </w:rPr>
            </w:pPr>
          </w:p>
        </w:tc>
        <w:tc>
          <w:tcPr>
            <w:tcW w:w="3280" w:type="dxa"/>
            <w:vAlign w:val="bottom"/>
            <w:tcBorders>
              <w:right w:val="single" w:sz="8" w:color="999999"/>
            </w:tcBorders>
          </w:tcPr>
          <w:p>
            <w:pPr>
              <w:spacing w:after="0"/>
              <w:rPr>
                <w:sz w:val="19"/>
                <w:szCs w:val="19"/>
                <w:color w:val="auto"/>
              </w:rPr>
            </w:pPr>
          </w:p>
        </w:tc>
        <w:tc>
          <w:tcPr>
            <w:tcW w:w="10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30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5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680" w:type="dxa"/>
            <w:vAlign w:val="bottom"/>
            <w:tcBorders>
              <w:left w:val="single" w:sz="8" w:color="999999"/>
              <w:bottom w:val="single" w:sz="8" w:color="999999"/>
              <w:right w:val="single" w:sz="8" w:color="999999"/>
            </w:tcBorders>
          </w:tcPr>
          <w:p>
            <w:pPr>
              <w:spacing w:after="0"/>
              <w:rPr>
                <w:sz w:val="21"/>
                <w:szCs w:val="21"/>
                <w:color w:val="auto"/>
              </w:rPr>
            </w:pPr>
          </w:p>
        </w:tc>
        <w:tc>
          <w:tcPr>
            <w:tcW w:w="328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68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Ground Control Stations and</w:t>
            </w:r>
          </w:p>
        </w:tc>
        <w:tc>
          <w:tcPr>
            <w:tcW w:w="328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w w:val="98"/>
              </w:rPr>
              <w:t>Ground  Control  Station  [***]  of  the</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5"/>
              </w:rPr>
              <w:t>2.2.6</w:t>
            </w:r>
          </w:p>
        </w:tc>
        <w:tc>
          <w:tcPr>
            <w:tcW w:w="13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5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Misc. Equipment</w:t>
            </w:r>
          </w:p>
        </w:tc>
        <w:tc>
          <w:tcPr>
            <w:tcW w:w="328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Hawk30 Prototype [***]</w:t>
            </w: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Hawk30 Prototype Operating</w:t>
            </w:r>
          </w:p>
        </w:tc>
        <w:tc>
          <w:tcPr>
            <w:tcW w:w="328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rPr>
              <w:t>Technical Data Package</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1.2.4.1</w:t>
            </w:r>
          </w:p>
        </w:tc>
        <w:tc>
          <w:tcPr>
            <w:tcW w:w="13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5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Manuals</w:t>
            </w:r>
          </w:p>
        </w:tc>
        <w:tc>
          <w:tcPr>
            <w:tcW w:w="328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Hawk30 Prototype Training</w:t>
            </w:r>
          </w:p>
        </w:tc>
        <w:tc>
          <w:tcPr>
            <w:tcW w:w="328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rPr>
              <w:t>Technical Data Package</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1.2.4.2</w:t>
            </w:r>
          </w:p>
        </w:tc>
        <w:tc>
          <w:tcPr>
            <w:tcW w:w="13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5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Manuals</w:t>
            </w:r>
          </w:p>
        </w:tc>
        <w:tc>
          <w:tcPr>
            <w:tcW w:w="328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spacing w:after="0"/>
              <w:rPr>
                <w:sz w:val="21"/>
                <w:szCs w:val="21"/>
                <w:color w:val="auto"/>
              </w:rPr>
            </w:pPr>
          </w:p>
        </w:tc>
      </w:tr>
      <w:tr>
        <w:trPr>
          <w:trHeight w:val="443"/>
        </w:trPr>
        <w:tc>
          <w:tcPr>
            <w:tcW w:w="2680" w:type="dxa"/>
            <w:vAlign w:val="bottom"/>
          </w:tcPr>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2680" w:type="dxa"/>
            <w:vAlign w:val="bottom"/>
          </w:tcPr>
          <w:p>
            <w:pPr>
              <w:spacing w:after="0"/>
              <w:rPr>
                <w:sz w:val="20"/>
                <w:szCs w:val="20"/>
                <w:color w:val="auto"/>
              </w:rPr>
            </w:pPr>
            <w:r>
              <w:rPr>
                <w:rFonts w:ascii="Arial" w:cs="Arial" w:eastAsia="Arial" w:hAnsi="Arial"/>
                <w:sz w:val="20"/>
                <w:szCs w:val="20"/>
                <w:b w:val="1"/>
                <w:bCs w:val="1"/>
                <w:color w:val="auto"/>
              </w:rPr>
              <w:t>1.3 Motor Development</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660" w:type="dxa"/>
            <w:vAlign w:val="bottom"/>
            <w:tcBorders>
              <w:top w:val="single" w:sz="8" w:color="999999"/>
              <w:left w:val="single" w:sz="8" w:color="999999"/>
              <w:right w:val="single" w:sz="8" w:color="999999"/>
            </w:tcBorders>
          </w:tcPr>
          <w:p>
            <w:pPr>
              <w:ind w:left="540"/>
              <w:spacing w:after="0" w:line="220" w:lineRule="exact"/>
              <w:rPr>
                <w:sz w:val="20"/>
                <w:szCs w:val="20"/>
                <w:color w:val="auto"/>
              </w:rPr>
            </w:pPr>
            <w:r>
              <w:rPr>
                <w:rFonts w:ascii="Arial" w:cs="Arial" w:eastAsia="Arial" w:hAnsi="Arial"/>
                <w:sz w:val="20"/>
                <w:szCs w:val="20"/>
                <w:b w:val="1"/>
                <w:bCs w:val="1"/>
                <w:color w:val="auto"/>
              </w:rPr>
              <w:t>Deliverables Name</w:t>
            </w:r>
          </w:p>
        </w:tc>
        <w:tc>
          <w:tcPr>
            <w:tcW w:w="3300" w:type="dxa"/>
            <w:vAlign w:val="bottom"/>
            <w:tcBorders>
              <w:top w:val="single" w:sz="8" w:color="999999"/>
              <w:right w:val="single" w:sz="8" w:color="999999"/>
            </w:tcBorders>
          </w:tcPr>
          <w:p>
            <w:pPr>
              <w:ind w:left="64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0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130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5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7"/>
              </w:rPr>
              <w:t>Estimated</w:t>
            </w:r>
          </w:p>
        </w:tc>
      </w:tr>
      <w:tr>
        <w:trPr>
          <w:trHeight w:val="230"/>
        </w:trPr>
        <w:tc>
          <w:tcPr>
            <w:tcW w:w="2660" w:type="dxa"/>
            <w:vAlign w:val="bottom"/>
            <w:tcBorders>
              <w:left w:val="single" w:sz="8" w:color="999999"/>
              <w:right w:val="single" w:sz="8" w:color="999999"/>
            </w:tcBorders>
          </w:tcPr>
          <w:p>
            <w:pPr>
              <w:spacing w:after="0"/>
              <w:rPr>
                <w:sz w:val="19"/>
                <w:szCs w:val="19"/>
                <w:color w:val="auto"/>
              </w:rPr>
            </w:pPr>
          </w:p>
        </w:tc>
        <w:tc>
          <w:tcPr>
            <w:tcW w:w="3300" w:type="dxa"/>
            <w:vAlign w:val="bottom"/>
            <w:tcBorders>
              <w:right w:val="single" w:sz="8" w:color="999999"/>
            </w:tcBorders>
          </w:tcPr>
          <w:p>
            <w:pPr>
              <w:spacing w:after="0"/>
              <w:rPr>
                <w:sz w:val="19"/>
                <w:szCs w:val="19"/>
                <w:color w:val="auto"/>
              </w:rPr>
            </w:pPr>
          </w:p>
        </w:tc>
        <w:tc>
          <w:tcPr>
            <w:tcW w:w="10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30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5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660" w:type="dxa"/>
            <w:vAlign w:val="bottom"/>
            <w:tcBorders>
              <w:left w:val="single" w:sz="8" w:color="999999"/>
              <w:bottom w:val="single" w:sz="8" w:color="999999"/>
              <w:right w:val="single" w:sz="8" w:color="999999"/>
            </w:tcBorders>
          </w:tcPr>
          <w:p>
            <w:pPr>
              <w:spacing w:after="0"/>
              <w:rPr>
                <w:sz w:val="21"/>
                <w:szCs w:val="21"/>
                <w:color w:val="auto"/>
              </w:rPr>
            </w:pPr>
          </w:p>
        </w:tc>
        <w:tc>
          <w:tcPr>
            <w:tcW w:w="330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44"/>
        </w:trPr>
        <w:tc>
          <w:tcPr>
            <w:tcW w:w="2660" w:type="dxa"/>
            <w:vAlign w:val="bottom"/>
            <w:tcBorders>
              <w:left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w:t>
            </w:r>
          </w:p>
        </w:tc>
        <w:tc>
          <w:tcPr>
            <w:tcW w:w="3300" w:type="dxa"/>
            <w:vAlign w:val="bottom"/>
            <w:tcBorders>
              <w:right w:val="single" w:sz="8" w:color="999999"/>
            </w:tcBorders>
          </w:tcPr>
          <w:p>
            <w:pPr>
              <w:spacing w:after="0"/>
              <w:rPr>
                <w:sz w:val="20"/>
                <w:szCs w:val="20"/>
                <w:color w:val="auto"/>
              </w:rPr>
            </w:pPr>
            <w:r>
              <w:rPr>
                <w:rFonts w:ascii="Arial" w:cs="Arial" w:eastAsia="Arial" w:hAnsi="Arial"/>
                <w:sz w:val="20"/>
                <w:szCs w:val="20"/>
                <w:color w:val="auto"/>
              </w:rPr>
              <w:t>[***] Project Data Memo</w:t>
            </w:r>
          </w:p>
        </w:tc>
        <w:tc>
          <w:tcPr>
            <w:tcW w:w="1080" w:type="dxa"/>
            <w:vAlign w:val="bottom"/>
            <w:tcBorders>
              <w:right w:val="single" w:sz="8" w:color="999999"/>
            </w:tcBorders>
          </w:tcPr>
          <w:p>
            <w:pPr>
              <w:jc w:val="center"/>
              <w:spacing w:after="0"/>
              <w:rPr>
                <w:sz w:val="20"/>
                <w:szCs w:val="20"/>
                <w:color w:val="auto"/>
              </w:rPr>
            </w:pPr>
            <w:r>
              <w:rPr>
                <w:rFonts w:ascii="Arial" w:cs="Arial" w:eastAsia="Arial" w:hAnsi="Arial"/>
                <w:sz w:val="20"/>
                <w:szCs w:val="20"/>
                <w:color w:val="auto"/>
                <w:w w:val="85"/>
              </w:rPr>
              <w:t>2.2.1</w:t>
            </w:r>
          </w:p>
        </w:tc>
        <w:tc>
          <w:tcPr>
            <w:tcW w:w="1300" w:type="dxa"/>
            <w:vAlign w:val="bottom"/>
            <w:tcBorders>
              <w:right w:val="single" w:sz="8" w:color="999999"/>
            </w:tcBorders>
          </w:tcPr>
          <w:p>
            <w:pPr>
              <w:jc w:val="center"/>
              <w:spacing w:after="0"/>
              <w:rPr>
                <w:sz w:val="20"/>
                <w:szCs w:val="20"/>
                <w:color w:val="auto"/>
              </w:rPr>
            </w:pPr>
            <w:r>
              <w:rPr>
                <w:rFonts w:ascii="Arial" w:cs="Arial" w:eastAsia="Arial" w:hAnsi="Arial"/>
                <w:sz w:val="20"/>
                <w:szCs w:val="20"/>
                <w:color w:val="auto"/>
              </w:rPr>
              <w:t>[***]</w:t>
            </w:r>
          </w:p>
        </w:tc>
        <w:tc>
          <w:tcPr>
            <w:tcW w:w="1580" w:type="dxa"/>
            <w:vAlign w:val="bottom"/>
            <w:tcBorders>
              <w:right w:val="single" w:sz="8" w:color="999999"/>
            </w:tcBorders>
          </w:tcPr>
          <w:p>
            <w:pPr>
              <w:jc w:val="center"/>
              <w:spacing w:after="0"/>
              <w:rPr>
                <w:sz w:val="20"/>
                <w:szCs w:val="20"/>
                <w:color w:val="auto"/>
              </w:rPr>
            </w:pPr>
            <w:r>
              <w:rPr>
                <w:rFonts w:ascii="Arial" w:cs="Arial" w:eastAsia="Arial" w:hAnsi="Arial"/>
                <w:sz w:val="20"/>
                <w:szCs w:val="20"/>
                <w:color w:val="auto"/>
              </w:rPr>
              <w:t>[***]</w:t>
            </w:r>
          </w:p>
        </w:tc>
      </w:tr>
      <w:tr>
        <w:trPr>
          <w:trHeight w:val="114"/>
        </w:trPr>
        <w:tc>
          <w:tcPr>
            <w:tcW w:w="2660" w:type="dxa"/>
            <w:vAlign w:val="bottom"/>
            <w:tcBorders>
              <w:left w:val="single" w:sz="8" w:color="999999"/>
              <w:bottom w:val="single" w:sz="8" w:color="999999"/>
              <w:right w:val="single" w:sz="8" w:color="999999"/>
            </w:tcBorders>
          </w:tcPr>
          <w:p>
            <w:pPr>
              <w:spacing w:after="0"/>
              <w:rPr>
                <w:sz w:val="9"/>
                <w:szCs w:val="9"/>
                <w:color w:val="auto"/>
              </w:rPr>
            </w:pPr>
          </w:p>
        </w:tc>
        <w:tc>
          <w:tcPr>
            <w:tcW w:w="3300" w:type="dxa"/>
            <w:vAlign w:val="bottom"/>
            <w:tcBorders>
              <w:bottom w:val="single" w:sz="8" w:color="999999"/>
              <w:right w:val="single" w:sz="8" w:color="999999"/>
            </w:tcBorders>
          </w:tcPr>
          <w:p>
            <w:pPr>
              <w:spacing w:after="0"/>
              <w:rPr>
                <w:sz w:val="9"/>
                <w:szCs w:val="9"/>
                <w:color w:val="auto"/>
              </w:rPr>
            </w:pPr>
          </w:p>
        </w:tc>
        <w:tc>
          <w:tcPr>
            <w:tcW w:w="1080" w:type="dxa"/>
            <w:vAlign w:val="bottom"/>
            <w:tcBorders>
              <w:bottom w:val="single" w:sz="8" w:color="999999"/>
              <w:right w:val="single" w:sz="8" w:color="999999"/>
            </w:tcBorders>
          </w:tcPr>
          <w:p>
            <w:pPr>
              <w:spacing w:after="0"/>
              <w:rPr>
                <w:sz w:val="9"/>
                <w:szCs w:val="9"/>
                <w:color w:val="auto"/>
              </w:rPr>
            </w:pPr>
          </w:p>
        </w:tc>
        <w:tc>
          <w:tcPr>
            <w:tcW w:w="1300" w:type="dxa"/>
            <w:vAlign w:val="bottom"/>
            <w:tcBorders>
              <w:bottom w:val="single" w:sz="8" w:color="999999"/>
              <w:right w:val="single" w:sz="8" w:color="999999"/>
            </w:tcBorders>
          </w:tcPr>
          <w:p>
            <w:pPr>
              <w:spacing w:after="0"/>
              <w:rPr>
                <w:sz w:val="9"/>
                <w:szCs w:val="9"/>
                <w:color w:val="auto"/>
              </w:rPr>
            </w:pPr>
          </w:p>
        </w:tc>
        <w:tc>
          <w:tcPr>
            <w:tcW w:w="1580" w:type="dxa"/>
            <w:vAlign w:val="bottom"/>
            <w:tcBorders>
              <w:bottom w:val="single" w:sz="8" w:color="999999"/>
              <w:right w:val="single" w:sz="8" w:color="999999"/>
            </w:tcBorders>
          </w:tcPr>
          <w:p>
            <w:pPr>
              <w:spacing w:after="0"/>
              <w:rPr>
                <w:sz w:val="9"/>
                <w:szCs w:val="9"/>
                <w:color w:val="auto"/>
              </w:rPr>
            </w:pPr>
          </w:p>
        </w:tc>
      </w:tr>
      <w:tr>
        <w:trPr>
          <w:trHeight w:val="223"/>
        </w:trPr>
        <w:tc>
          <w:tcPr>
            <w:tcW w:w="2660" w:type="dxa"/>
            <w:vAlign w:val="bottom"/>
            <w:tcBorders>
              <w:left w:val="single" w:sz="8" w:color="999999"/>
              <w:bottom w:val="single" w:sz="8" w:color="999999"/>
              <w:right w:val="single" w:sz="8" w:color="999999"/>
            </w:tcBorders>
          </w:tcPr>
          <w:p>
            <w:pPr>
              <w:ind w:left="20"/>
              <w:spacing w:after="0" w:line="223" w:lineRule="exact"/>
              <w:rPr>
                <w:sz w:val="20"/>
                <w:szCs w:val="20"/>
                <w:color w:val="auto"/>
              </w:rPr>
            </w:pPr>
            <w:r>
              <w:rPr>
                <w:rFonts w:ascii="Arial" w:cs="Arial" w:eastAsia="Arial" w:hAnsi="Arial"/>
                <w:sz w:val="20"/>
                <w:szCs w:val="20"/>
                <w:color w:val="auto"/>
              </w:rPr>
              <w:t>[***]</w:t>
            </w:r>
          </w:p>
        </w:tc>
        <w:tc>
          <w:tcPr>
            <w:tcW w:w="3300" w:type="dxa"/>
            <w:vAlign w:val="bottom"/>
            <w:tcBorders>
              <w:bottom w:val="single" w:sz="8" w:color="999999"/>
              <w:right w:val="single" w:sz="8" w:color="999999"/>
            </w:tcBorders>
          </w:tcPr>
          <w:p>
            <w:pPr>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w w:val="85"/>
              </w:rPr>
              <w:t>2.2.1</w:t>
            </w:r>
          </w:p>
        </w:tc>
        <w:tc>
          <w:tcPr>
            <w:tcW w:w="130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06"/>
        </w:trPr>
        <w:tc>
          <w:tcPr>
            <w:tcW w:w="266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w:t>
            </w:r>
          </w:p>
        </w:tc>
        <w:tc>
          <w:tcPr>
            <w:tcW w:w="330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rPr>
              <w:t>Technical data package of In-house</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5"/>
              </w:rPr>
              <w:t>2.2.1</w:t>
            </w:r>
          </w:p>
        </w:tc>
        <w:tc>
          <w:tcPr>
            <w:tcW w:w="13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5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60" w:type="dxa"/>
            <w:vAlign w:val="bottom"/>
            <w:tcBorders>
              <w:left w:val="single" w:sz="8" w:color="999999"/>
              <w:bottom w:val="single" w:sz="8" w:color="999999"/>
              <w:right w:val="single" w:sz="8" w:color="999999"/>
            </w:tcBorders>
          </w:tcPr>
          <w:p>
            <w:pPr>
              <w:spacing w:after="0"/>
              <w:rPr>
                <w:sz w:val="21"/>
                <w:szCs w:val="21"/>
                <w:color w:val="auto"/>
              </w:rPr>
            </w:pPr>
          </w:p>
        </w:tc>
        <w:tc>
          <w:tcPr>
            <w:tcW w:w="330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Motor First Article ([***])</w:t>
            </w:r>
          </w:p>
        </w:tc>
        <w:tc>
          <w:tcPr>
            <w:tcW w:w="10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580" w:type="dxa"/>
            <w:vAlign w:val="bottom"/>
            <w:tcBorders>
              <w:bottom w:val="single" w:sz="8" w:color="999999"/>
              <w:right w:val="single" w:sz="8" w:color="999999"/>
            </w:tcBorders>
          </w:tcPr>
          <w:p>
            <w:pPr>
              <w:spacing w:after="0"/>
              <w:rPr>
                <w:sz w:val="21"/>
                <w:szCs w:val="21"/>
                <w:color w:val="auto"/>
              </w:rPr>
            </w:pPr>
          </w:p>
        </w:tc>
      </w:tr>
      <w:tr>
        <w:trPr>
          <w:trHeight w:val="223"/>
        </w:trPr>
        <w:tc>
          <w:tcPr>
            <w:tcW w:w="2660" w:type="dxa"/>
            <w:vAlign w:val="bottom"/>
            <w:tcBorders>
              <w:left w:val="single" w:sz="8" w:color="999999"/>
              <w:bottom w:val="single" w:sz="8" w:color="999999"/>
              <w:right w:val="single" w:sz="8" w:color="999999"/>
            </w:tcBorders>
          </w:tcPr>
          <w:p>
            <w:pPr>
              <w:ind w:left="20"/>
              <w:spacing w:after="0" w:line="223" w:lineRule="exact"/>
              <w:rPr>
                <w:sz w:val="20"/>
                <w:szCs w:val="20"/>
                <w:color w:val="auto"/>
              </w:rPr>
            </w:pPr>
            <w:r>
              <w:rPr>
                <w:rFonts w:ascii="Arial" w:cs="Arial" w:eastAsia="Arial" w:hAnsi="Arial"/>
                <w:sz w:val="20"/>
                <w:szCs w:val="20"/>
                <w:color w:val="auto"/>
              </w:rPr>
              <w:t>[***]</w:t>
            </w:r>
          </w:p>
        </w:tc>
        <w:tc>
          <w:tcPr>
            <w:tcW w:w="3300" w:type="dxa"/>
            <w:vAlign w:val="bottom"/>
            <w:tcBorders>
              <w:bottom w:val="single" w:sz="8" w:color="999999"/>
              <w:right w:val="single" w:sz="8" w:color="999999"/>
            </w:tcBorders>
          </w:tcPr>
          <w:p>
            <w:pPr>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w w:val="85"/>
              </w:rPr>
              <w:t>2.2.1</w:t>
            </w:r>
          </w:p>
        </w:tc>
        <w:tc>
          <w:tcPr>
            <w:tcW w:w="130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443"/>
        </w:trPr>
        <w:tc>
          <w:tcPr>
            <w:tcW w:w="2660" w:type="dxa"/>
            <w:vAlign w:val="bottom"/>
          </w:tcPr>
          <w:p>
            <w:pPr>
              <w:spacing w:after="0"/>
              <w:rPr>
                <w:sz w:val="20"/>
                <w:szCs w:val="20"/>
                <w:color w:val="auto"/>
              </w:rPr>
            </w:pPr>
            <w:r>
              <w:rPr>
                <w:rFonts w:ascii="Arial" w:cs="Arial" w:eastAsia="Arial" w:hAnsi="Arial"/>
                <w:sz w:val="20"/>
                <w:szCs w:val="20"/>
                <w:b w:val="1"/>
                <w:bCs w:val="1"/>
                <w:color w:val="auto"/>
                <w:w w:val="99"/>
              </w:rPr>
              <w:t>1.4 Real Estate Deliverables</w:t>
            </w: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660" w:type="dxa"/>
            <w:vAlign w:val="bottom"/>
            <w:tcBorders>
              <w:top w:val="single" w:sz="8" w:color="999999"/>
              <w:left w:val="single" w:sz="8" w:color="999999"/>
              <w:right w:val="single" w:sz="8" w:color="999999"/>
            </w:tcBorders>
          </w:tcPr>
          <w:p>
            <w:pPr>
              <w:ind w:left="540"/>
              <w:spacing w:after="0" w:line="220" w:lineRule="exact"/>
              <w:rPr>
                <w:sz w:val="20"/>
                <w:szCs w:val="20"/>
                <w:color w:val="auto"/>
              </w:rPr>
            </w:pPr>
            <w:r>
              <w:rPr>
                <w:rFonts w:ascii="Arial" w:cs="Arial" w:eastAsia="Arial" w:hAnsi="Arial"/>
                <w:sz w:val="20"/>
                <w:szCs w:val="20"/>
                <w:b w:val="1"/>
                <w:bCs w:val="1"/>
                <w:color w:val="auto"/>
              </w:rPr>
              <w:t>Deliverables Name</w:t>
            </w:r>
          </w:p>
        </w:tc>
        <w:tc>
          <w:tcPr>
            <w:tcW w:w="3300" w:type="dxa"/>
            <w:vAlign w:val="bottom"/>
            <w:tcBorders>
              <w:top w:val="single" w:sz="8" w:color="999999"/>
              <w:right w:val="single" w:sz="8" w:color="999999"/>
            </w:tcBorders>
          </w:tcPr>
          <w:p>
            <w:pPr>
              <w:ind w:left="64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0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80" w:type="dxa"/>
            <w:vAlign w:val="bottom"/>
            <w:tcBorders>
              <w:top w:val="single" w:sz="8" w:color="999999"/>
            </w:tcBorders>
          </w:tcPr>
          <w:p>
            <w:pPr>
              <w:spacing w:after="0"/>
              <w:rPr>
                <w:sz w:val="19"/>
                <w:szCs w:val="19"/>
                <w:color w:val="auto"/>
              </w:rPr>
            </w:pPr>
          </w:p>
        </w:tc>
        <w:tc>
          <w:tcPr>
            <w:tcW w:w="1300" w:type="dxa"/>
            <w:vAlign w:val="bottom"/>
            <w:tcBorders>
              <w:top w:val="single" w:sz="8" w:color="999999"/>
              <w:right w:val="single" w:sz="8" w:color="999999"/>
            </w:tcBorders>
          </w:tcPr>
          <w:p>
            <w:pPr>
              <w:jc w:val="center"/>
              <w:ind w:right="21"/>
              <w:spacing w:after="0" w:line="220" w:lineRule="exact"/>
              <w:rPr>
                <w:sz w:val="20"/>
                <w:szCs w:val="20"/>
                <w:color w:val="auto"/>
              </w:rPr>
            </w:pPr>
            <w:r>
              <w:rPr>
                <w:rFonts w:ascii="Arial" w:cs="Arial" w:eastAsia="Arial" w:hAnsi="Arial"/>
                <w:sz w:val="20"/>
                <w:szCs w:val="20"/>
                <w:b w:val="1"/>
                <w:bCs w:val="1"/>
                <w:color w:val="auto"/>
                <w:w w:val="88"/>
              </w:rPr>
              <w:t>Milestone</w:t>
            </w:r>
          </w:p>
        </w:tc>
        <w:tc>
          <w:tcPr>
            <w:tcW w:w="100" w:type="dxa"/>
            <w:vAlign w:val="bottom"/>
            <w:tcBorders>
              <w:top w:val="single" w:sz="8" w:color="999999"/>
            </w:tcBorders>
          </w:tcPr>
          <w:p>
            <w:pPr>
              <w:spacing w:after="0"/>
              <w:rPr>
                <w:sz w:val="19"/>
                <w:szCs w:val="19"/>
                <w:color w:val="auto"/>
              </w:rPr>
            </w:pPr>
          </w:p>
        </w:tc>
        <w:tc>
          <w:tcPr>
            <w:tcW w:w="1400" w:type="dxa"/>
            <w:vAlign w:val="bottom"/>
            <w:tcBorders>
              <w:top w:val="single" w:sz="8" w:color="999999"/>
              <w:right w:val="single" w:sz="8" w:color="999999"/>
            </w:tcBorders>
          </w:tcPr>
          <w:p>
            <w:pPr>
              <w:jc w:val="center"/>
              <w:ind w:right="21"/>
              <w:spacing w:after="0" w:line="220" w:lineRule="exact"/>
              <w:rPr>
                <w:sz w:val="20"/>
                <w:szCs w:val="20"/>
                <w:color w:val="auto"/>
              </w:rPr>
            </w:pPr>
            <w:r>
              <w:rPr>
                <w:rFonts w:ascii="Arial" w:cs="Arial" w:eastAsia="Arial" w:hAnsi="Arial"/>
                <w:sz w:val="20"/>
                <w:szCs w:val="20"/>
                <w:b w:val="1"/>
                <w:bCs w:val="1"/>
                <w:color w:val="auto"/>
                <w:w w:val="87"/>
              </w:rPr>
              <w:t>Estimated</w:t>
            </w:r>
          </w:p>
        </w:tc>
      </w:tr>
      <w:tr>
        <w:trPr>
          <w:trHeight w:val="230"/>
        </w:trPr>
        <w:tc>
          <w:tcPr>
            <w:tcW w:w="2660" w:type="dxa"/>
            <w:vAlign w:val="bottom"/>
            <w:tcBorders>
              <w:left w:val="single" w:sz="8" w:color="999999"/>
              <w:right w:val="single" w:sz="8" w:color="999999"/>
            </w:tcBorders>
          </w:tcPr>
          <w:p>
            <w:pPr>
              <w:spacing w:after="0"/>
              <w:rPr>
                <w:sz w:val="19"/>
                <w:szCs w:val="19"/>
                <w:color w:val="auto"/>
              </w:rPr>
            </w:pPr>
          </w:p>
        </w:tc>
        <w:tc>
          <w:tcPr>
            <w:tcW w:w="3300" w:type="dxa"/>
            <w:vAlign w:val="bottom"/>
            <w:tcBorders>
              <w:right w:val="single" w:sz="8" w:color="999999"/>
            </w:tcBorders>
          </w:tcPr>
          <w:p>
            <w:pPr>
              <w:spacing w:after="0"/>
              <w:rPr>
                <w:sz w:val="19"/>
                <w:szCs w:val="19"/>
                <w:color w:val="auto"/>
              </w:rPr>
            </w:pPr>
          </w:p>
        </w:tc>
        <w:tc>
          <w:tcPr>
            <w:tcW w:w="10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80" w:type="dxa"/>
            <w:vAlign w:val="bottom"/>
          </w:tcPr>
          <w:p>
            <w:pPr>
              <w:spacing w:after="0"/>
              <w:rPr>
                <w:sz w:val="19"/>
                <w:szCs w:val="19"/>
                <w:color w:val="auto"/>
              </w:rPr>
            </w:pPr>
          </w:p>
        </w:tc>
        <w:tc>
          <w:tcPr>
            <w:tcW w:w="1300" w:type="dxa"/>
            <w:vAlign w:val="bottom"/>
            <w:tcBorders>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86"/>
              </w:rPr>
              <w:t>No.</w:t>
            </w:r>
          </w:p>
        </w:tc>
        <w:tc>
          <w:tcPr>
            <w:tcW w:w="100" w:type="dxa"/>
            <w:vAlign w:val="bottom"/>
          </w:tcPr>
          <w:p>
            <w:pPr>
              <w:spacing w:after="0"/>
              <w:rPr>
                <w:sz w:val="19"/>
                <w:szCs w:val="19"/>
                <w:color w:val="auto"/>
              </w:rPr>
            </w:pPr>
          </w:p>
        </w:tc>
        <w:tc>
          <w:tcPr>
            <w:tcW w:w="1400" w:type="dxa"/>
            <w:vAlign w:val="bottom"/>
            <w:tcBorders>
              <w:right w:val="single" w:sz="8" w:color="999999"/>
            </w:tcBorders>
          </w:tcPr>
          <w:p>
            <w:pPr>
              <w:jc w:val="center"/>
              <w:ind w:right="21"/>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660" w:type="dxa"/>
            <w:vAlign w:val="bottom"/>
            <w:tcBorders>
              <w:left w:val="single" w:sz="8" w:color="999999"/>
              <w:bottom w:val="single" w:sz="8" w:color="999999"/>
              <w:right w:val="single" w:sz="8" w:color="999999"/>
            </w:tcBorders>
          </w:tcPr>
          <w:p>
            <w:pPr>
              <w:spacing w:after="0"/>
              <w:rPr>
                <w:sz w:val="21"/>
                <w:szCs w:val="21"/>
                <w:color w:val="auto"/>
              </w:rPr>
            </w:pPr>
          </w:p>
        </w:tc>
        <w:tc>
          <w:tcPr>
            <w:tcW w:w="330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right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jc w:val="center"/>
              <w:ind w:right="21"/>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66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Hanger at SA Flight Test Site</w:t>
            </w:r>
          </w:p>
        </w:tc>
        <w:tc>
          <w:tcPr>
            <w:tcW w:w="330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w w:val="92"/>
              </w:rPr>
              <w:t>Newly constructed hanger facility in SA,</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5"/>
              </w:rPr>
              <w:t>2.3.3</w:t>
            </w:r>
          </w:p>
        </w:tc>
        <w:tc>
          <w:tcPr>
            <w:tcW w:w="138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60" w:type="dxa"/>
            <w:vAlign w:val="bottom"/>
            <w:tcBorders>
              <w:left w:val="single" w:sz="8" w:color="999999"/>
              <w:bottom w:val="single" w:sz="8" w:color="999999"/>
              <w:right w:val="single" w:sz="8" w:color="999999"/>
            </w:tcBorders>
          </w:tcPr>
          <w:p>
            <w:pPr>
              <w:spacing w:after="0"/>
              <w:rPr>
                <w:sz w:val="21"/>
                <w:szCs w:val="21"/>
                <w:color w:val="auto"/>
              </w:rPr>
            </w:pPr>
          </w:p>
        </w:tc>
        <w:tc>
          <w:tcPr>
            <w:tcW w:w="330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NM</w:t>
            </w:r>
          </w:p>
        </w:tc>
        <w:tc>
          <w:tcPr>
            <w:tcW w:w="1080" w:type="dxa"/>
            <w:vAlign w:val="bottom"/>
            <w:tcBorders>
              <w:bottom w:val="single" w:sz="8" w:color="999999"/>
              <w:right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r>
      <w:tr>
        <w:trPr>
          <w:trHeight w:val="206"/>
        </w:trPr>
        <w:tc>
          <w:tcPr>
            <w:tcW w:w="266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 for the Hanger at SA</w:t>
            </w:r>
          </w:p>
        </w:tc>
        <w:tc>
          <w:tcPr>
            <w:tcW w:w="330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rPr>
              <w:t>[***] addition to the hanger facility in</w:t>
            </w:r>
          </w:p>
        </w:tc>
        <w:tc>
          <w:tcPr>
            <w:tcW w:w="10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5"/>
              </w:rPr>
              <w:t>2.3.3</w:t>
            </w:r>
          </w:p>
        </w:tc>
        <w:tc>
          <w:tcPr>
            <w:tcW w:w="138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6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0"/>
                <w:szCs w:val="20"/>
                <w:color w:val="auto"/>
              </w:rPr>
              <w:t>Flight Test Site</w:t>
            </w:r>
          </w:p>
        </w:tc>
        <w:tc>
          <w:tcPr>
            <w:tcW w:w="330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SA, NM for [***].</w:t>
            </w:r>
          </w:p>
        </w:tc>
        <w:tc>
          <w:tcPr>
            <w:tcW w:w="1080" w:type="dxa"/>
            <w:vAlign w:val="bottom"/>
            <w:tcBorders>
              <w:bottom w:val="single" w:sz="8" w:color="999999"/>
              <w:right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r>
      <w:tr>
        <w:trPr>
          <w:trHeight w:val="456"/>
        </w:trPr>
        <w:tc>
          <w:tcPr>
            <w:tcW w:w="2660" w:type="dxa"/>
            <w:vAlign w:val="bottom"/>
          </w:tcPr>
          <w:p>
            <w:pPr>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2660" w:type="dxa"/>
            <w:vAlign w:val="bottom"/>
          </w:tcPr>
          <w:p>
            <w:pPr>
              <w:spacing w:after="0"/>
              <w:rPr>
                <w:sz w:val="20"/>
                <w:szCs w:val="20"/>
                <w:color w:val="auto"/>
              </w:rPr>
            </w:pPr>
            <w:r>
              <w:rPr>
                <w:rFonts w:ascii="Arial" w:cs="Arial" w:eastAsia="Arial" w:hAnsi="Arial"/>
                <w:sz w:val="20"/>
                <w:szCs w:val="20"/>
                <w:b w:val="1"/>
                <w:bCs w:val="1"/>
                <w:color w:val="auto"/>
              </w:rPr>
              <w:t>2. Document Deliverables</w:t>
            </w: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2660" w:type="dxa"/>
            <w:vAlign w:val="bottom"/>
            <w:tcBorders>
              <w:bottom w:val="single" w:sz="8" w:color="999999"/>
            </w:tcBorders>
          </w:tcPr>
          <w:p>
            <w:pPr>
              <w:spacing w:after="0"/>
              <w:rPr>
                <w:sz w:val="19"/>
                <w:szCs w:val="19"/>
                <w:color w:val="auto"/>
              </w:rPr>
            </w:pPr>
          </w:p>
        </w:tc>
        <w:tc>
          <w:tcPr>
            <w:tcW w:w="3300" w:type="dxa"/>
            <w:vAlign w:val="bottom"/>
            <w:tcBorders>
              <w:bottom w:val="single" w:sz="8" w:color="999999"/>
            </w:tcBorders>
          </w:tcPr>
          <w:p>
            <w:pPr>
              <w:spacing w:after="0"/>
              <w:rPr>
                <w:sz w:val="19"/>
                <w:szCs w:val="19"/>
                <w:color w:val="auto"/>
              </w:rPr>
            </w:pPr>
          </w:p>
        </w:tc>
        <w:tc>
          <w:tcPr>
            <w:tcW w:w="1080" w:type="dxa"/>
            <w:vAlign w:val="bottom"/>
            <w:tcBorders>
              <w:bottom w:val="single" w:sz="8" w:color="999999"/>
            </w:tcBorders>
          </w:tcPr>
          <w:p>
            <w:pPr>
              <w:spacing w:after="0"/>
              <w:rPr>
                <w:sz w:val="19"/>
                <w:szCs w:val="19"/>
                <w:color w:val="auto"/>
              </w:rPr>
            </w:pPr>
          </w:p>
        </w:tc>
        <w:tc>
          <w:tcPr>
            <w:tcW w:w="80" w:type="dxa"/>
            <w:vAlign w:val="bottom"/>
            <w:tcBorders>
              <w:bottom w:val="single" w:sz="8" w:color="999999"/>
            </w:tcBorders>
          </w:tcPr>
          <w:p>
            <w:pPr>
              <w:spacing w:after="0"/>
              <w:rPr>
                <w:sz w:val="19"/>
                <w:szCs w:val="19"/>
                <w:color w:val="auto"/>
              </w:rPr>
            </w:pPr>
          </w:p>
        </w:tc>
        <w:tc>
          <w:tcPr>
            <w:tcW w:w="1300" w:type="dxa"/>
            <w:vAlign w:val="bottom"/>
            <w:tcBorders>
              <w:bottom w:val="single" w:sz="8" w:color="999999"/>
            </w:tcBorders>
          </w:tcPr>
          <w:p>
            <w:pPr>
              <w:spacing w:after="0"/>
              <w:rPr>
                <w:sz w:val="19"/>
                <w:szCs w:val="19"/>
                <w:color w:val="auto"/>
              </w:rPr>
            </w:pPr>
          </w:p>
        </w:tc>
        <w:tc>
          <w:tcPr>
            <w:tcW w:w="100" w:type="dxa"/>
            <w:vAlign w:val="bottom"/>
            <w:tcBorders>
              <w:bottom w:val="single" w:sz="8" w:color="999999"/>
            </w:tcBorders>
          </w:tcPr>
          <w:p>
            <w:pPr>
              <w:spacing w:after="0"/>
              <w:rPr>
                <w:sz w:val="19"/>
                <w:szCs w:val="19"/>
                <w:color w:val="auto"/>
              </w:rPr>
            </w:pPr>
          </w:p>
        </w:tc>
        <w:tc>
          <w:tcPr>
            <w:tcW w:w="1400" w:type="dxa"/>
            <w:vAlign w:val="bottom"/>
            <w:tcBorders>
              <w:bottom w:val="single" w:sz="8" w:color="999999"/>
            </w:tcBorders>
          </w:tcPr>
          <w:p>
            <w:pPr>
              <w:spacing w:after="0"/>
              <w:rPr>
                <w:sz w:val="19"/>
                <w:szCs w:val="19"/>
                <w:color w:val="auto"/>
              </w:rPr>
            </w:pPr>
          </w:p>
        </w:tc>
      </w:tr>
      <w:tr>
        <w:trPr>
          <w:trHeight w:val="200"/>
        </w:trPr>
        <w:tc>
          <w:tcPr>
            <w:tcW w:w="2660" w:type="dxa"/>
            <w:vAlign w:val="bottom"/>
            <w:tcBorders>
              <w:left w:val="single" w:sz="8" w:color="999999"/>
              <w:right w:val="single" w:sz="8" w:color="999999"/>
            </w:tcBorders>
          </w:tcPr>
          <w:p>
            <w:pPr>
              <w:ind w:left="540"/>
              <w:spacing w:after="0" w:line="200" w:lineRule="exact"/>
              <w:rPr>
                <w:sz w:val="20"/>
                <w:szCs w:val="20"/>
                <w:color w:val="auto"/>
              </w:rPr>
            </w:pPr>
            <w:r>
              <w:rPr>
                <w:rFonts w:ascii="Arial" w:cs="Arial" w:eastAsia="Arial" w:hAnsi="Arial"/>
                <w:sz w:val="20"/>
                <w:szCs w:val="20"/>
                <w:b w:val="1"/>
                <w:bCs w:val="1"/>
                <w:color w:val="auto"/>
              </w:rPr>
              <w:t>Deliverables Name</w:t>
            </w:r>
          </w:p>
        </w:tc>
        <w:tc>
          <w:tcPr>
            <w:tcW w:w="3300" w:type="dxa"/>
            <w:vAlign w:val="bottom"/>
            <w:tcBorders>
              <w:right w:val="single" w:sz="8" w:color="999999"/>
            </w:tcBorders>
          </w:tcPr>
          <w:p>
            <w:pPr>
              <w:ind w:left="64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108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8"/>
              </w:rPr>
              <w:t>Relevant</w:t>
            </w:r>
          </w:p>
        </w:tc>
        <w:tc>
          <w:tcPr>
            <w:tcW w:w="80" w:type="dxa"/>
            <w:vAlign w:val="bottom"/>
            <w:tcBorders>
              <w:right w:val="single" w:sz="8" w:color="999999"/>
            </w:tcBorders>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8"/>
              </w:rPr>
              <w:t>Milestone</w:t>
            </w:r>
          </w:p>
        </w:tc>
        <w:tc>
          <w:tcPr>
            <w:tcW w:w="100" w:type="dxa"/>
            <w:vAlign w:val="bottom"/>
            <w:tcBorders>
              <w:right w:val="single" w:sz="8" w:color="999999"/>
            </w:tcBorders>
          </w:tcPr>
          <w:p>
            <w:pPr>
              <w:spacing w:after="0"/>
              <w:rPr>
                <w:sz w:val="17"/>
                <w:szCs w:val="17"/>
                <w:color w:val="auto"/>
              </w:rPr>
            </w:pPr>
          </w:p>
        </w:tc>
        <w:tc>
          <w:tcPr>
            <w:tcW w:w="140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r>
      <w:tr>
        <w:trPr>
          <w:trHeight w:val="229"/>
        </w:trPr>
        <w:tc>
          <w:tcPr>
            <w:tcW w:w="2660" w:type="dxa"/>
            <w:vAlign w:val="bottom"/>
            <w:tcBorders>
              <w:left w:val="single" w:sz="8" w:color="999999"/>
              <w:right w:val="single" w:sz="8" w:color="999999"/>
            </w:tcBorders>
          </w:tcPr>
          <w:p>
            <w:pPr>
              <w:spacing w:after="0"/>
              <w:rPr>
                <w:sz w:val="19"/>
                <w:szCs w:val="19"/>
                <w:color w:val="auto"/>
              </w:rPr>
            </w:pPr>
          </w:p>
        </w:tc>
        <w:tc>
          <w:tcPr>
            <w:tcW w:w="3300" w:type="dxa"/>
            <w:vAlign w:val="bottom"/>
            <w:tcBorders>
              <w:right w:val="single" w:sz="8" w:color="999999"/>
            </w:tcBorders>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4"/>
              </w:rPr>
              <w:t>WBS</w:t>
            </w:r>
          </w:p>
        </w:tc>
        <w:tc>
          <w:tcPr>
            <w:tcW w:w="80" w:type="dxa"/>
            <w:vAlign w:val="bottom"/>
            <w:tcBorders>
              <w:right w:val="single" w:sz="8" w:color="999999"/>
            </w:tcBorders>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86"/>
              </w:rPr>
              <w:t>No.</w:t>
            </w:r>
          </w:p>
        </w:tc>
        <w:tc>
          <w:tcPr>
            <w:tcW w:w="100" w:type="dxa"/>
            <w:vAlign w:val="bottom"/>
            <w:tcBorders>
              <w:right w:val="single" w:sz="8" w:color="999999"/>
            </w:tcBorders>
          </w:tcPr>
          <w:p>
            <w:pPr>
              <w:spacing w:after="0"/>
              <w:rPr>
                <w:sz w:val="19"/>
                <w:szCs w:val="19"/>
                <w:color w:val="auto"/>
              </w:rPr>
            </w:pPr>
          </w:p>
        </w:tc>
        <w:tc>
          <w:tcPr>
            <w:tcW w:w="140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2660" w:type="dxa"/>
            <w:vAlign w:val="bottom"/>
            <w:tcBorders>
              <w:left w:val="single" w:sz="8" w:color="999999"/>
              <w:bottom w:val="single" w:sz="8" w:color="999999"/>
              <w:right w:val="single" w:sz="8" w:color="999999"/>
            </w:tcBorders>
          </w:tcPr>
          <w:p>
            <w:pPr>
              <w:spacing w:after="0"/>
              <w:rPr>
                <w:sz w:val="21"/>
                <w:szCs w:val="21"/>
                <w:color w:val="auto"/>
              </w:rPr>
            </w:pPr>
          </w:p>
        </w:tc>
        <w:tc>
          <w:tcPr>
            <w:tcW w:w="3300" w:type="dxa"/>
            <w:vAlign w:val="bottom"/>
            <w:tcBorders>
              <w:bottom w:val="single" w:sz="8" w:color="999999"/>
              <w:right w:val="single" w:sz="8" w:color="999999"/>
            </w:tcBorders>
          </w:tcPr>
          <w:p>
            <w:pPr>
              <w:spacing w:after="0"/>
              <w:rPr>
                <w:sz w:val="21"/>
                <w:szCs w:val="21"/>
                <w:color w:val="auto"/>
              </w:rPr>
            </w:pPr>
          </w:p>
        </w:tc>
        <w:tc>
          <w:tcPr>
            <w:tcW w:w="1080" w:type="dxa"/>
            <w:vAlign w:val="bottom"/>
            <w:tcBorders>
              <w:bottom w:val="single" w:sz="8" w:color="999999"/>
            </w:tcBorders>
          </w:tcPr>
          <w:p>
            <w:pPr>
              <w:spacing w:after="0"/>
              <w:rPr>
                <w:sz w:val="21"/>
                <w:szCs w:val="21"/>
                <w:color w:val="auto"/>
              </w:rPr>
            </w:pPr>
          </w:p>
        </w:tc>
        <w:tc>
          <w:tcPr>
            <w:tcW w:w="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tcBorders>
          </w:tcPr>
          <w:p>
            <w:pPr>
              <w:spacing w:after="0"/>
              <w:rPr>
                <w:sz w:val="21"/>
                <w:szCs w:val="21"/>
                <w:color w:val="auto"/>
              </w:rPr>
            </w:pPr>
          </w:p>
        </w:tc>
        <w:tc>
          <w:tcPr>
            <w:tcW w:w="10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7"/>
              </w:rPr>
              <w:t>Date</w:t>
            </w:r>
          </w:p>
        </w:tc>
      </w:tr>
      <w:tr>
        <w:trPr>
          <w:trHeight w:val="206"/>
        </w:trPr>
        <w:tc>
          <w:tcPr>
            <w:tcW w:w="2660" w:type="dxa"/>
            <w:vAlign w:val="bottom"/>
            <w:tcBorders>
              <w:left w:val="single" w:sz="8" w:color="999999"/>
              <w:right w:val="single" w:sz="8" w:color="999999"/>
            </w:tcBorders>
          </w:tcPr>
          <w:p>
            <w:pPr>
              <w:ind w:left="20"/>
              <w:spacing w:after="0" w:line="207" w:lineRule="exact"/>
              <w:rPr>
                <w:sz w:val="20"/>
                <w:szCs w:val="20"/>
                <w:color w:val="auto"/>
              </w:rPr>
            </w:pPr>
            <w:r>
              <w:rPr>
                <w:rFonts w:ascii="Arial" w:cs="Arial" w:eastAsia="Arial" w:hAnsi="Arial"/>
                <w:sz w:val="20"/>
                <w:szCs w:val="20"/>
                <w:color w:val="auto"/>
                <w:w w:val="91"/>
              </w:rPr>
              <w:t>CDR &amp; Component Engineering</w:t>
            </w:r>
          </w:p>
        </w:tc>
        <w:tc>
          <w:tcPr>
            <w:tcW w:w="3300" w:type="dxa"/>
            <w:vAlign w:val="bottom"/>
            <w:tcBorders>
              <w:right w:val="single" w:sz="8" w:color="999999"/>
            </w:tcBorders>
          </w:tcPr>
          <w:p>
            <w:pPr>
              <w:spacing w:after="0" w:line="207" w:lineRule="exact"/>
              <w:rPr>
                <w:sz w:val="20"/>
                <w:szCs w:val="20"/>
                <w:color w:val="auto"/>
              </w:rPr>
            </w:pPr>
            <w:r>
              <w:rPr>
                <w:rFonts w:ascii="Arial" w:cs="Arial" w:eastAsia="Arial" w:hAnsi="Arial"/>
                <w:sz w:val="20"/>
                <w:szCs w:val="20"/>
                <w:color w:val="auto"/>
              </w:rPr>
              <w:t>Technical Data Package.</w:t>
            </w:r>
          </w:p>
        </w:tc>
        <w:tc>
          <w:tcPr>
            <w:tcW w:w="1080" w:type="dxa"/>
            <w:vAlign w:val="bottom"/>
          </w:tcPr>
          <w:p>
            <w:pPr>
              <w:jc w:val="center"/>
              <w:spacing w:after="0" w:line="207" w:lineRule="exact"/>
              <w:rPr>
                <w:sz w:val="20"/>
                <w:szCs w:val="20"/>
                <w:color w:val="auto"/>
              </w:rPr>
            </w:pPr>
            <w:r>
              <w:rPr>
                <w:rFonts w:ascii="Arial" w:cs="Arial" w:eastAsia="Arial" w:hAnsi="Arial"/>
                <w:sz w:val="20"/>
                <w:szCs w:val="20"/>
                <w:color w:val="auto"/>
                <w:w w:val="93"/>
              </w:rPr>
              <w:t>2.2</w:t>
            </w:r>
          </w:p>
        </w:tc>
        <w:tc>
          <w:tcPr>
            <w:tcW w:w="80" w:type="dxa"/>
            <w:vAlign w:val="bottom"/>
            <w:tcBorders>
              <w:right w:val="single" w:sz="8" w:color="999999"/>
            </w:tcBorders>
          </w:tcPr>
          <w:p>
            <w:pPr>
              <w:spacing w:after="0"/>
              <w:rPr>
                <w:sz w:val="17"/>
                <w:szCs w:val="17"/>
                <w:color w:val="auto"/>
              </w:rPr>
            </w:pPr>
          </w:p>
        </w:tc>
        <w:tc>
          <w:tcPr>
            <w:tcW w:w="1300" w:type="dxa"/>
            <w:vAlign w:val="bottom"/>
          </w:tcPr>
          <w:p>
            <w:pPr>
              <w:jc w:val="center"/>
              <w:spacing w:after="0" w:line="207" w:lineRule="exact"/>
              <w:rPr>
                <w:sz w:val="20"/>
                <w:szCs w:val="20"/>
                <w:color w:val="auto"/>
              </w:rPr>
            </w:pPr>
            <w:r>
              <w:rPr>
                <w:rFonts w:ascii="Arial" w:cs="Arial" w:eastAsia="Arial" w:hAnsi="Arial"/>
                <w:sz w:val="20"/>
                <w:szCs w:val="20"/>
                <w:color w:val="auto"/>
              </w:rPr>
              <w:t>[***]</w:t>
            </w:r>
          </w:p>
        </w:tc>
        <w:tc>
          <w:tcPr>
            <w:tcW w:w="100" w:type="dxa"/>
            <w:vAlign w:val="bottom"/>
            <w:tcBorders>
              <w:right w:val="single" w:sz="8" w:color="999999"/>
            </w:tcBorders>
          </w:tcPr>
          <w:p>
            <w:pPr>
              <w:spacing w:after="0"/>
              <w:rPr>
                <w:sz w:val="17"/>
                <w:szCs w:val="17"/>
                <w:color w:val="auto"/>
              </w:rPr>
            </w:pPr>
          </w:p>
        </w:tc>
        <w:tc>
          <w:tcPr>
            <w:tcW w:w="14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660" w:type="dxa"/>
            <w:vAlign w:val="bottom"/>
            <w:tcBorders>
              <w:left w:val="single" w:sz="8" w:color="999999"/>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Technical Data Package</w:t>
            </w:r>
          </w:p>
        </w:tc>
        <w:tc>
          <w:tcPr>
            <w:tcW w:w="3300" w:type="dxa"/>
            <w:vAlign w:val="bottom"/>
            <w:tcBorders>
              <w:bottom w:val="single" w:sz="8" w:color="999999"/>
              <w:right w:val="single" w:sz="8" w:color="999999"/>
            </w:tcBorders>
          </w:tcPr>
          <w:p>
            <w:pPr>
              <w:spacing w:after="0"/>
              <w:rPr>
                <w:sz w:val="20"/>
                <w:szCs w:val="20"/>
                <w:color w:val="auto"/>
              </w:rPr>
            </w:pPr>
            <w:r>
              <w:rPr>
                <w:rFonts w:ascii="Arial" w:cs="Arial" w:eastAsia="Arial" w:hAnsi="Arial"/>
                <w:sz w:val="20"/>
                <w:szCs w:val="20"/>
                <w:color w:val="auto"/>
              </w:rPr>
              <w:t>RFPs, RFIs, and RFQs.</w:t>
            </w:r>
          </w:p>
        </w:tc>
        <w:tc>
          <w:tcPr>
            <w:tcW w:w="1080" w:type="dxa"/>
            <w:vAlign w:val="bottom"/>
            <w:tcBorders>
              <w:bottom w:val="single" w:sz="8" w:color="999999"/>
            </w:tcBorders>
          </w:tcPr>
          <w:p>
            <w:pPr>
              <w:spacing w:after="0"/>
              <w:rPr>
                <w:sz w:val="21"/>
                <w:szCs w:val="21"/>
                <w:color w:val="auto"/>
              </w:rPr>
            </w:pPr>
          </w:p>
        </w:tc>
        <w:tc>
          <w:tcPr>
            <w:tcW w:w="8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tcBorders>
          </w:tcPr>
          <w:p>
            <w:pPr>
              <w:spacing w:after="0"/>
              <w:rPr>
                <w:sz w:val="21"/>
                <w:szCs w:val="21"/>
                <w:color w:val="auto"/>
              </w:rPr>
            </w:pPr>
          </w:p>
        </w:tc>
        <w:tc>
          <w:tcPr>
            <w:tcW w:w="10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r>
      <w:tr>
        <w:trPr>
          <w:trHeight w:val="223"/>
        </w:trPr>
        <w:tc>
          <w:tcPr>
            <w:tcW w:w="2660" w:type="dxa"/>
            <w:vAlign w:val="bottom"/>
            <w:tcBorders>
              <w:left w:val="single" w:sz="8" w:color="999999"/>
              <w:bottom w:val="single" w:sz="8" w:color="999999"/>
              <w:right w:val="single" w:sz="8" w:color="999999"/>
            </w:tcBorders>
          </w:tcPr>
          <w:p>
            <w:pPr>
              <w:ind w:left="20"/>
              <w:spacing w:after="0" w:line="223" w:lineRule="exact"/>
              <w:rPr>
                <w:sz w:val="20"/>
                <w:szCs w:val="20"/>
                <w:color w:val="auto"/>
              </w:rPr>
            </w:pPr>
            <w:r>
              <w:rPr>
                <w:rFonts w:ascii="Arial" w:cs="Arial" w:eastAsia="Arial" w:hAnsi="Arial"/>
                <w:sz w:val="20"/>
                <w:szCs w:val="20"/>
                <w:color w:val="auto"/>
                <w:w w:val="90"/>
              </w:rPr>
              <w:t>Update Component Engineering</w:t>
            </w:r>
          </w:p>
        </w:tc>
        <w:tc>
          <w:tcPr>
            <w:tcW w:w="3300" w:type="dxa"/>
            <w:vAlign w:val="bottom"/>
            <w:tcBorders>
              <w:bottom w:val="single" w:sz="8" w:color="999999"/>
              <w:right w:val="single" w:sz="8" w:color="999999"/>
            </w:tcBorders>
          </w:tcPr>
          <w:p>
            <w:pPr>
              <w:spacing w:after="0" w:line="223" w:lineRule="exact"/>
              <w:rPr>
                <w:sz w:val="20"/>
                <w:szCs w:val="20"/>
                <w:color w:val="auto"/>
              </w:rPr>
            </w:pPr>
            <w:r>
              <w:rPr>
                <w:rFonts w:ascii="Arial" w:cs="Arial" w:eastAsia="Arial" w:hAnsi="Arial"/>
                <w:sz w:val="20"/>
                <w:szCs w:val="20"/>
                <w:color w:val="auto"/>
              </w:rPr>
              <w:t>Technical Data Package</w:t>
            </w:r>
          </w:p>
        </w:tc>
        <w:tc>
          <w:tcPr>
            <w:tcW w:w="1080" w:type="dxa"/>
            <w:vAlign w:val="bottom"/>
            <w:tcBorders>
              <w:bottom w:val="single" w:sz="8" w:color="999999"/>
            </w:tcBorders>
          </w:tcPr>
          <w:p>
            <w:pPr>
              <w:jc w:val="center"/>
              <w:spacing w:after="0" w:line="223" w:lineRule="exact"/>
              <w:rPr>
                <w:sz w:val="20"/>
                <w:szCs w:val="20"/>
                <w:color w:val="auto"/>
              </w:rPr>
            </w:pPr>
            <w:r>
              <w:rPr>
                <w:rFonts w:ascii="Arial" w:cs="Arial" w:eastAsia="Arial" w:hAnsi="Arial"/>
                <w:sz w:val="20"/>
                <w:szCs w:val="20"/>
                <w:color w:val="auto"/>
                <w:w w:val="93"/>
              </w:rPr>
              <w:t>2.2</w:t>
            </w:r>
          </w:p>
        </w:tc>
        <w:tc>
          <w:tcPr>
            <w:tcW w:w="80" w:type="dxa"/>
            <w:vAlign w:val="bottom"/>
            <w:tcBorders>
              <w:bottom w:val="single" w:sz="8" w:color="999999"/>
              <w:right w:val="single" w:sz="8" w:color="999999"/>
            </w:tcBorders>
          </w:tcPr>
          <w:p>
            <w:pPr>
              <w:spacing w:after="0"/>
              <w:rPr>
                <w:sz w:val="19"/>
                <w:szCs w:val="19"/>
                <w:color w:val="auto"/>
              </w:rPr>
            </w:pPr>
          </w:p>
        </w:tc>
        <w:tc>
          <w:tcPr>
            <w:tcW w:w="1300" w:type="dxa"/>
            <w:vAlign w:val="bottom"/>
            <w:tcBorders>
              <w:bottom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999999"/>
              <w:right w:val="single" w:sz="8" w:color="999999"/>
            </w:tcBorders>
          </w:tcPr>
          <w:p>
            <w:pPr>
              <w:spacing w:after="0"/>
              <w:rPr>
                <w:sz w:val="19"/>
                <w:szCs w:val="19"/>
                <w:color w:val="auto"/>
              </w:rPr>
            </w:pPr>
          </w:p>
        </w:tc>
        <w:tc>
          <w:tcPr>
            <w:tcW w:w="140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432" w:name="page433"/>
    <w:bookmarkEnd w:id="432"/>
    <w:tbl>
      <w:tblPr>
        <w:tblLayout w:type="fixed"/>
        <w:tblInd w:w="10" w:type="dxa"/>
        <w:tblCellMar>
          <w:top w:w="0" w:type="dxa"/>
          <w:left w:w="0" w:type="dxa"/>
          <w:bottom w:w="0" w:type="dxa"/>
          <w:right w:w="0" w:type="dxa"/>
        </w:tblCellMar>
      </w:tblPr>
      <w:tr>
        <w:trPr>
          <w:trHeight w:val="226"/>
        </w:trPr>
        <w:tc>
          <w:tcPr>
            <w:tcW w:w="2680" w:type="dxa"/>
            <w:vAlign w:val="bottom"/>
            <w:tcBorders>
              <w:top w:val="single" w:sz="8" w:color="999999"/>
              <w:left w:val="single" w:sz="8" w:color="999999"/>
              <w:right w:val="single" w:sz="8" w:color="999999"/>
            </w:tcBorders>
          </w:tcPr>
          <w:p>
            <w:pPr>
              <w:ind w:left="120"/>
              <w:spacing w:after="0" w:line="227" w:lineRule="exact"/>
              <w:rPr>
                <w:sz w:val="20"/>
                <w:szCs w:val="20"/>
                <w:color w:val="auto"/>
              </w:rPr>
            </w:pPr>
            <w:r>
              <w:rPr>
                <w:rFonts w:ascii="Arial" w:cs="Arial" w:eastAsia="Arial" w:hAnsi="Arial"/>
                <w:sz w:val="20"/>
                <w:szCs w:val="20"/>
                <w:color w:val="auto"/>
              </w:rPr>
              <w:t>Fab &amp; Test First Wing Panel</w:t>
            </w:r>
          </w:p>
        </w:tc>
        <w:tc>
          <w:tcPr>
            <w:tcW w:w="3380" w:type="dxa"/>
            <w:vAlign w:val="bottom"/>
            <w:tcBorders>
              <w:top w:val="single" w:sz="8" w:color="999999"/>
              <w:right w:val="single" w:sz="8" w:color="999999"/>
            </w:tcBorders>
          </w:tcPr>
          <w:p>
            <w:pPr>
              <w:ind w:left="80"/>
              <w:spacing w:after="0" w:line="227" w:lineRule="exact"/>
              <w:rPr>
                <w:sz w:val="20"/>
                <w:szCs w:val="20"/>
                <w:color w:val="auto"/>
              </w:rPr>
            </w:pPr>
            <w:r>
              <w:rPr>
                <w:rFonts w:ascii="Arial" w:cs="Arial" w:eastAsia="Arial" w:hAnsi="Arial"/>
                <w:sz w:val="20"/>
                <w:szCs w:val="20"/>
                <w:color w:val="auto"/>
              </w:rPr>
              <w:t>Technical Data Package.</w:t>
            </w:r>
          </w:p>
        </w:tc>
        <w:tc>
          <w:tcPr>
            <w:tcW w:w="1160" w:type="dxa"/>
            <w:vAlign w:val="bottom"/>
            <w:tcBorders>
              <w:top w:val="single" w:sz="8" w:color="999999"/>
              <w:right w:val="single" w:sz="8" w:color="999999"/>
            </w:tcBorders>
          </w:tcPr>
          <w:p>
            <w:pPr>
              <w:jc w:val="center"/>
              <w:spacing w:after="0" w:line="227" w:lineRule="exact"/>
              <w:rPr>
                <w:sz w:val="20"/>
                <w:szCs w:val="20"/>
                <w:color w:val="auto"/>
              </w:rPr>
            </w:pPr>
            <w:r>
              <w:rPr>
                <w:rFonts w:ascii="Arial" w:cs="Arial" w:eastAsia="Arial" w:hAnsi="Arial"/>
                <w:sz w:val="20"/>
                <w:szCs w:val="20"/>
                <w:color w:val="auto"/>
                <w:w w:val="88"/>
              </w:rPr>
              <w:t>2.2.3.1</w:t>
            </w:r>
          </w:p>
        </w:tc>
        <w:tc>
          <w:tcPr>
            <w:tcW w:w="1400" w:type="dxa"/>
            <w:vAlign w:val="bottom"/>
            <w:tcBorders>
              <w:top w:val="single" w:sz="8" w:color="999999"/>
              <w:right w:val="single" w:sz="8" w:color="999999"/>
            </w:tcBorders>
          </w:tcPr>
          <w:p>
            <w:pPr>
              <w:jc w:val="right"/>
              <w:ind w:right="401"/>
              <w:spacing w:after="0" w:line="22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999999"/>
              <w:right w:val="single" w:sz="8" w:color="999999"/>
            </w:tcBorders>
          </w:tcPr>
          <w:p>
            <w:pPr>
              <w:jc w:val="right"/>
              <w:ind w:right="361"/>
              <w:spacing w:after="0" w:line="227" w:lineRule="exact"/>
              <w:rPr>
                <w:sz w:val="20"/>
                <w:szCs w:val="20"/>
                <w:color w:val="auto"/>
              </w:rPr>
            </w:pPr>
            <w:r>
              <w:rPr>
                <w:rFonts w:ascii="Arial" w:cs="Arial" w:eastAsia="Arial" w:hAnsi="Arial"/>
                <w:sz w:val="20"/>
                <w:szCs w:val="20"/>
                <w:color w:val="auto"/>
              </w:rPr>
              <w:t>[***]</w:t>
            </w:r>
          </w:p>
        </w:tc>
      </w:tr>
      <w:tr>
        <w:trPr>
          <w:trHeight w:val="230"/>
        </w:trPr>
        <w:tc>
          <w:tcPr>
            <w:tcW w:w="2680" w:type="dxa"/>
            <w:vAlign w:val="bottom"/>
            <w:tcBorders>
              <w:left w:val="single" w:sz="8" w:color="999999"/>
              <w:right w:val="single" w:sz="8" w:color="999999"/>
            </w:tcBorders>
          </w:tcPr>
          <w:p>
            <w:pPr>
              <w:spacing w:after="0"/>
              <w:rPr>
                <w:sz w:val="19"/>
                <w:szCs w:val="19"/>
                <w:color w:val="auto"/>
              </w:rPr>
            </w:pPr>
          </w:p>
        </w:tc>
        <w:tc>
          <w:tcPr>
            <w:tcW w:w="3380" w:type="dxa"/>
            <w:vAlign w:val="bottom"/>
            <w:tcBorders>
              <w:right w:val="single" w:sz="8" w:color="999999"/>
            </w:tcBorders>
          </w:tcPr>
          <w:p>
            <w:pPr>
              <w:ind w:left="80"/>
              <w:spacing w:after="0"/>
              <w:rPr>
                <w:sz w:val="20"/>
                <w:szCs w:val="20"/>
                <w:color w:val="auto"/>
              </w:rPr>
            </w:pPr>
            <w:r>
              <w:rPr>
                <w:rFonts w:ascii="Arial" w:cs="Arial" w:eastAsia="Arial" w:hAnsi="Arial"/>
                <w:sz w:val="20"/>
                <w:szCs w:val="20"/>
                <w:color w:val="auto"/>
              </w:rPr>
              <w:t>Recorded measurement data</w:t>
            </w:r>
          </w:p>
        </w:tc>
        <w:tc>
          <w:tcPr>
            <w:tcW w:w="1160" w:type="dxa"/>
            <w:vAlign w:val="bottom"/>
            <w:tcBorders>
              <w:right w:val="single" w:sz="8" w:color="999999"/>
            </w:tcBorders>
          </w:tcPr>
          <w:p>
            <w:pPr>
              <w:spacing w:after="0"/>
              <w:rPr>
                <w:sz w:val="19"/>
                <w:szCs w:val="19"/>
                <w:color w:val="auto"/>
              </w:rPr>
            </w:pPr>
          </w:p>
        </w:tc>
        <w:tc>
          <w:tcPr>
            <w:tcW w:w="1400" w:type="dxa"/>
            <w:vAlign w:val="bottom"/>
            <w:tcBorders>
              <w:right w:val="single" w:sz="8" w:color="999999"/>
            </w:tcBorders>
          </w:tcPr>
          <w:p>
            <w:pPr>
              <w:spacing w:after="0"/>
              <w:rPr>
                <w:sz w:val="19"/>
                <w:szCs w:val="19"/>
                <w:color w:val="auto"/>
              </w:rPr>
            </w:pPr>
          </w:p>
        </w:tc>
        <w:tc>
          <w:tcPr>
            <w:tcW w:w="1300" w:type="dxa"/>
            <w:vAlign w:val="bottom"/>
            <w:tcBorders>
              <w:right w:val="single" w:sz="8" w:color="999999"/>
            </w:tcBorders>
          </w:tcPr>
          <w:p>
            <w:pPr>
              <w:spacing w:after="0"/>
              <w:rPr>
                <w:sz w:val="19"/>
                <w:szCs w:val="19"/>
                <w:color w:val="auto"/>
              </w:rPr>
            </w:pPr>
          </w:p>
        </w:tc>
      </w:tr>
      <w:tr>
        <w:trPr>
          <w:trHeight w:val="246"/>
        </w:trPr>
        <w:tc>
          <w:tcPr>
            <w:tcW w:w="2680" w:type="dxa"/>
            <w:vAlign w:val="bottom"/>
            <w:tcBorders>
              <w:left w:val="single" w:sz="8" w:color="999999"/>
              <w:bottom w:val="single" w:sz="8" w:color="999999"/>
              <w:right w:val="single" w:sz="8" w:color="999999"/>
            </w:tcBorders>
          </w:tcPr>
          <w:p>
            <w:pPr>
              <w:spacing w:after="0"/>
              <w:rPr>
                <w:sz w:val="21"/>
                <w:szCs w:val="21"/>
                <w:color w:val="auto"/>
              </w:rPr>
            </w:pP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aerodynamic test data.</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Functional Test Reports</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w w:val="92"/>
              </w:rPr>
              <w:t>Acceptance test reports for components</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6"/>
              </w:rPr>
              <w:t>2.3</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spacing w:after="0"/>
              <w:rPr>
                <w:sz w:val="21"/>
                <w:szCs w:val="21"/>
                <w:color w:val="auto"/>
              </w:rPr>
            </w:pP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and assemblies</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w w:val="96"/>
              </w:rPr>
              <w:t>Initial Integrated Test Reports</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Initial Acceptance test reports for</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2.3.2.3</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w:t>
            </w: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aircraft &amp; Ground Control Station</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Integrated Test Reports</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Acceptance test reports for aircraft &amp;</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2.3.2.3</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w:t>
            </w: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Ground Control Station</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Integrated Test Reports</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Acceptance test reports for aircraft</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2.3.2.6</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w:t>
            </w:r>
          </w:p>
        </w:tc>
        <w:tc>
          <w:tcPr>
            <w:tcW w:w="3380" w:type="dxa"/>
            <w:vAlign w:val="bottom"/>
            <w:tcBorders>
              <w:bottom w:val="single" w:sz="8" w:color="999999"/>
              <w:right w:val="single" w:sz="8" w:color="999999"/>
            </w:tcBorders>
          </w:tcPr>
          <w:p>
            <w:pPr>
              <w:spacing w:after="0"/>
              <w:rPr>
                <w:sz w:val="21"/>
                <w:szCs w:val="21"/>
                <w:color w:val="auto"/>
              </w:rPr>
            </w:pP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Acceptance inspection and close-out</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2.3.2.8</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spacing w:after="0"/>
              <w:rPr>
                <w:sz w:val="21"/>
                <w:szCs w:val="21"/>
                <w:color w:val="auto"/>
              </w:rPr>
            </w:pP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reports</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06"/>
        </w:trPr>
        <w:tc>
          <w:tcPr>
            <w:tcW w:w="268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w:t>
            </w:r>
          </w:p>
        </w:tc>
        <w:tc>
          <w:tcPr>
            <w:tcW w:w="338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w w:val="97"/>
              </w:rPr>
              <w:t>Final key drawing, asset list and utility</w:t>
            </w:r>
          </w:p>
        </w:tc>
        <w:tc>
          <w:tcPr>
            <w:tcW w:w="11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9"/>
              </w:rPr>
              <w:t>2.3.3</w:t>
            </w:r>
          </w:p>
        </w:tc>
        <w:tc>
          <w:tcPr>
            <w:tcW w:w="1400" w:type="dxa"/>
            <w:vAlign w:val="bottom"/>
            <w:tcBorders>
              <w:right w:val="single" w:sz="8" w:color="999999"/>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right w:val="single" w:sz="8" w:color="999999"/>
            </w:tcBorders>
          </w:tcPr>
          <w:p>
            <w:pPr>
              <w:jc w:val="right"/>
              <w:ind w:right="361"/>
              <w:spacing w:after="0" w:line="207" w:lineRule="exact"/>
              <w:rPr>
                <w:sz w:val="20"/>
                <w:szCs w:val="20"/>
                <w:color w:val="auto"/>
              </w:rPr>
            </w:pPr>
            <w:r>
              <w:rPr>
                <w:rFonts w:ascii="Arial" w:cs="Arial" w:eastAsia="Arial" w:hAnsi="Arial"/>
                <w:sz w:val="20"/>
                <w:szCs w:val="20"/>
                <w:color w:val="auto"/>
              </w:rPr>
              <w:t>[***]</w:t>
            </w:r>
          </w:p>
        </w:tc>
      </w:tr>
      <w:tr>
        <w:trPr>
          <w:trHeight w:val="246"/>
        </w:trPr>
        <w:tc>
          <w:tcPr>
            <w:tcW w:w="2680" w:type="dxa"/>
            <w:vAlign w:val="bottom"/>
            <w:tcBorders>
              <w:left w:val="single" w:sz="8" w:color="999999"/>
              <w:bottom w:val="single" w:sz="8" w:color="999999"/>
              <w:right w:val="single" w:sz="8" w:color="999999"/>
            </w:tcBorders>
          </w:tcPr>
          <w:p>
            <w:pPr>
              <w:spacing w:after="0"/>
              <w:rPr>
                <w:sz w:val="21"/>
                <w:szCs w:val="21"/>
                <w:color w:val="auto"/>
              </w:rPr>
            </w:pPr>
          </w:p>
        </w:tc>
        <w:tc>
          <w:tcPr>
            <w:tcW w:w="33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20"/>
                <w:szCs w:val="20"/>
                <w:color w:val="auto"/>
              </w:rPr>
              <w:t>explanatory for Flight Range facility</w:t>
            </w:r>
          </w:p>
        </w:tc>
        <w:tc>
          <w:tcPr>
            <w:tcW w:w="1160" w:type="dxa"/>
            <w:vAlign w:val="bottom"/>
            <w:tcBorders>
              <w:bottom w:val="single" w:sz="8" w:color="999999"/>
              <w:right w:val="single" w:sz="8" w:color="999999"/>
            </w:tcBorders>
          </w:tcPr>
          <w:p>
            <w:pPr>
              <w:spacing w:after="0"/>
              <w:rPr>
                <w:sz w:val="21"/>
                <w:szCs w:val="21"/>
                <w:color w:val="auto"/>
              </w:rPr>
            </w:pPr>
          </w:p>
        </w:tc>
        <w:tc>
          <w:tcPr>
            <w:tcW w:w="1400" w:type="dxa"/>
            <w:vAlign w:val="bottom"/>
            <w:tcBorders>
              <w:bottom w:val="single" w:sz="8" w:color="999999"/>
              <w:right w:val="single" w:sz="8" w:color="999999"/>
            </w:tcBorders>
          </w:tcPr>
          <w:p>
            <w:pPr>
              <w:spacing w:after="0"/>
              <w:rPr>
                <w:sz w:val="21"/>
                <w:szCs w:val="21"/>
                <w:color w:val="auto"/>
              </w:rPr>
            </w:pPr>
          </w:p>
        </w:tc>
        <w:tc>
          <w:tcPr>
            <w:tcW w:w="1300" w:type="dxa"/>
            <w:vAlign w:val="bottom"/>
            <w:tcBorders>
              <w:bottom w:val="single" w:sz="8" w:color="999999"/>
              <w:right w:val="single" w:sz="8" w:color="999999"/>
            </w:tcBorders>
          </w:tcPr>
          <w:p>
            <w:pPr>
              <w:spacing w:after="0"/>
              <w:rPr>
                <w:sz w:val="21"/>
                <w:szCs w:val="21"/>
                <w:color w:val="auto"/>
              </w:rPr>
            </w:pPr>
          </w:p>
        </w:tc>
      </w:tr>
      <w:tr>
        <w:trPr>
          <w:trHeight w:val="223"/>
        </w:trPr>
        <w:tc>
          <w:tcPr>
            <w:tcW w:w="2680" w:type="dxa"/>
            <w:vAlign w:val="bottom"/>
            <w:tcBorders>
              <w:left w:val="single" w:sz="8" w:color="999999"/>
              <w:bottom w:val="single" w:sz="8" w:color="999999"/>
              <w:right w:val="single" w:sz="8" w:color="999999"/>
            </w:tcBorders>
          </w:tcPr>
          <w:p>
            <w:pPr>
              <w:ind w:left="120"/>
              <w:spacing w:after="0" w:line="223" w:lineRule="exact"/>
              <w:rPr>
                <w:sz w:val="20"/>
                <w:szCs w:val="20"/>
                <w:color w:val="auto"/>
              </w:rPr>
            </w:pPr>
            <w:r>
              <w:rPr>
                <w:rFonts w:ascii="Arial" w:cs="Arial" w:eastAsia="Arial" w:hAnsi="Arial"/>
                <w:sz w:val="20"/>
                <w:szCs w:val="20"/>
                <w:color w:val="auto"/>
              </w:rPr>
              <w:t>[***]</w:t>
            </w:r>
          </w:p>
        </w:tc>
        <w:tc>
          <w:tcPr>
            <w:tcW w:w="338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999999"/>
              <w:right w:val="single" w:sz="8" w:color="999999"/>
            </w:tcBorders>
          </w:tcPr>
          <w:p>
            <w:pPr>
              <w:ind w:left="400"/>
              <w:spacing w:after="0" w:line="223" w:lineRule="exact"/>
              <w:rPr>
                <w:sz w:val="20"/>
                <w:szCs w:val="20"/>
                <w:color w:val="auto"/>
              </w:rPr>
            </w:pPr>
            <w:r>
              <w:rPr>
                <w:rFonts w:ascii="Arial" w:cs="Arial" w:eastAsia="Arial" w:hAnsi="Arial"/>
                <w:sz w:val="20"/>
                <w:szCs w:val="20"/>
                <w:color w:val="auto"/>
              </w:rPr>
              <w:t>N/A</w:t>
            </w:r>
          </w:p>
        </w:tc>
        <w:tc>
          <w:tcPr>
            <w:tcW w:w="1400" w:type="dxa"/>
            <w:vAlign w:val="bottom"/>
            <w:tcBorders>
              <w:bottom w:val="single" w:sz="8" w:color="999999"/>
              <w:right w:val="single" w:sz="8" w:color="999999"/>
            </w:tcBorders>
          </w:tcPr>
          <w:p>
            <w:pPr>
              <w:jc w:val="right"/>
              <w:ind w:right="40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r>
      <w:tr>
        <w:trPr>
          <w:trHeight w:val="223"/>
        </w:trPr>
        <w:tc>
          <w:tcPr>
            <w:tcW w:w="2680" w:type="dxa"/>
            <w:vAlign w:val="bottom"/>
            <w:tcBorders>
              <w:left w:val="single" w:sz="8" w:color="999999"/>
              <w:bottom w:val="single" w:sz="8" w:color="999999"/>
              <w:right w:val="single" w:sz="8" w:color="999999"/>
            </w:tcBorders>
          </w:tcPr>
          <w:p>
            <w:pPr>
              <w:ind w:left="120"/>
              <w:spacing w:after="0" w:line="223" w:lineRule="exact"/>
              <w:rPr>
                <w:sz w:val="20"/>
                <w:szCs w:val="20"/>
                <w:color w:val="auto"/>
              </w:rPr>
            </w:pPr>
            <w:r>
              <w:rPr>
                <w:rFonts w:ascii="Arial" w:cs="Arial" w:eastAsia="Arial" w:hAnsi="Arial"/>
                <w:sz w:val="20"/>
                <w:szCs w:val="20"/>
                <w:color w:val="auto"/>
              </w:rPr>
              <w:t>[***]</w:t>
            </w:r>
          </w:p>
        </w:tc>
        <w:tc>
          <w:tcPr>
            <w:tcW w:w="338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999999"/>
              <w:right w:val="single" w:sz="8" w:color="999999"/>
            </w:tcBorders>
          </w:tcPr>
          <w:p>
            <w:pPr>
              <w:ind w:left="400"/>
              <w:spacing w:after="0" w:line="223" w:lineRule="exact"/>
              <w:rPr>
                <w:sz w:val="20"/>
                <w:szCs w:val="20"/>
                <w:color w:val="auto"/>
              </w:rPr>
            </w:pPr>
            <w:r>
              <w:rPr>
                <w:rFonts w:ascii="Arial" w:cs="Arial" w:eastAsia="Arial" w:hAnsi="Arial"/>
                <w:sz w:val="20"/>
                <w:szCs w:val="20"/>
                <w:color w:val="auto"/>
              </w:rPr>
              <w:t>N/A</w:t>
            </w:r>
          </w:p>
        </w:tc>
        <w:tc>
          <w:tcPr>
            <w:tcW w:w="1400" w:type="dxa"/>
            <w:vAlign w:val="bottom"/>
            <w:tcBorders>
              <w:bottom w:val="single" w:sz="8" w:color="999999"/>
              <w:right w:val="single" w:sz="8" w:color="999999"/>
            </w:tcBorders>
          </w:tcPr>
          <w:p>
            <w:pPr>
              <w:jc w:val="right"/>
              <w:ind w:right="40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Attachment A, and as limited by Section 4.8 in the IPLA, “Technical Data Package” means:</w:t>
      </w:r>
    </w:p>
    <w:p>
      <w:pPr>
        <w:spacing w:after="0" w:line="229" w:lineRule="exact"/>
        <w:rPr>
          <w:sz w:val="20"/>
          <w:szCs w:val="20"/>
          <w:color w:val="auto"/>
        </w:rPr>
      </w:pP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w:t>
      </w: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System specifications</w:t>
      </w: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w:t>
      </w:r>
    </w:p>
    <w:p>
      <w:pPr>
        <w:ind w:left="660" w:hanging="328"/>
        <w:spacing w:after="0"/>
        <w:tabs>
          <w:tab w:leader="none" w:pos="66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29" w:lineRule="exact"/>
        <w:rPr>
          <w:sz w:val="20"/>
          <w:szCs w:val="20"/>
          <w:color w:val="auto"/>
        </w:rPr>
      </w:pPr>
    </w:p>
    <w:p>
      <w:pPr>
        <w:ind w:left="660" w:right="20" w:hanging="328"/>
        <w:spacing w:after="0" w:line="247" w:lineRule="auto"/>
        <w:tabs>
          <w:tab w:leader="none" w:pos="66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660" w:right="20" w:hanging="328"/>
        <w:spacing w:after="0" w:line="244" w:lineRule="auto"/>
        <w:tabs>
          <w:tab w:leader="none" w:pos="66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Specifications, descriptions, Program Data Memos, test data in a ZIP file which can include a combination of DOC, XLS, and other data formats.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433" w:name="page434"/>
    <w:bookmarkEnd w:id="433"/>
    <w:p>
      <w:pPr>
        <w:jc w:val="center"/>
        <w:ind w:right="-460"/>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ind w:left="2920"/>
        <w:spacing w:after="0"/>
        <w:rPr>
          <w:sz w:val="20"/>
          <w:szCs w:val="20"/>
          <w:color w:val="auto"/>
        </w:rPr>
      </w:pPr>
      <w:r>
        <w:rPr>
          <w:rFonts w:ascii="Arial" w:cs="Arial" w:eastAsia="Arial" w:hAnsi="Arial"/>
          <w:sz w:val="18"/>
          <w:szCs w:val="18"/>
          <w:u w:val="single" w:color="auto"/>
          <w:color w:val="auto"/>
        </w:rPr>
        <w:t>Source Code to be Provided by AV to HAPSMobile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 Software and Firmware Tabular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155575</wp:posOffset>
            </wp:positionV>
            <wp:extent cx="5537835" cy="18345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553783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ind w:right="2959" w:firstLine="8"/>
        <w:spacing w:after="0" w:line="244" w:lineRule="auto"/>
        <w:tabs>
          <w:tab w:leader="none" w:pos="478" w:val="left"/>
        </w:tabs>
        <w:numPr>
          <w:ilvl w:val="0"/>
          <w:numId w:val="45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2" w:right="1440" w:bottom="1440" w:gutter="0" w:footer="0" w:header="0"/>
        </w:sectPr>
      </w:pPr>
    </w:p>
    <w:bookmarkStart w:id="434" w:name="page435"/>
    <w:bookmarkEnd w:id="434"/>
    <w:p>
      <w:pPr>
        <w:jc w:val="center"/>
        <w:ind w:right="-500"/>
        <w:spacing w:after="0"/>
        <w:rPr>
          <w:sz w:val="20"/>
          <w:szCs w:val="20"/>
          <w:color w:val="auto"/>
        </w:rPr>
      </w:pPr>
      <w:r>
        <w:rPr>
          <w:rFonts w:ascii="Arial" w:cs="Arial" w:eastAsia="Arial" w:hAnsi="Arial"/>
          <w:sz w:val="20"/>
          <w:szCs w:val="20"/>
          <w:b w:val="1"/>
          <w:bCs w:val="1"/>
          <w:color w:val="auto"/>
        </w:rPr>
        <w:t>Attachment C-2</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Statement of Work (SOW) for Phased Strategic Performance Extension of term</w:t>
      </w:r>
    </w:p>
    <w:p>
      <w:pPr>
        <w:spacing w:after="0" w:line="45"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January 2021 until March 2021</w:t>
      </w:r>
    </w:p>
    <w:p>
      <w:pPr>
        <w:spacing w:after="0" w:line="213" w:lineRule="exact"/>
        <w:rPr>
          <w:sz w:val="20"/>
          <w:szCs w:val="20"/>
          <w:color w:val="auto"/>
        </w:rPr>
      </w:pPr>
    </w:p>
    <w:p>
      <w:pPr>
        <w:ind w:right="1459"/>
        <w:spacing w:after="0" w:line="247" w:lineRule="auto"/>
        <w:rPr>
          <w:sz w:val="20"/>
          <w:szCs w:val="20"/>
          <w:color w:val="auto"/>
        </w:rPr>
      </w:pPr>
      <w:r>
        <w:rPr>
          <w:rFonts w:ascii="Arial" w:cs="Arial" w:eastAsia="Arial" w:hAnsi="Arial"/>
          <w:sz w:val="20"/>
          <w:szCs w:val="20"/>
          <w:color w:val="auto"/>
        </w:rPr>
        <w:t xml:space="preserve">This specific Attachment sets forth the unique added task by implementation of the Amendment #14. </w:t>
      </w:r>
      <w:r>
        <w:rPr>
          <w:rFonts w:ascii="Arial" w:cs="Arial" w:eastAsia="Arial" w:hAnsi="Arial"/>
          <w:sz w:val="20"/>
          <w:szCs w:val="20"/>
          <w:b w:val="1"/>
          <w:bCs w:val="1"/>
          <w:color w:val="auto"/>
        </w:rPr>
        <w:t>Scope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Purpose</w:t>
      </w:r>
    </w:p>
    <w:p>
      <w:pPr>
        <w:ind w:left="660"/>
        <w:spacing w:after="0"/>
        <w:rPr>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Background and Approach</w:t>
      </w:r>
    </w:p>
    <w:p>
      <w:pPr>
        <w:ind w:left="1300"/>
        <w:spacing w:after="0"/>
        <w:rPr>
          <w:sz w:val="20"/>
          <w:szCs w:val="20"/>
          <w:color w:val="auto"/>
        </w:rPr>
      </w:pPr>
      <w:r>
        <w:rPr>
          <w:rFonts w:ascii="Arial" w:cs="Arial" w:eastAsia="Arial" w:hAnsi="Arial"/>
          <w:sz w:val="20"/>
          <w:szCs w:val="20"/>
          <w:b w:val="1"/>
          <w:bCs w:val="1"/>
          <w:color w:val="auto"/>
        </w:rPr>
        <w:t>Background:</w:t>
      </w:r>
    </w:p>
    <w:p>
      <w:pPr>
        <w:ind w:left="1300"/>
        <w:spacing w:after="0"/>
        <w:rPr>
          <w:sz w:val="20"/>
          <w:szCs w:val="20"/>
          <w:color w:val="auto"/>
        </w:rPr>
      </w:pPr>
      <w:r>
        <w:rPr>
          <w:rFonts w:ascii="Arial" w:cs="Arial" w:eastAsia="Arial" w:hAnsi="Arial"/>
          <w:sz w:val="20"/>
          <w:szCs w:val="20"/>
          <w:color w:val="auto"/>
        </w:rPr>
        <w:t>[***].</w:t>
      </w:r>
    </w:p>
    <w:p>
      <w:pPr>
        <w:ind w:left="1300"/>
        <w:spacing w:after="0"/>
        <w:rPr>
          <w:sz w:val="20"/>
          <w:szCs w:val="20"/>
          <w:color w:val="auto"/>
        </w:rPr>
      </w:pPr>
      <w:r>
        <w:rPr>
          <w:rFonts w:ascii="Arial" w:cs="Arial" w:eastAsia="Arial" w:hAnsi="Arial"/>
          <w:sz w:val="20"/>
          <w:szCs w:val="20"/>
          <w:b w:val="1"/>
          <w:bCs w:val="1"/>
          <w:color w:val="auto"/>
        </w:rPr>
        <w:t>Approach:</w:t>
      </w:r>
    </w:p>
    <w:p>
      <w:pPr>
        <w:ind w:left="1300"/>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Assumptions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ind w:left="980" w:hanging="324"/>
        <w:spacing w:after="0"/>
        <w:tabs>
          <w:tab w:leader="none" w:pos="980" w:val="left"/>
        </w:tabs>
        <w:numPr>
          <w:ilvl w:val="1"/>
          <w:numId w:val="454"/>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980" w:hanging="324"/>
        <w:spacing w:after="0"/>
        <w:tabs>
          <w:tab w:leader="none" w:pos="980" w:val="left"/>
        </w:tabs>
        <w:numPr>
          <w:ilvl w:val="1"/>
          <w:numId w:val="454"/>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1"/>
          <w:numId w:val="454"/>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660" w:hanging="652"/>
        <w:spacing w:after="0"/>
        <w:tabs>
          <w:tab w:leader="none" w:pos="660" w:val="left"/>
        </w:tabs>
        <w:numPr>
          <w:ilvl w:val="0"/>
          <w:numId w:val="454"/>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Initial Condition</w:t>
      </w:r>
      <w:r>
        <w:rPr>
          <w:rFonts w:ascii="Arial" w:cs="Arial" w:eastAsia="Arial" w:hAnsi="Arial"/>
          <w:sz w:val="20"/>
          <w:szCs w:val="20"/>
          <w:color w:val="auto"/>
        </w:rPr>
        <w:t>: [***].</w:t>
      </w:r>
    </w:p>
    <w:p>
      <w:pPr>
        <w:spacing w:after="0" w:line="20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w:t>
      </w:r>
    </w:p>
    <w:p>
      <w:pPr>
        <w:spacing w:after="0" w:line="21" w:lineRule="exact"/>
        <w:rPr>
          <w:rFonts w:ascii="Arial" w:cs="Arial" w:eastAsia="Arial" w:hAnsi="Arial"/>
          <w:sz w:val="20"/>
          <w:szCs w:val="20"/>
          <w:b w:val="1"/>
          <w:bCs w:val="1"/>
          <w:color w:val="auto"/>
        </w:rPr>
      </w:pPr>
    </w:p>
    <w:p>
      <w:pPr>
        <w:ind w:left="660" w:right="8199"/>
        <w:spacing w:after="0" w:line="405" w:lineRule="auto"/>
        <w:rPr>
          <w:rFonts w:ascii="Arial" w:cs="Arial" w:eastAsia="Arial" w:hAnsi="Arial"/>
          <w:sz w:val="20"/>
          <w:szCs w:val="20"/>
          <w:b w:val="1"/>
          <w:bCs w:val="1"/>
          <w:color w:val="auto"/>
        </w:rPr>
      </w:pPr>
      <w:r>
        <w:rPr>
          <w:rFonts w:ascii="Arial" w:cs="Arial" w:eastAsia="Arial" w:hAnsi="Arial"/>
          <w:sz w:val="15"/>
          <w:szCs w:val="15"/>
          <w:b w:val="1"/>
          <w:bCs w:val="1"/>
          <w:color w:val="auto"/>
        </w:rPr>
        <w:t xml:space="preserve">Process </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67945</wp:posOffset>
            </wp:positionV>
            <wp:extent cx="4371975" cy="21088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437197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Liaison Briefing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ind w:right="2959" w:firstLine="8"/>
        <w:spacing w:after="0" w:line="244" w:lineRule="auto"/>
        <w:tabs>
          <w:tab w:leader="none" w:pos="478" w:val="left"/>
        </w:tabs>
        <w:numPr>
          <w:ilvl w:val="0"/>
          <w:numId w:val="45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35" w:name="page436"/>
    <w:bookmarkEnd w:id="435"/>
    <w:p>
      <w:pPr>
        <w:ind w:left="1300" w:hanging="320"/>
        <w:spacing w:after="0"/>
        <w:tabs>
          <w:tab w:leader="none" w:pos="130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660"/>
        <w:spacing w:after="0"/>
        <w:rPr>
          <w:rFonts w:ascii="Arial" w:cs="Arial" w:eastAsia="Arial" w:hAnsi="Arial"/>
          <w:sz w:val="20"/>
          <w:szCs w:val="20"/>
          <w:color w:val="auto"/>
        </w:rPr>
      </w:pPr>
      <w:r>
        <w:rPr>
          <w:rFonts w:ascii="Arial" w:cs="Arial" w:eastAsia="Arial" w:hAnsi="Arial"/>
          <w:sz w:val="20"/>
          <w:szCs w:val="20"/>
          <w:color w:val="auto"/>
        </w:rPr>
        <w:t>[***]</w:t>
      </w:r>
    </w:p>
    <w:p>
      <w:pPr>
        <w:ind w:left="1460" w:hanging="318"/>
        <w:spacing w:after="0"/>
        <w:tabs>
          <w:tab w:leader="none" w:pos="1460" w:val="left"/>
        </w:tabs>
        <w:numPr>
          <w:ilvl w:val="1"/>
          <w:numId w:val="456"/>
        </w:numPr>
        <w:rPr>
          <w:rFonts w:ascii="Arial" w:cs="Arial" w:eastAsia="Arial" w:hAnsi="Arial"/>
          <w:sz w:val="20"/>
          <w:szCs w:val="20"/>
          <w:color w:val="auto"/>
        </w:rPr>
      </w:pPr>
      <w:r>
        <w:rPr>
          <w:rFonts w:ascii="Arial" w:cs="Arial" w:eastAsia="Arial" w:hAnsi="Arial"/>
          <w:sz w:val="20"/>
          <w:szCs w:val="20"/>
          <w:color w:val="auto"/>
        </w:rPr>
        <w:t>[***].</w:t>
      </w:r>
    </w:p>
    <w:p>
      <w:pPr>
        <w:ind w:left="1460" w:hanging="318"/>
        <w:spacing w:after="0"/>
        <w:tabs>
          <w:tab w:leader="none" w:pos="1460" w:val="left"/>
        </w:tabs>
        <w:numPr>
          <w:ilvl w:val="1"/>
          <w:numId w:val="456"/>
        </w:numPr>
        <w:rPr>
          <w:rFonts w:ascii="Arial" w:cs="Arial" w:eastAsia="Arial" w:hAnsi="Arial"/>
          <w:sz w:val="20"/>
          <w:szCs w:val="20"/>
          <w:color w:val="auto"/>
        </w:rPr>
      </w:pPr>
      <w:r>
        <w:rPr>
          <w:rFonts w:ascii="Arial" w:cs="Arial" w:eastAsia="Arial" w:hAnsi="Arial"/>
          <w:sz w:val="20"/>
          <w:szCs w:val="20"/>
          <w:color w:val="auto"/>
        </w:rPr>
        <w:t>[***].</w:t>
      </w:r>
    </w:p>
    <w:p>
      <w:pPr>
        <w:ind w:left="1460" w:hanging="318"/>
        <w:spacing w:after="0"/>
        <w:tabs>
          <w:tab w:leader="none" w:pos="1460" w:val="left"/>
        </w:tabs>
        <w:numPr>
          <w:ilvl w:val="1"/>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ind w:left="1960" w:hanging="332"/>
        <w:spacing w:after="0"/>
        <w:tabs>
          <w:tab w:leader="none" w:pos="1960" w:val="left"/>
        </w:tabs>
        <w:numPr>
          <w:ilvl w:val="2"/>
          <w:numId w:val="456"/>
        </w:numPr>
        <w:rPr>
          <w:rFonts w:ascii="Arial" w:cs="Arial" w:eastAsia="Arial" w:hAnsi="Arial"/>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External Review</w:t>
      </w:r>
    </w:p>
    <w:p>
      <w:pPr>
        <w:spacing w:after="0" w:line="21" w:lineRule="exact"/>
        <w:rPr>
          <w:sz w:val="20"/>
          <w:szCs w:val="20"/>
          <w:color w:val="auto"/>
        </w:rPr>
      </w:pPr>
    </w:p>
    <w:p>
      <w:pPr>
        <w:ind w:left="1300" w:hanging="320"/>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20"/>
          <w:szCs w:val="20"/>
          <w:color w:val="auto"/>
        </w:rPr>
        <w:t>[***].</w:t>
      </w:r>
    </w:p>
    <w:p>
      <w:pPr>
        <w:ind w:left="1300" w:hanging="320"/>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Deliverables</w:t>
      </w:r>
    </w:p>
    <w:p>
      <w:pPr>
        <w:spacing w:after="0" w:line="21" w:lineRule="exact"/>
        <w:rPr>
          <w:sz w:val="20"/>
          <w:szCs w:val="20"/>
          <w:color w:val="auto"/>
        </w:rPr>
      </w:pPr>
    </w:p>
    <w:p>
      <w:pPr>
        <w:ind w:left="1300" w:hanging="320"/>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20"/>
          <w:szCs w:val="20"/>
          <w:color w:val="auto"/>
        </w:rPr>
        <w:t>[***]</w:t>
      </w:r>
    </w:p>
    <w:p>
      <w:pPr>
        <w:ind w:left="1300" w:hanging="320"/>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20"/>
          <w:szCs w:val="20"/>
          <w:color w:val="auto"/>
        </w:rPr>
        <w:t>[***]</w:t>
      </w:r>
    </w:p>
    <w:p>
      <w:pPr>
        <w:ind w:left="1300" w:hanging="320"/>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20"/>
          <w:szCs w:val="20"/>
          <w:color w:val="auto"/>
        </w:rPr>
        <w:t>[***]</w:t>
      </w:r>
    </w:p>
    <w:p>
      <w:pPr>
        <w:ind w:left="1960" w:hanging="332"/>
        <w:spacing w:after="0"/>
        <w:tabs>
          <w:tab w:leader="none" w:pos="196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p>
    <w:p>
      <w:pPr>
        <w:ind w:left="1960" w:hanging="332"/>
        <w:spacing w:after="0"/>
        <w:tabs>
          <w:tab w:leader="none" w:pos="196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p>
    <w:p>
      <w:pPr>
        <w:ind w:left="2600" w:hanging="324"/>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300" w:hanging="320"/>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960" w:hanging="332"/>
        <w:spacing w:after="0"/>
        <w:tabs>
          <w:tab w:leader="none" w:pos="1960" w:val="left"/>
        </w:tabs>
        <w:numPr>
          <w:ilvl w:val="1"/>
          <w:numId w:val="45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960" w:hanging="332"/>
        <w:spacing w:after="0"/>
        <w:tabs>
          <w:tab w:leader="none" w:pos="1960" w:val="left"/>
        </w:tabs>
        <w:numPr>
          <w:ilvl w:val="1"/>
          <w:numId w:val="45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sectPr>
      </w:pPr>
    </w:p>
    <w:bookmarkStart w:id="436" w:name="page437"/>
    <w:bookmarkEnd w:id="436"/>
    <w:p>
      <w:pPr>
        <w:jc w:val="center"/>
        <w:ind w:right="-440"/>
        <w:spacing w:after="0"/>
        <w:rPr>
          <w:sz w:val="20"/>
          <w:szCs w:val="20"/>
          <w:color w:val="auto"/>
        </w:rPr>
      </w:pPr>
      <w:r>
        <w:rPr>
          <w:rFonts w:ascii="Arial" w:cs="Arial" w:eastAsia="Arial" w:hAnsi="Arial"/>
          <w:sz w:val="20"/>
          <w:szCs w:val="20"/>
          <w:b w:val="1"/>
          <w:bCs w:val="1"/>
          <w:color w:val="auto"/>
        </w:rPr>
        <w:t>ATTACHMENT E-1</w:t>
      </w:r>
    </w:p>
    <w:p>
      <w:pPr>
        <w:spacing w:after="0" w:line="148"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Flight Test Site Requirement Description</w:t>
      </w:r>
    </w:p>
    <w:p>
      <w:pPr>
        <w:spacing w:after="0" w:line="14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(This Attachment E-1 is revised in its entirety by the Amendment No.14 to the DDA)</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Following facility, utility, service and related availability will be provided at SA, NM.</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Subcontractor names of AV are listed, but it is anticipated for the convenience of SA operation only.</w:t>
      </w:r>
    </w:p>
    <w:p>
      <w:pPr>
        <w:spacing w:after="0" w:line="20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Product Purchasing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HAPSMobile will own following object procured from [***]:</w:t>
      </w:r>
    </w:p>
    <w:p>
      <w:pPr>
        <w:spacing w:after="0" w:line="202" w:lineRule="exact"/>
        <w:rPr>
          <w:sz w:val="20"/>
          <w:szCs w:val="20"/>
          <w:color w:val="auto"/>
        </w:rPr>
      </w:pPr>
    </w:p>
    <w:p>
      <w:pPr>
        <w:ind w:left="720" w:hanging="374"/>
        <w:spacing w:after="0"/>
        <w:tabs>
          <w:tab w:leader="none" w:pos="72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w:t>
      </w:r>
    </w:p>
    <w:p>
      <w:pPr>
        <w:ind w:left="700" w:hanging="368"/>
        <w:spacing w:after="0"/>
        <w:tabs>
          <w:tab w:leader="none" w:pos="700" w:val="left"/>
        </w:tabs>
        <w:numPr>
          <w:ilvl w:val="0"/>
          <w:numId w:val="460"/>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2.Service Provisioning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AV’s subcontractor name: Spaceport America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2-1-1. Lease &amp; Services ( Flight services PoP [***])</w:t>
      </w:r>
    </w:p>
    <w:p>
      <w:pPr>
        <w:spacing w:after="0" w:line="202" w:lineRule="exact"/>
        <w:rPr>
          <w:sz w:val="20"/>
          <w:szCs w:val="20"/>
          <w:color w:val="auto"/>
        </w:rPr>
      </w:pPr>
    </w:p>
    <w:p>
      <w:pPr>
        <w:ind w:left="720" w:hanging="374"/>
        <w:spacing w:after="0"/>
        <w:tabs>
          <w:tab w:leader="none" w:pos="72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w:t>
      </w:r>
    </w:p>
    <w:p>
      <w:pPr>
        <w:ind w:left="720" w:right="6039" w:hanging="374"/>
        <w:spacing w:after="0" w:line="343" w:lineRule="auto"/>
        <w:tabs>
          <w:tab w:leader="none" w:pos="734" w:val="left"/>
        </w:tabs>
        <w:numPr>
          <w:ilvl w:val="0"/>
          <w:numId w:val="461"/>
        </w:numPr>
        <w:rPr>
          <w:rFonts w:ascii="Arial" w:cs="Arial" w:eastAsia="Arial" w:hAnsi="Arial"/>
          <w:sz w:val="20"/>
          <w:szCs w:val="20"/>
          <w:color w:val="auto"/>
        </w:rPr>
      </w:pPr>
      <w:r>
        <w:rPr>
          <w:rFonts w:ascii="Arial" w:cs="Arial" w:eastAsia="Arial" w:hAnsi="Arial"/>
          <w:sz w:val="20"/>
          <w:szCs w:val="20"/>
          <w:color w:val="auto"/>
        </w:rPr>
        <w:t>Details on what is being provided: o Summary: [***].</w:t>
      </w:r>
    </w:p>
    <w:p>
      <w:pPr>
        <w:spacing w:after="0" w:line="2" w:lineRule="exact"/>
        <w:rPr>
          <w:sz w:val="20"/>
          <w:szCs w:val="20"/>
          <w:color w:val="auto"/>
        </w:rPr>
      </w:pPr>
    </w:p>
    <w:p>
      <w:pPr>
        <w:ind w:left="1060" w:hanging="363"/>
        <w:spacing w:after="0"/>
        <w:tabs>
          <w:tab w:leader="none" w:pos="1060" w:val="left"/>
        </w:tabs>
        <w:numPr>
          <w:ilvl w:val="2"/>
          <w:numId w:val="462"/>
        </w:numPr>
        <w:rPr>
          <w:rFonts w:ascii="Arial" w:cs="Arial" w:eastAsia="Arial" w:hAnsi="Arial"/>
          <w:sz w:val="20"/>
          <w:szCs w:val="20"/>
          <w:color w:val="auto"/>
        </w:rPr>
      </w:pPr>
      <w:r>
        <w:rPr>
          <w:rFonts w:ascii="Arial" w:cs="Arial" w:eastAsia="Arial" w:hAnsi="Arial"/>
          <w:sz w:val="20"/>
          <w:szCs w:val="20"/>
          <w:color w:val="auto"/>
        </w:rPr>
        <w:t>Summary: [***].</w:t>
      </w:r>
    </w:p>
    <w:p>
      <w:pPr>
        <w:spacing w:after="0" w:line="9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2-1-2. Other Service</w:t>
      </w:r>
    </w:p>
    <w:p>
      <w:pPr>
        <w:spacing w:after="0" w:line="202" w:lineRule="exact"/>
        <w:rPr>
          <w:rFonts w:ascii="Arial" w:cs="Arial" w:eastAsia="Arial" w:hAnsi="Arial"/>
          <w:sz w:val="20"/>
          <w:szCs w:val="20"/>
          <w:color w:val="auto"/>
        </w:rPr>
      </w:pP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t>
      </w:r>
    </w:p>
    <w:p>
      <w:pPr>
        <w:ind w:left="700" w:hanging="368"/>
        <w:spacing w:after="0"/>
        <w:tabs>
          <w:tab w:leader="none" w:pos="700" w:val="left"/>
        </w:tabs>
        <w:numPr>
          <w:ilvl w:val="0"/>
          <w:numId w:val="462"/>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 AV’s subcontractor name: </w:t>
      </w:r>
      <w:r>
        <w:rPr>
          <w:rFonts w:ascii="Arial" w:cs="Arial" w:eastAsia="Arial" w:hAnsi="Arial"/>
          <w:sz w:val="20"/>
          <w:szCs w:val="20"/>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2-2-1. Labor/Material Services: [***]</w:t>
      </w:r>
    </w:p>
    <w:p>
      <w:pPr>
        <w:spacing w:after="0" w:line="202" w:lineRule="exact"/>
        <w:rPr>
          <w:sz w:val="20"/>
          <w:szCs w:val="20"/>
          <w:color w:val="auto"/>
        </w:rPr>
      </w:pPr>
    </w:p>
    <w:p>
      <w:pPr>
        <w:ind w:left="720" w:hanging="374"/>
        <w:spacing w:after="0"/>
        <w:tabs>
          <w:tab w:leader="none" w:pos="720" w:val="left"/>
        </w:tabs>
        <w:numPr>
          <w:ilvl w:val="0"/>
          <w:numId w:val="463"/>
        </w:numPr>
        <w:rPr>
          <w:rFonts w:ascii="Arial" w:cs="Arial" w:eastAsia="Arial" w:hAnsi="Arial"/>
          <w:sz w:val="20"/>
          <w:szCs w:val="20"/>
          <w:color w:val="auto"/>
        </w:rPr>
      </w:pPr>
      <w:r>
        <w:rPr>
          <w:rFonts w:ascii="Arial" w:cs="Arial" w:eastAsia="Arial" w:hAnsi="Arial"/>
          <w:sz w:val="20"/>
          <w:szCs w:val="20"/>
          <w:color w:val="auto"/>
        </w:rPr>
        <w:t>PoP [***]</w:t>
      </w:r>
    </w:p>
    <w:p>
      <w:pPr>
        <w:spacing w:after="0" w:line="15" w:lineRule="exact"/>
        <w:rPr>
          <w:rFonts w:ascii="Arial" w:cs="Arial" w:eastAsia="Arial" w:hAnsi="Arial"/>
          <w:sz w:val="20"/>
          <w:szCs w:val="20"/>
          <w:color w:val="auto"/>
        </w:rPr>
      </w:pPr>
    </w:p>
    <w:p>
      <w:pPr>
        <w:ind w:left="720" w:right="6039" w:hanging="374"/>
        <w:spacing w:after="0" w:line="343" w:lineRule="auto"/>
        <w:tabs>
          <w:tab w:leader="none" w:pos="734" w:val="left"/>
        </w:tabs>
        <w:numPr>
          <w:ilvl w:val="0"/>
          <w:numId w:val="463"/>
        </w:numPr>
        <w:rPr>
          <w:rFonts w:ascii="Arial" w:cs="Arial" w:eastAsia="Arial" w:hAnsi="Arial"/>
          <w:sz w:val="20"/>
          <w:szCs w:val="20"/>
          <w:color w:val="auto"/>
        </w:rPr>
      </w:pPr>
      <w:r>
        <w:rPr>
          <w:rFonts w:ascii="Arial" w:cs="Arial" w:eastAsia="Arial" w:hAnsi="Arial"/>
          <w:sz w:val="20"/>
          <w:szCs w:val="20"/>
          <w:color w:val="auto"/>
        </w:rPr>
        <w:t>Details on what is being provided: o Summary: [***].</w:t>
      </w:r>
    </w:p>
    <w:p>
      <w:pPr>
        <w:spacing w:after="0" w:line="1"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o   Summary: [***].</w:t>
      </w:r>
    </w:p>
    <w:p>
      <w:pPr>
        <w:spacing w:after="0" w:line="200" w:lineRule="exact"/>
        <w:rPr>
          <w:sz w:val="20"/>
          <w:szCs w:val="20"/>
          <w:color w:val="auto"/>
        </w:rPr>
      </w:pPr>
    </w:p>
    <w:p>
      <w:pPr>
        <w:spacing w:after="0" w:line="34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37" w:name="page438"/>
    <w:bookmarkEnd w:id="437"/>
    <w:p>
      <w:pPr>
        <w:spacing w:after="0"/>
        <w:rPr>
          <w:sz w:val="20"/>
          <w:szCs w:val="20"/>
          <w:color w:val="auto"/>
        </w:rPr>
      </w:pPr>
      <w:r>
        <w:rPr>
          <w:rFonts w:ascii="Arial" w:cs="Arial" w:eastAsia="Arial" w:hAnsi="Arial"/>
          <w:sz w:val="20"/>
          <w:szCs w:val="20"/>
          <w:color w:val="auto"/>
        </w:rPr>
        <w:t>2-2-2. Other Service</w:t>
      </w:r>
    </w:p>
    <w:p>
      <w:pPr>
        <w:spacing w:after="0" w:line="148" w:lineRule="exact"/>
        <w:rPr>
          <w:sz w:val="20"/>
          <w:szCs w:val="20"/>
          <w:color w:val="auto"/>
        </w:rPr>
      </w:pP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2-3. AV’s subcontractor name: </w:t>
      </w:r>
      <w:r>
        <w:rPr>
          <w:rFonts w:ascii="Arial" w:cs="Arial" w:eastAsia="Arial" w:hAnsi="Arial"/>
          <w:sz w:val="20"/>
          <w:szCs w:val="20"/>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2-3-1. Labor Services</w:t>
      </w:r>
    </w:p>
    <w:p>
      <w:pPr>
        <w:spacing w:after="0" w:line="108" w:lineRule="exact"/>
        <w:rPr>
          <w:sz w:val="20"/>
          <w:szCs w:val="20"/>
          <w:color w:val="auto"/>
        </w:rPr>
      </w:pPr>
    </w:p>
    <w:p>
      <w:pPr>
        <w:ind w:left="720" w:hanging="374"/>
        <w:spacing w:after="0"/>
        <w:tabs>
          <w:tab w:leader="none" w:pos="720" w:val="left"/>
        </w:tabs>
        <w:numPr>
          <w:ilvl w:val="0"/>
          <w:numId w:val="465"/>
        </w:numPr>
        <w:rPr>
          <w:rFonts w:ascii="Arial" w:cs="Arial" w:eastAsia="Arial" w:hAnsi="Arial"/>
          <w:sz w:val="20"/>
          <w:szCs w:val="20"/>
          <w:color w:val="auto"/>
        </w:rPr>
      </w:pPr>
      <w:r>
        <w:rPr>
          <w:rFonts w:ascii="Arial" w:cs="Arial" w:eastAsia="Arial" w:hAnsi="Arial"/>
          <w:sz w:val="20"/>
          <w:szCs w:val="20"/>
          <w:color w:val="auto"/>
        </w:rPr>
        <w:t>Target COA submission date is [***].</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0"/>
          <w:numId w:val="465"/>
        </w:numPr>
        <w:rPr>
          <w:rFonts w:ascii="Arial" w:cs="Arial" w:eastAsia="Arial" w:hAnsi="Arial"/>
          <w:sz w:val="20"/>
          <w:szCs w:val="20"/>
          <w:color w:val="auto"/>
        </w:rPr>
      </w:pPr>
      <w:r>
        <w:rPr>
          <w:rFonts w:ascii="Arial" w:cs="Arial" w:eastAsia="Arial" w:hAnsi="Arial"/>
          <w:sz w:val="20"/>
          <w:szCs w:val="20"/>
          <w:color w:val="auto"/>
        </w:rPr>
        <w:t>Details on what is being provided:</w:t>
      </w:r>
    </w:p>
    <w:p>
      <w:pPr>
        <w:spacing w:after="0" w:line="92" w:lineRule="exact"/>
        <w:rPr>
          <w:sz w:val="20"/>
          <w:szCs w:val="20"/>
          <w:color w:val="auto"/>
        </w:rPr>
      </w:pPr>
    </w:p>
    <w:p>
      <w:pPr>
        <w:ind w:left="1080" w:hanging="370"/>
        <w:spacing w:after="0"/>
        <w:tabs>
          <w:tab w:leader="none" w:pos="1080" w:val="left"/>
        </w:tabs>
        <w:numPr>
          <w:ilvl w:val="1"/>
          <w:numId w:val="466"/>
        </w:numPr>
        <w:rPr>
          <w:rFonts w:ascii="Arial" w:cs="Arial" w:eastAsia="Arial" w:hAnsi="Arial"/>
          <w:sz w:val="20"/>
          <w:szCs w:val="20"/>
          <w:color w:val="auto"/>
        </w:rPr>
      </w:pPr>
      <w:r>
        <w:rPr>
          <w:rFonts w:ascii="Arial" w:cs="Arial" w:eastAsia="Arial" w:hAnsi="Arial"/>
          <w:sz w:val="20"/>
          <w:szCs w:val="20"/>
          <w:color w:val="auto"/>
        </w:rPr>
        <w:t>Summary: [***].</w:t>
      </w:r>
    </w:p>
    <w:p>
      <w:pPr>
        <w:spacing w:after="0" w:line="10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2-3-2. Other Service</w:t>
      </w:r>
    </w:p>
    <w:p>
      <w:pPr>
        <w:spacing w:after="0" w:line="107" w:lineRule="exact"/>
        <w:rPr>
          <w:rFonts w:ascii="Arial" w:cs="Arial" w:eastAsia="Arial" w:hAnsi="Arial"/>
          <w:sz w:val="20"/>
          <w:szCs w:val="20"/>
          <w:color w:val="auto"/>
        </w:rPr>
      </w:pPr>
    </w:p>
    <w:p>
      <w:pPr>
        <w:ind w:left="720" w:hanging="374"/>
        <w:spacing w:after="0"/>
        <w:tabs>
          <w:tab w:leader="none" w:pos="720" w:val="left"/>
        </w:tabs>
        <w:numPr>
          <w:ilvl w:val="0"/>
          <w:numId w:val="466"/>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0"/>
          <w:numId w:val="466"/>
        </w:numPr>
        <w:rPr>
          <w:rFonts w:ascii="Arial" w:cs="Arial" w:eastAsia="Arial" w:hAnsi="Arial"/>
          <w:sz w:val="20"/>
          <w:szCs w:val="20"/>
          <w:color w:val="auto"/>
        </w:rPr>
      </w:pPr>
      <w:r>
        <w:rPr>
          <w:rFonts w:ascii="Arial" w:cs="Arial" w:eastAsia="Arial" w:hAnsi="Arial"/>
          <w:sz w:val="20"/>
          <w:szCs w:val="20"/>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2-4. AV’s subcontractor name: </w:t>
      </w:r>
      <w:r>
        <w:rPr>
          <w:rFonts w:ascii="Arial" w:cs="Arial" w:eastAsia="Arial" w:hAnsi="Arial"/>
          <w:sz w:val="20"/>
          <w:szCs w:val="20"/>
          <w:color w:val="auto"/>
        </w:rPr>
        <w:t>[***]</w:t>
      </w:r>
    </w:p>
    <w:p>
      <w:pPr>
        <w:spacing w:after="0" w:line="114" w:lineRule="exact"/>
        <w:rPr>
          <w:sz w:val="20"/>
          <w:szCs w:val="20"/>
          <w:color w:val="auto"/>
        </w:rPr>
      </w:pPr>
    </w:p>
    <w:p>
      <w:pPr>
        <w:ind w:left="720" w:right="3599" w:hanging="374"/>
        <w:spacing w:after="0" w:line="247" w:lineRule="auto"/>
        <w:tabs>
          <w:tab w:leader="none" w:pos="734" w:val="left"/>
        </w:tabs>
        <w:numPr>
          <w:ilvl w:val="0"/>
          <w:numId w:val="467"/>
        </w:numPr>
        <w:rPr>
          <w:rFonts w:ascii="Arial" w:cs="Arial" w:eastAsia="Arial" w:hAnsi="Arial"/>
          <w:sz w:val="20"/>
          <w:szCs w:val="20"/>
          <w:color w:val="auto"/>
        </w:rPr>
      </w:pPr>
      <w:r>
        <w:rPr>
          <w:rFonts w:ascii="Arial" w:cs="Arial" w:eastAsia="Arial" w:hAnsi="Arial"/>
          <w:sz w:val="20"/>
          <w:szCs w:val="20"/>
          <w:color w:val="auto"/>
        </w:rPr>
        <w:t>2-4-1. Labor Moving Services Details on what is being provided: o [***]</w:t>
      </w:r>
    </w:p>
    <w:p>
      <w:pPr>
        <w:spacing w:after="0" w:line="1" w:lineRule="exact"/>
        <w:rPr>
          <w:rFonts w:ascii="Arial" w:cs="Arial" w:eastAsia="Arial" w:hAnsi="Arial"/>
          <w:sz w:val="20"/>
          <w:szCs w:val="20"/>
          <w:color w:val="auto"/>
        </w:rPr>
      </w:pPr>
    </w:p>
    <w:p>
      <w:pPr>
        <w:jc w:val="both"/>
        <w:ind w:left="720" w:right="7959"/>
        <w:spacing w:after="0" w:line="241" w:lineRule="auto"/>
        <w:rPr>
          <w:rFonts w:ascii="Arial" w:cs="Arial" w:eastAsia="Arial" w:hAnsi="Arial"/>
          <w:sz w:val="20"/>
          <w:szCs w:val="20"/>
          <w:color w:val="auto"/>
        </w:rPr>
      </w:pPr>
      <w:r>
        <w:rPr>
          <w:rFonts w:ascii="Arial" w:cs="Arial" w:eastAsia="Arial" w:hAnsi="Arial"/>
          <w:sz w:val="20"/>
          <w:szCs w:val="20"/>
          <w:color w:val="auto"/>
        </w:rPr>
        <w:t>o [***] o [***] o [***]</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2-5. AV’s subcontractor name: </w:t>
      </w:r>
      <w:r>
        <w:rPr>
          <w:rFonts w:ascii="Arial" w:cs="Arial" w:eastAsia="Arial" w:hAnsi="Arial"/>
          <w:sz w:val="20"/>
          <w:szCs w:val="20"/>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2-5-1. [***]</w:t>
      </w:r>
    </w:p>
    <w:p>
      <w:pPr>
        <w:spacing w:after="0" w:line="108" w:lineRule="exact"/>
        <w:rPr>
          <w:sz w:val="20"/>
          <w:szCs w:val="20"/>
          <w:color w:val="auto"/>
        </w:rPr>
      </w:pPr>
    </w:p>
    <w:p>
      <w:pPr>
        <w:ind w:left="720" w:hanging="374"/>
        <w:spacing w:after="0"/>
        <w:tabs>
          <w:tab w:leader="none" w:pos="720" w:val="left"/>
        </w:tabs>
        <w:numPr>
          <w:ilvl w:val="0"/>
          <w:numId w:val="468"/>
        </w:numPr>
        <w:rPr>
          <w:rFonts w:ascii="Arial" w:cs="Arial" w:eastAsia="Arial" w:hAnsi="Arial"/>
          <w:sz w:val="20"/>
          <w:szCs w:val="20"/>
          <w:color w:val="auto"/>
        </w:rPr>
      </w:pPr>
      <w:r>
        <w:rPr>
          <w:rFonts w:ascii="Arial" w:cs="Arial" w:eastAsia="Arial" w:hAnsi="Arial"/>
          <w:sz w:val="20"/>
          <w:szCs w:val="20"/>
          <w:color w:val="auto"/>
        </w:rPr>
        <w:t>Rental service: [***]</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2-5-2. Details on what is being provided:</w:t>
      </w:r>
    </w:p>
    <w:p>
      <w:pPr>
        <w:spacing w:after="0" w:line="108" w:lineRule="exact"/>
        <w:rPr>
          <w:sz w:val="20"/>
          <w:szCs w:val="20"/>
          <w:color w:val="auto"/>
        </w:rPr>
      </w:pP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ind w:left="720" w:hanging="374"/>
        <w:spacing w:after="0"/>
        <w:tabs>
          <w:tab w:leader="none" w:pos="72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9" w:right="1440" w:bottom="1440" w:gutter="0" w:footer="0" w:header="0"/>
        </w:sectPr>
      </w:pPr>
    </w:p>
    <w:bookmarkStart w:id="438" w:name="page439"/>
    <w:bookmarkEnd w:id="438"/>
    <w:p>
      <w:pPr>
        <w:spacing w:after="0"/>
        <w:rPr>
          <w:sz w:val="20"/>
          <w:szCs w:val="20"/>
          <w:color w:val="auto"/>
        </w:rPr>
      </w:pPr>
      <w:r>
        <w:rPr>
          <w:rFonts w:ascii="Arial" w:cs="Arial" w:eastAsia="Arial" w:hAnsi="Arial"/>
          <w:sz w:val="20"/>
          <w:szCs w:val="20"/>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2-6. AV’s subcontractor name: </w:t>
      </w:r>
      <w:r>
        <w:rPr>
          <w:rFonts w:ascii="Arial" w:cs="Arial" w:eastAsia="Arial" w:hAnsi="Arial"/>
          <w:sz w:val="20"/>
          <w:szCs w:val="20"/>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2-6-1. [***]</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2-7. AV’s subcontractor name: </w:t>
      </w:r>
      <w:r>
        <w:rPr>
          <w:rFonts w:ascii="Arial" w:cs="Arial" w:eastAsia="Arial" w:hAnsi="Arial"/>
          <w:sz w:val="20"/>
          <w:szCs w:val="20"/>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2-7-1. Labor Service</w:t>
      </w:r>
    </w:p>
    <w:p>
      <w:pPr>
        <w:spacing w:after="0" w:line="108" w:lineRule="exact"/>
        <w:rPr>
          <w:sz w:val="20"/>
          <w:szCs w:val="20"/>
          <w:color w:val="auto"/>
        </w:rPr>
      </w:pPr>
    </w:p>
    <w:p>
      <w:pPr>
        <w:ind w:left="760" w:hanging="374"/>
        <w:spacing w:after="0"/>
        <w:tabs>
          <w:tab w:leader="none" w:pos="760" w:val="left"/>
        </w:tabs>
        <w:numPr>
          <w:ilvl w:val="0"/>
          <w:numId w:val="470"/>
        </w:numPr>
        <w:rPr>
          <w:rFonts w:ascii="Arial" w:cs="Arial" w:eastAsia="Arial" w:hAnsi="Arial"/>
          <w:sz w:val="20"/>
          <w:szCs w:val="20"/>
          <w:color w:val="auto"/>
        </w:rPr>
      </w:pPr>
      <w:r>
        <w:rPr>
          <w:rFonts w:ascii="Arial" w:cs="Arial" w:eastAsia="Arial" w:hAnsi="Arial"/>
          <w:sz w:val="20"/>
          <w:szCs w:val="20"/>
          <w:color w:val="auto"/>
        </w:rPr>
        <w:t>Unloading of the aircraft at SA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sectPr>
      </w:pPr>
    </w:p>
    <w:bookmarkStart w:id="439" w:name="page440"/>
    <w:bookmarkEnd w:id="439"/>
    <w:p>
      <w:pPr>
        <w:jc w:val="center"/>
        <w:spacing w:after="0"/>
        <w:rPr>
          <w:sz w:val="20"/>
          <w:szCs w:val="20"/>
          <w:color w:val="auto"/>
        </w:rPr>
      </w:pPr>
      <w:r>
        <w:rPr>
          <w:rFonts w:ascii="Arial" w:cs="Arial" w:eastAsia="Arial" w:hAnsi="Arial"/>
          <w:sz w:val="20"/>
          <w:szCs w:val="20"/>
          <w:b w:val="1"/>
          <w:bCs w:val="1"/>
          <w:color w:val="auto"/>
        </w:rPr>
        <w:t>ATTACHMENT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INCURRED COSTS DOCUMENTATION</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(This Attachment F is revised in its entirety by the Amendment No. 14 to the DDA)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PRICING AND PAYMENT SCHEDULE</w:t>
      </w:r>
    </w:p>
    <w:p>
      <w:pPr>
        <w:spacing w:after="0" w:line="202" w:lineRule="exact"/>
        <w:rPr>
          <w:sz w:val="20"/>
          <w:szCs w:val="20"/>
          <w:color w:val="auto"/>
        </w:rPr>
      </w:pPr>
    </w:p>
    <w:p>
      <w:pPr>
        <w:ind w:right="7560" w:firstLine="8"/>
        <w:spacing w:after="0" w:line="496" w:lineRule="auto"/>
        <w:tabs>
          <w:tab w:leader="none" w:pos="247"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Work Step2 1.1 Total Contract Value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The total amount of Design and Development Fees payable for Step 2 is Not-to-Exceed USD $178,883,012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$172,894,334, consists from USD $69,800,624 as Initial Contract Value and incremental amount by Amendment No.1, USD $17,226,306 as additional cost by Amendment No.5, USD $38,675,443 as additional cost by Amendment No.7, USD $14,557,250 as additional cost by Amendment No. 9, USD $17,531,644 as additional cost by Amendment No.11, USD $1,603,067 as additional cost by Amendment No.12, </w:t>
      </w:r>
      <w:r>
        <w:rPr>
          <w:rFonts w:ascii="Arial" w:cs="Arial" w:eastAsia="Arial" w:hAnsi="Arial"/>
          <w:sz w:val="16"/>
          <w:szCs w:val="16"/>
          <w:color w:val="auto"/>
        </w:rPr>
        <w:t>USD $6,000,000 as additional cost by Amendment No.13,</w:t>
      </w:r>
      <w:r>
        <w:rPr>
          <w:rFonts w:ascii="Arial" w:cs="Arial" w:eastAsia="Arial" w:hAnsi="Arial"/>
          <w:sz w:val="19"/>
          <w:szCs w:val="19"/>
          <w:color w:val="auto"/>
        </w:rPr>
        <w:t xml:space="preserve"> and further additional funding of USD $7,500,000 by Amendment No. 14 subject to the phased strategic extension of the project term of performance activity done in [***],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Contract Value Growing Transition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159" w:lineRule="exact"/>
        <w:rPr>
          <w:sz w:val="20"/>
          <w:szCs w:val="20"/>
          <w:color w:val="auto"/>
        </w:rPr>
      </w:pPr>
    </w:p>
    <w:p>
      <w:pPr>
        <w:ind w:left="360" w:hanging="352"/>
        <w:spacing w:after="0" w:line="260" w:lineRule="auto"/>
        <w:tabs>
          <w:tab w:leader="none" w:pos="360" w:val="left"/>
        </w:tabs>
        <w:numPr>
          <w:ilvl w:val="0"/>
          <w:numId w:val="472"/>
        </w:numPr>
        <w:rPr>
          <w:rFonts w:ascii="Arial" w:cs="Arial" w:eastAsia="Arial" w:hAnsi="Arial"/>
          <w:sz w:val="20"/>
          <w:szCs w:val="20"/>
          <w:color w:val="auto"/>
        </w:rPr>
      </w:pPr>
      <w:r>
        <w:rPr>
          <w:rFonts w:ascii="Arial" w:cs="Arial" w:eastAsia="Arial" w:hAnsi="Arial"/>
          <w:sz w:val="20"/>
          <w:szCs w:val="20"/>
          <w:color w:val="auto"/>
        </w:rPr>
        <w:t>SoftBank and AV concluded Step 2 Bridge Contract for preliminary development activity for Step2, and payment of USD $5,988,678 was made to AV by SoftBank;</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472"/>
        </w:numPr>
        <w:rPr>
          <w:rFonts w:ascii="Arial" w:cs="Arial" w:eastAsia="Arial" w:hAnsi="Arial"/>
          <w:sz w:val="20"/>
          <w:szCs w:val="20"/>
          <w:color w:val="auto"/>
        </w:rPr>
      </w:pPr>
      <w:r>
        <w:rPr>
          <w:rFonts w:ascii="Arial" w:cs="Arial" w:eastAsia="Arial" w:hAnsi="Arial"/>
          <w:sz w:val="20"/>
          <w:szCs w:val="20"/>
          <w:color w:val="auto"/>
        </w:rPr>
        <w:t>SoftBank, HM, and AV agree to account for payment of USD $5,988,678 already made by SoftBank to AV as defined as above as partial payment ("Taken-Over Value”) for commencing Step 2. HAPSMobile;</w:t>
      </w:r>
    </w:p>
    <w:p>
      <w:pPr>
        <w:spacing w:after="0" w:line="163"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472"/>
        </w:numPr>
        <w:rPr>
          <w:rFonts w:ascii="Arial" w:cs="Arial" w:eastAsia="Arial" w:hAnsi="Arial"/>
          <w:sz w:val="20"/>
          <w:szCs w:val="20"/>
          <w:color w:val="auto"/>
        </w:rPr>
      </w:pPr>
      <w:r>
        <w:rPr>
          <w:rFonts w:ascii="Arial" w:cs="Arial" w:eastAsia="Arial" w:hAnsi="Arial"/>
          <w:sz w:val="20"/>
          <w:szCs w:val="20"/>
          <w:color w:val="auto"/>
        </w:rPr>
        <w:t>Initial contract value for DDA was USD $65,011,481 (“Initial Value”), and USD $71,000,159 in case including Taken-Over Value;</w:t>
      </w:r>
    </w:p>
    <w:p>
      <w:pPr>
        <w:spacing w:after="0" w:line="163" w:lineRule="exact"/>
        <w:rPr>
          <w:rFonts w:ascii="Arial" w:cs="Arial" w:eastAsia="Arial" w:hAnsi="Arial"/>
          <w:sz w:val="20"/>
          <w:szCs w:val="20"/>
          <w:color w:val="auto"/>
        </w:rPr>
      </w:pPr>
    </w:p>
    <w:p>
      <w:pPr>
        <w:ind w:left="360" w:hanging="352"/>
        <w:spacing w:after="0" w:line="287" w:lineRule="auto"/>
        <w:tabs>
          <w:tab w:leader="none" w:pos="360" w:val="left"/>
        </w:tabs>
        <w:numPr>
          <w:ilvl w:val="0"/>
          <w:numId w:val="472"/>
        </w:numPr>
        <w:rPr>
          <w:rFonts w:ascii="Arial" w:cs="Arial" w:eastAsia="Arial" w:hAnsi="Arial"/>
          <w:sz w:val="19"/>
          <w:szCs w:val="19"/>
          <w:color w:val="auto"/>
        </w:rPr>
      </w:pPr>
      <w:r>
        <w:rPr>
          <w:rFonts w:ascii="Arial" w:cs="Arial" w:eastAsia="Arial" w:hAnsi="Arial"/>
          <w:sz w:val="19"/>
          <w:szCs w:val="19"/>
          <w:color w:val="auto"/>
        </w:rPr>
        <w:t>USD $4,789,143 was added to Initial value by the execution of the Amendment No.1 and total value was modified to USD $69,800,624 (“Amendment 1 Value”), and USD $75,789,302 in case including Taken-Over Value;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40" w:name="page441"/>
    <w:bookmarkEnd w:id="440"/>
    <w:p>
      <w:pPr>
        <w:ind w:left="360" w:hanging="352"/>
        <w:spacing w:after="0" w:line="316" w:lineRule="auto"/>
        <w:tabs>
          <w:tab w:leader="none" w:pos="3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USD $17,226,306 was added to Amendment 1 Value by the execution of the Amendment No.5 and total value was modified to USD $87,026,930 (“Amendment 5 Value”), and USD $93,015.608 in case including Taken-Over Value;</w:t>
      </w:r>
    </w:p>
    <w:p>
      <w:pPr>
        <w:spacing w:after="0" w:line="116" w:lineRule="exact"/>
        <w:rPr>
          <w:rFonts w:ascii="Arial" w:cs="Arial" w:eastAsia="Arial" w:hAnsi="Arial"/>
          <w:sz w:val="18"/>
          <w:szCs w:val="18"/>
          <w:color w:val="auto"/>
        </w:rPr>
      </w:pPr>
    </w:p>
    <w:p>
      <w:pPr>
        <w:ind w:left="360" w:hanging="352"/>
        <w:spacing w:after="0" w:line="260"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$38,675,443 was added to Amendment 5 Value by the execution of the Amendment No.7 and total value was modified to USD $125,702,373, and USD $ 131,691,051 in case including Taken-Over Value;</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$14,557,250 was added to Amendment 7 Value by the execution of the Amendment No.9 and total value was modified to USD $140,259,623, and USD $ 146,248,301 in case including Taken-Over Value;</w:t>
      </w:r>
    </w:p>
    <w:p>
      <w:pPr>
        <w:spacing w:after="0" w:line="163"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$17,531,644 was added to Amendment 9 Value by the execution of the Amendment No.11 and total value was modified to USD $157,791,267, and USD $ 163,779,945 in case including Taken-Over Value;</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$1,603,067 was added to Amendment 11 Value by the execution of the Amendment 12 and total value was modified to USD $159,394,334, and USD$165,383,012 in case including Taken-Over Value;</w:t>
      </w:r>
    </w:p>
    <w:p>
      <w:pPr>
        <w:spacing w:after="0" w:line="163"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$6,000,000 was added to Amendment 12 Value by the execution of the Amendment 13 and total value was modified to USD $165,394,334, and USD$171,383,012 in case including Taken-Over Value;</w:t>
      </w:r>
    </w:p>
    <w:p>
      <w:pPr>
        <w:spacing w:after="0" w:line="163"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USD $7,500,000 as further incremental funding and caused by the change in Deliverables as defined in Attachment A and F herein and milestone changes as defined in detail in Attachment H herein subject to strategic period of performance extension work done in [***]; and the contract value reaches USD $172,894,334, in case including Taken-Over Value then USD$178,883,012.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Work Order Issuance Schedule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HAPSMobile agrees to issue five (5) scheduled separate Orders and may issue four (4) optional separate Orders (“Optional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Orders”) to AV for authorization of Work. The Orders shall be issued as follows:</w:t>
      </w:r>
    </w:p>
    <w:p>
      <w:pPr>
        <w:spacing w:after="0" w:line="173" w:lineRule="exact"/>
        <w:rPr>
          <w:sz w:val="20"/>
          <w:szCs w:val="20"/>
          <w:color w:val="auto"/>
        </w:rPr>
      </w:pPr>
    </w:p>
    <w:p>
      <w:pPr>
        <w:ind w:left="360" w:hanging="352"/>
        <w:spacing w:after="0"/>
        <w:tabs>
          <w:tab w:leader="none" w:pos="36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initial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second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the third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the fourth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the fifth Order [***];</w:t>
      </w:r>
    </w:p>
    <w:p>
      <w:pPr>
        <w:spacing w:after="0" w:line="202" w:lineRule="exact"/>
        <w:rPr>
          <w:rFonts w:ascii="Arial" w:cs="Arial" w:eastAsia="Arial" w:hAnsi="Arial"/>
          <w:sz w:val="20"/>
          <w:szCs w:val="20"/>
          <w:color w:val="auto"/>
        </w:rPr>
      </w:pPr>
    </w:p>
    <w:p>
      <w:pPr>
        <w:jc w:val="both"/>
        <w:ind w:left="360" w:right="20" w:hanging="352"/>
        <w:spacing w:after="0" w:line="291" w:lineRule="auto"/>
        <w:tabs>
          <w:tab w:leader="none" w:pos="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and six more optional Orders will be defined further more in detail in 4.1 herein. Each Order will be issued pursuant to the terms and conditions of this Agreement including the attachments thereto. Work performed under the Orders will be in support of the entire Statement of Work based on best effort, up to the value funded on the Order.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Milestone Target Budget Values &amp; Forecast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41" w:name="page442"/>
    <w:bookmarkEnd w:id="441"/>
    <w:p>
      <w:pPr>
        <w:jc w:val="both"/>
        <w:spacing w:after="0" w:line="260"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each of the 11 Milestones identified in Attachment H.</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Milestone Invoicing &amp; Payment</w:t>
      </w:r>
    </w:p>
    <w:p>
      <w:pPr>
        <w:spacing w:after="0" w:line="195"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 for in prior Milestone invoices. Milestones completed before the 15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of the calendar month will be based on actuals from the prior AV fiscal month end. Milestones completed after the 15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of the calendar month will be invoiced upon completion of that fiscal month. [***].</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340"/>
        <w:spacing w:after="0" w:line="269" w:lineRule="auto"/>
        <w:rPr>
          <w:sz w:val="20"/>
          <w:szCs w:val="20"/>
          <w:color w:val="auto"/>
        </w:rPr>
      </w:pPr>
      <w:r>
        <w:rPr>
          <w:rFonts w:ascii="Arial" w:cs="Arial" w:eastAsia="Arial" w:hAnsi="Arial"/>
          <w:sz w:val="19"/>
          <w:szCs w:val="19"/>
          <w:color w:val="auto"/>
        </w:rPr>
        <w:t>Notwithstanding the foregoing provisions of this section 1.5, Milestone invoiced amount especially for Milestone 5 [***], and Milestone 7 ([***]) shall be paid in respect of each valid invoice no later than, but not be obliged to pay before April 15, 2020. All Milestone payments thereafter will be restored to its original NET 15 payment.</w:t>
      </w:r>
    </w:p>
    <w:p>
      <w:pPr>
        <w:spacing w:after="0" w:line="1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foregoing provisions contained in the body of DDA or Attachment F herein, SA readiness related AV labor, material, and subcontracting fee will be invoiced by AV and compensated by HAPSMobile by three (3) instrument basis together with the milestone invoiced amount for Milestone 6 ([***]), 8 ([***]) and the [***]invoice to be sent by AV on 4/15/2021 and to be paid no later than 4/25/2021. If Milestones [***] and/or [***] are not achieved by [***] in any reason, AV will invoice the applicable instrumental equivalent amount costs (excluding [***]instrument value on April 2021) are to be paid within 30 calendar days of invoice submittal.</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timing of “[***]” scheduled [***], HAPSMobile may [***] together with other [***]. In such a case, both parties will negotiate in good faith.</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Non-Milestone Invoicing &amp; Payment (Monthly Invoices)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134" w:lineRule="exact"/>
        <w:rPr>
          <w:sz w:val="20"/>
          <w:szCs w:val="20"/>
          <w:color w:val="auto"/>
        </w:rPr>
      </w:pPr>
    </w:p>
    <w:p>
      <w:pPr>
        <w:jc w:val="both"/>
        <w:ind w:left="340"/>
        <w:spacing w:after="0" w:line="244" w:lineRule="auto"/>
        <w:rPr>
          <w:sz w:val="20"/>
          <w:szCs w:val="20"/>
          <w:color w:val="auto"/>
        </w:rPr>
      </w:pPr>
      <w:r>
        <w:rPr>
          <w:rFonts w:ascii="Arial" w:cs="Arial" w:eastAsia="Arial" w:hAnsi="Arial"/>
          <w:sz w:val="20"/>
          <w:szCs w:val="20"/>
          <w:color w:val="auto"/>
        </w:rPr>
        <w:t>Notwithstanding the foregoing provisions of this section 1.6, for the Monthly Invoice for November of 2019 through March 2020, HAPSMobile shall make payment in respect of each valid Monthly Invoice no later than, but not be obliged to pay before, ninety (90) calendar days of the end of the calendar month in which the relevant invoice was received by HAPSMobile All non-milestone payments thereafter will be restored to its original NET 30 calendar days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442" w:name="page443"/>
    <w:bookmarkEnd w:id="442"/>
    <w:p>
      <w:pPr>
        <w:spacing w:after="0"/>
        <w:rPr>
          <w:sz w:val="20"/>
          <w:szCs w:val="20"/>
          <w:color w:val="auto"/>
        </w:rPr>
      </w:pPr>
      <w:r>
        <w:rPr>
          <w:rFonts w:ascii="Arial" w:cs="Arial" w:eastAsia="Arial" w:hAnsi="Arial"/>
          <w:sz w:val="20"/>
          <w:szCs w:val="20"/>
          <w:b w:val="1"/>
          <w:bCs w:val="1"/>
          <w:color w:val="auto"/>
        </w:rPr>
        <w:t>1.7 Currency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All payments under this Agreement shall be made in United States dollars.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Excess Incurred Costs</w:t>
      </w:r>
    </w:p>
    <w:p>
      <w:pPr>
        <w:spacing w:after="0" w:line="195" w:lineRule="exact"/>
        <w:rPr>
          <w:sz w:val="20"/>
          <w:szCs w:val="20"/>
          <w:color w:val="auto"/>
        </w:rPr>
      </w:pPr>
    </w:p>
    <w:p>
      <w:pPr>
        <w:jc w:val="both"/>
        <w:ind w:left="360" w:hanging="352"/>
        <w:spacing w:after="0" w:line="263" w:lineRule="auto"/>
        <w:tabs>
          <w:tab w:leader="none" w:pos="36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162" w:lineRule="exact"/>
        <w:rPr>
          <w:rFonts w:ascii="Arial" w:cs="Arial" w:eastAsia="Arial" w:hAnsi="Arial"/>
          <w:sz w:val="19"/>
          <w:szCs w:val="19"/>
          <w:color w:val="auto"/>
        </w:rPr>
      </w:pPr>
    </w:p>
    <w:p>
      <w:pPr>
        <w:jc w:val="both"/>
        <w:ind w:left="720" w:hanging="361"/>
        <w:spacing w:after="0" w:line="246" w:lineRule="auto"/>
        <w:tabs>
          <w:tab w:leader="none" w:pos="720" w:val="left"/>
        </w:tabs>
        <w:numPr>
          <w:ilvl w:val="1"/>
          <w:numId w:val="475"/>
        </w:numPr>
        <w:rPr>
          <w:rFonts w:ascii="Arial" w:cs="Arial" w:eastAsia="Arial" w:hAnsi="Arial"/>
          <w:sz w:val="20"/>
          <w:szCs w:val="20"/>
          <w:color w:val="auto"/>
        </w:rPr>
      </w:pPr>
      <w:r>
        <w:rPr>
          <w:rFonts w:ascii="Arial" w:cs="Arial" w:eastAsia="Arial" w:hAnsi="Arial"/>
          <w:sz w:val="20"/>
          <w:szCs w:val="20"/>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77" w:lineRule="exact"/>
        <w:rPr>
          <w:rFonts w:ascii="Arial" w:cs="Arial" w:eastAsia="Arial" w:hAnsi="Arial"/>
          <w:sz w:val="20"/>
          <w:szCs w:val="20"/>
          <w:color w:val="auto"/>
        </w:rPr>
      </w:pPr>
    </w:p>
    <w:p>
      <w:pPr>
        <w:jc w:val="both"/>
        <w:ind w:left="720" w:right="20" w:hanging="361"/>
        <w:spacing w:after="0" w:line="250" w:lineRule="auto"/>
        <w:tabs>
          <w:tab w:leader="none" w:pos="720" w:val="left"/>
        </w:tabs>
        <w:numPr>
          <w:ilvl w:val="1"/>
          <w:numId w:val="475"/>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72" w:lineRule="exact"/>
        <w:rPr>
          <w:rFonts w:ascii="Arial" w:cs="Arial" w:eastAsia="Arial" w:hAnsi="Arial"/>
          <w:sz w:val="20"/>
          <w:szCs w:val="20"/>
          <w:color w:val="auto"/>
        </w:rPr>
      </w:pPr>
    </w:p>
    <w:p>
      <w:pPr>
        <w:ind w:left="720" w:hanging="361"/>
        <w:spacing w:after="0" w:line="260" w:lineRule="auto"/>
        <w:tabs>
          <w:tab w:leader="none" w:pos="720" w:val="left"/>
        </w:tabs>
        <w:numPr>
          <w:ilvl w:val="1"/>
          <w:numId w:val="475"/>
        </w:numPr>
        <w:rPr>
          <w:rFonts w:ascii="Arial" w:cs="Arial" w:eastAsia="Arial" w:hAnsi="Arial"/>
          <w:sz w:val="20"/>
          <w:szCs w:val="20"/>
          <w:color w:val="auto"/>
        </w:rPr>
      </w:pPr>
      <w:r>
        <w:rPr>
          <w:rFonts w:ascii="Arial" w:cs="Arial" w:eastAsia="Arial" w:hAnsi="Arial"/>
          <w:sz w:val="20"/>
          <w:szCs w:val="20"/>
          <w:color w:val="auto"/>
        </w:rPr>
        <w:t>Terminate the Agreement for convenience as contemplated by Article 12.3 of the Agreement and pay AV all Termination Liability as defined in paragraph 1.7 of this attachment.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Unutilized Consideration</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8"/>
          <w:szCs w:val="18"/>
          <w:b w:val="1"/>
          <w:bCs w:val="1"/>
          <w:color w:val="auto"/>
        </w:rPr>
        <w:t>Termination Liability</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443" w:name="page444"/>
    <w:bookmarkEnd w:id="443"/>
    <w:p>
      <w:pPr>
        <w:ind w:right="8160" w:firstLine="8"/>
        <w:spacing w:after="0" w:line="567" w:lineRule="auto"/>
        <w:tabs>
          <w:tab w:leader="none" w:pos="324"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color w:val="auto"/>
        </w:rPr>
        <w:t>Fee Assumptions 2.1 Exclusion</w:t>
      </w:r>
    </w:p>
    <w:p>
      <w:pPr>
        <w:spacing w:after="0" w:line="1" w:lineRule="exact"/>
        <w:rPr>
          <w:sz w:val="20"/>
          <w:szCs w:val="20"/>
          <w:color w:val="auto"/>
        </w:rPr>
      </w:pPr>
    </w:p>
    <w:p>
      <w:pPr>
        <w:jc w:val="both"/>
        <w:ind w:left="260" w:right="20" w:hanging="252"/>
        <w:spacing w:after="0" w:line="269" w:lineRule="auto"/>
        <w:tabs>
          <w:tab w:leader="none" w:pos="26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156" w:lineRule="exact"/>
        <w:rPr>
          <w:rFonts w:ascii="Arial" w:cs="Arial" w:eastAsia="Arial" w:hAnsi="Arial"/>
          <w:sz w:val="19"/>
          <w:szCs w:val="19"/>
          <w:color w:val="auto"/>
        </w:rPr>
      </w:pPr>
    </w:p>
    <w:p>
      <w:pPr>
        <w:jc w:val="both"/>
        <w:ind w:left="340" w:hanging="8"/>
        <w:spacing w:after="0" w:line="250" w:lineRule="auto"/>
        <w:tabs>
          <w:tab w:leader="none" w:pos="554" w:val="left"/>
        </w:tabs>
        <w:numPr>
          <w:ilvl w:val="1"/>
          <w:numId w:val="477"/>
        </w:numPr>
        <w:rPr>
          <w:rFonts w:ascii="Arial" w:cs="Arial" w:eastAsia="Arial" w:hAnsi="Arial"/>
          <w:sz w:val="20"/>
          <w:szCs w:val="20"/>
          <w:color w:val="auto"/>
        </w:rPr>
      </w:pPr>
      <w:r>
        <w:rPr>
          <w:rFonts w:ascii="Arial" w:cs="Arial" w:eastAsia="Arial" w:hAnsi="Arial"/>
          <w:sz w:val="20"/>
          <w:szCs w:val="20"/>
          <w:color w:val="auto"/>
        </w:rPr>
        <w:t>As of [***], AV and HM have agreed to continue flight test operations at Spaceport America, New Mexico after concluding flights at NASA AFRC. The flight test site preparation is led by AV and the flight test site preparation and ongoing operational costs are included as part of Amendment No. 11.</w:t>
      </w:r>
    </w:p>
    <w:p>
      <w:pPr>
        <w:spacing w:after="0" w:line="158" w:lineRule="exact"/>
        <w:rPr>
          <w:rFonts w:ascii="Arial" w:cs="Arial" w:eastAsia="Arial" w:hAnsi="Arial"/>
          <w:sz w:val="20"/>
          <w:szCs w:val="20"/>
          <w:color w:val="auto"/>
        </w:rPr>
      </w:pPr>
    </w:p>
    <w:p>
      <w:pPr>
        <w:jc w:val="both"/>
        <w:ind w:left="340" w:hanging="8"/>
        <w:spacing w:after="0" w:line="250" w:lineRule="auto"/>
        <w:tabs>
          <w:tab w:leader="none" w:pos="548" w:val="left"/>
        </w:tabs>
        <w:numPr>
          <w:ilvl w:val="1"/>
          <w:numId w:val="477"/>
        </w:numPr>
        <w:rPr>
          <w:rFonts w:ascii="Arial" w:cs="Arial" w:eastAsia="Arial" w:hAnsi="Arial"/>
          <w:sz w:val="20"/>
          <w:szCs w:val="20"/>
          <w:color w:val="auto"/>
        </w:rPr>
      </w:pPr>
      <w:r>
        <w:rPr>
          <w:rFonts w:ascii="Arial" w:cs="Arial" w:eastAsia="Arial" w:hAnsi="Arial"/>
          <w:sz w:val="20"/>
          <w:szCs w:val="20"/>
          <w:color w:val="auto"/>
        </w:rPr>
        <w:t>Notwithstanding the terms and conditions defined in this Section 2.1-1 above, for the task of flight range acquisition and maintaining will be a part of AV’s obligation and contained in its Scope of Work relating to Spaceport America, New Mexico.</w:t>
      </w:r>
    </w:p>
    <w:p>
      <w:pPr>
        <w:spacing w:after="0" w:line="172" w:lineRule="exact"/>
        <w:rPr>
          <w:rFonts w:ascii="Arial" w:cs="Arial" w:eastAsia="Arial" w:hAnsi="Arial"/>
          <w:sz w:val="20"/>
          <w:szCs w:val="20"/>
          <w:color w:val="auto"/>
        </w:rPr>
      </w:pPr>
    </w:p>
    <w:p>
      <w:pPr>
        <w:ind w:left="260" w:hanging="252"/>
        <w:spacing w:after="0" w:line="260" w:lineRule="auto"/>
        <w:tabs>
          <w:tab w:leader="none" w:pos="26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Payload Integration is based on the Loon payload [***], any changes to Payload Supplier and/or integration will be subject change control process.</w:t>
      </w:r>
    </w:p>
    <w:p>
      <w:pPr>
        <w:spacing w:after="0" w:line="163" w:lineRule="exact"/>
        <w:rPr>
          <w:rFonts w:ascii="Arial" w:cs="Arial" w:eastAsia="Arial" w:hAnsi="Arial"/>
          <w:sz w:val="20"/>
          <w:szCs w:val="20"/>
          <w:color w:val="auto"/>
        </w:rPr>
      </w:pPr>
    </w:p>
    <w:p>
      <w:pPr>
        <w:jc w:val="both"/>
        <w:ind w:left="280" w:hanging="272"/>
        <w:spacing w:after="0" w:line="269" w:lineRule="auto"/>
        <w:tabs>
          <w:tab w:leader="none" w:pos="28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Labor, shipping and other costs are not included, however is inclusive of labor for obtaining the clearance and permission under EAR or related export regulations for delivery of [***] and GCS at other than the Spaceport America flight test location. Any changes to the final delivery location will be subject to change control process.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Change Control &amp; Agreement Amendments Payment Schedule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ectPr>
          <w:pgSz w:w="11900" w:h="16838" w:orient="portrait"/>
          <w:cols w:equalWidth="0" w:num="1">
            <w:col w:w="9920"/>
          </w:cols>
          <w:pgMar w:left="980" w:top="873" w:right="99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Cost Element</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Labor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-110490</wp:posOffset>
            </wp:positionV>
            <wp:extent cx="6292215" cy="3175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6292215" cy="31750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360" w:space="720"/>
            <w:col w:w="4840"/>
          </w:cols>
          <w:pgMar w:left="980" w:top="873"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444" w:name="page445"/>
    <w:bookmarkEnd w:id="444"/>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Labor Total Cost w/[***]% Fee</w:t>
            </w:r>
          </w:p>
        </w:tc>
        <w:tc>
          <w:tcPr>
            <w:tcW w:w="4940" w:type="dxa"/>
            <w:vAlign w:val="bottom"/>
            <w:tcBorders>
              <w:top w:val="single" w:sz="8" w:color="auto"/>
              <w:bottom w:val="single" w:sz="8" w:color="auto"/>
              <w:right w:val="single" w:sz="8" w:color="auto"/>
            </w:tcBorders>
          </w:tcPr>
          <w:p>
            <w:pPr>
              <w:jc w:val="right"/>
              <w:ind w:right="4321"/>
              <w:spacing w:after="0"/>
              <w:rPr>
                <w:sz w:val="20"/>
                <w:szCs w:val="20"/>
                <w:color w:val="auto"/>
              </w:rPr>
            </w:pPr>
            <w:r>
              <w:rPr>
                <w:rFonts w:ascii="Arial" w:cs="Arial" w:eastAsia="Arial" w:hAnsi="Arial"/>
                <w:sz w:val="20"/>
                <w:szCs w:val="20"/>
                <w:color w:val="auto"/>
              </w:rPr>
              <w:t>[***]</w:t>
            </w:r>
          </w:p>
        </w:tc>
      </w:tr>
      <w:tr>
        <w:trPr>
          <w:trHeight w:val="223"/>
        </w:trPr>
        <w:tc>
          <w:tcPr>
            <w:tcW w:w="49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Material Total Cost w/[***]% Fee</w:t>
            </w:r>
          </w:p>
        </w:tc>
        <w:tc>
          <w:tcPr>
            <w:tcW w:w="4940" w:type="dxa"/>
            <w:vAlign w:val="bottom"/>
            <w:tcBorders>
              <w:bottom w:val="single" w:sz="8" w:color="auto"/>
              <w:right w:val="single" w:sz="8" w:color="auto"/>
            </w:tcBorders>
          </w:tcPr>
          <w:p>
            <w:pPr>
              <w:jc w:val="right"/>
              <w:ind w:right="4321"/>
              <w:spacing w:after="0" w:line="223" w:lineRule="exact"/>
              <w:rPr>
                <w:sz w:val="20"/>
                <w:szCs w:val="20"/>
                <w:color w:val="auto"/>
              </w:rPr>
            </w:pPr>
            <w:r>
              <w:rPr>
                <w:rFonts w:ascii="Arial" w:cs="Arial" w:eastAsia="Arial" w:hAnsi="Arial"/>
                <w:sz w:val="20"/>
                <w:szCs w:val="20"/>
                <w:color w:val="auto"/>
              </w:rPr>
              <w:t>[***]</w:t>
            </w:r>
          </w:p>
        </w:tc>
      </w:tr>
      <w:tr>
        <w:trPr>
          <w:trHeight w:val="223"/>
        </w:trPr>
        <w:tc>
          <w:tcPr>
            <w:tcW w:w="49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Subcontract Total Cost w/[***]% Fee</w:t>
            </w:r>
          </w:p>
        </w:tc>
        <w:tc>
          <w:tcPr>
            <w:tcW w:w="4940" w:type="dxa"/>
            <w:vAlign w:val="bottom"/>
            <w:tcBorders>
              <w:bottom w:val="single" w:sz="8" w:color="auto"/>
              <w:right w:val="single" w:sz="8" w:color="auto"/>
            </w:tcBorders>
          </w:tcPr>
          <w:p>
            <w:pPr>
              <w:jc w:val="right"/>
              <w:ind w:right="4321"/>
              <w:spacing w:after="0" w:line="223" w:lineRule="exact"/>
              <w:rPr>
                <w:sz w:val="20"/>
                <w:szCs w:val="20"/>
                <w:color w:val="auto"/>
              </w:rPr>
            </w:pPr>
            <w:r>
              <w:rPr>
                <w:rFonts w:ascii="Arial" w:cs="Arial" w:eastAsia="Arial" w:hAnsi="Arial"/>
                <w:sz w:val="20"/>
                <w:szCs w:val="20"/>
                <w:color w:val="auto"/>
              </w:rPr>
              <w:t>[***]</w:t>
            </w:r>
          </w:p>
        </w:tc>
      </w:tr>
      <w:tr>
        <w:trPr>
          <w:trHeight w:val="223"/>
        </w:trPr>
        <w:tc>
          <w:tcPr>
            <w:tcW w:w="49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Other Direct Costs (ODC) Total Cost w/[***]% Fee</w:t>
            </w:r>
          </w:p>
        </w:tc>
        <w:tc>
          <w:tcPr>
            <w:tcW w:w="4940" w:type="dxa"/>
            <w:vAlign w:val="bottom"/>
            <w:tcBorders>
              <w:bottom w:val="single" w:sz="8" w:color="auto"/>
              <w:right w:val="single" w:sz="8" w:color="auto"/>
            </w:tcBorders>
          </w:tcPr>
          <w:p>
            <w:pPr>
              <w:jc w:val="right"/>
              <w:ind w:right="4321"/>
              <w:spacing w:after="0" w:line="223" w:lineRule="exact"/>
              <w:rPr>
                <w:sz w:val="20"/>
                <w:szCs w:val="20"/>
                <w:color w:val="auto"/>
              </w:rPr>
            </w:pPr>
            <w:r>
              <w:rPr>
                <w:rFonts w:ascii="Arial" w:cs="Arial" w:eastAsia="Arial" w:hAnsi="Arial"/>
                <w:sz w:val="20"/>
                <w:szCs w:val="20"/>
                <w:color w:val="auto"/>
              </w:rPr>
              <w:t>[***]</w:t>
            </w:r>
          </w:p>
        </w:tc>
      </w:tr>
    </w:tbl>
    <w:p>
      <w:pPr>
        <w:spacing w:after="0" w:line="193" w:lineRule="exact"/>
        <w:rPr>
          <w:sz w:val="20"/>
          <w:szCs w:val="20"/>
          <w:color w:val="auto"/>
        </w:rPr>
      </w:pPr>
    </w:p>
    <w:p>
      <w:pPr>
        <w:ind w:left="200" w:hanging="192"/>
        <w:spacing w:after="0"/>
        <w:tabs>
          <w:tab w:leader="none" w:pos="200" w:val="left"/>
        </w:tabs>
        <w:numPr>
          <w:ilvl w:val="0"/>
          <w:numId w:val="478"/>
        </w:numPr>
        <w:rPr>
          <w:rFonts w:ascii="Arial" w:cs="Arial" w:eastAsia="Arial" w:hAnsi="Arial"/>
          <w:sz w:val="20"/>
          <w:szCs w:val="20"/>
          <w:b w:val="1"/>
          <w:bCs w:val="1"/>
          <w:color w:val="auto"/>
        </w:rPr>
      </w:pPr>
      <w:r>
        <w:rPr>
          <w:rFonts w:ascii="Arial" w:cs="Arial" w:eastAsia="Arial" w:hAnsi="Arial"/>
          <w:sz w:val="20"/>
          <w:szCs w:val="20"/>
          <w:b w:val="1"/>
          <w:bCs w:val="1"/>
          <w:color w:val="auto"/>
        </w:rPr>
        <w:t>Remaining Work Orders</w:t>
      </w:r>
    </w:p>
    <w:p>
      <w:pPr>
        <w:spacing w:after="0" w:line="20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Fifth Work Order and the following Optional Orders will be organized as follows;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140" w:type="dxa"/>
            <w:vAlign w:val="bottom"/>
            <w:tcBorders>
              <w:top w:val="single" w:sz="8" w:color="auto"/>
              <w:left w:val="single" w:sz="8" w:color="auto"/>
              <w:right w:val="single" w:sz="8" w:color="auto"/>
            </w:tcBorders>
          </w:tcPr>
          <w:p>
            <w:pPr>
              <w:ind w:left="820"/>
              <w:spacing w:after="0" w:line="227" w:lineRule="exact"/>
              <w:rPr>
                <w:sz w:val="20"/>
                <w:szCs w:val="20"/>
                <w:color w:val="auto"/>
              </w:rPr>
            </w:pPr>
            <w:r>
              <w:rPr>
                <w:rFonts w:ascii="Arial" w:cs="Arial" w:eastAsia="Arial" w:hAnsi="Arial"/>
                <w:sz w:val="20"/>
                <w:szCs w:val="20"/>
                <w:color w:val="auto"/>
              </w:rPr>
              <w:t>Name</w:t>
            </w:r>
          </w:p>
        </w:tc>
        <w:tc>
          <w:tcPr>
            <w:tcW w:w="640" w:type="dxa"/>
            <w:vAlign w:val="bottom"/>
            <w:tcBorders>
              <w:top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ind w:left="120"/>
              <w:spacing w:after="0" w:line="227" w:lineRule="exact"/>
              <w:rPr>
                <w:sz w:val="20"/>
                <w:szCs w:val="20"/>
                <w:color w:val="auto"/>
              </w:rPr>
            </w:pPr>
            <w:r>
              <w:rPr>
                <w:rFonts w:ascii="Arial" w:cs="Arial" w:eastAsia="Arial" w:hAnsi="Arial"/>
                <w:sz w:val="20"/>
                <w:szCs w:val="20"/>
                <w:color w:val="auto"/>
              </w:rPr>
              <w:t>Covered SoW</w:t>
            </w:r>
          </w:p>
        </w:tc>
        <w:tc>
          <w:tcPr>
            <w:tcW w:w="680" w:type="dxa"/>
            <w:vAlign w:val="bottom"/>
            <w:tcBorders>
              <w:top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ind w:right="621"/>
              <w:spacing w:after="0" w:line="227" w:lineRule="exact"/>
              <w:rPr>
                <w:sz w:val="20"/>
                <w:szCs w:val="20"/>
                <w:color w:val="auto"/>
              </w:rPr>
            </w:pPr>
            <w:r>
              <w:rPr>
                <w:rFonts w:ascii="Arial" w:cs="Arial" w:eastAsia="Arial" w:hAnsi="Arial"/>
                <w:sz w:val="20"/>
                <w:szCs w:val="20"/>
                <w:color w:val="auto"/>
                <w:w w:val="87"/>
              </w:rPr>
              <w:t>Covered</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jc w:val="right"/>
              <w:ind w:right="281"/>
              <w:spacing w:after="0" w:line="227" w:lineRule="exact"/>
              <w:rPr>
                <w:sz w:val="20"/>
                <w:szCs w:val="20"/>
                <w:color w:val="auto"/>
              </w:rPr>
            </w:pPr>
            <w:r>
              <w:rPr>
                <w:rFonts w:ascii="Arial" w:cs="Arial" w:eastAsia="Arial" w:hAnsi="Arial"/>
                <w:sz w:val="20"/>
                <w:szCs w:val="20"/>
                <w:color w:val="auto"/>
              </w:rPr>
              <w:t>WO value</w:t>
            </w:r>
          </w:p>
        </w:tc>
        <w:tc>
          <w:tcPr>
            <w:tcW w:w="1360" w:type="dxa"/>
            <w:vAlign w:val="bottom"/>
            <w:tcBorders>
              <w:top w:val="single" w:sz="8" w:color="auto"/>
              <w:right w:val="single" w:sz="8" w:color="auto"/>
            </w:tcBorders>
          </w:tcPr>
          <w:p>
            <w:pPr>
              <w:jc w:val="right"/>
              <w:ind w:right="261"/>
              <w:spacing w:after="0" w:line="227" w:lineRule="exact"/>
              <w:rPr>
                <w:sz w:val="20"/>
                <w:szCs w:val="20"/>
                <w:color w:val="auto"/>
              </w:rPr>
            </w:pPr>
            <w:r>
              <w:rPr>
                <w:rFonts w:ascii="Arial" w:cs="Arial" w:eastAsia="Arial" w:hAnsi="Arial"/>
                <w:sz w:val="20"/>
                <w:szCs w:val="20"/>
                <w:color w:val="auto"/>
              </w:rPr>
              <w:t>WO due</w:t>
            </w:r>
          </w:p>
        </w:tc>
      </w:tr>
      <w:tr>
        <w:trPr>
          <w:trHeight w:val="246"/>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center"/>
              <w:ind w:right="621"/>
              <w:spacing w:after="0"/>
              <w:rPr>
                <w:sz w:val="20"/>
                <w:szCs w:val="20"/>
                <w:color w:val="auto"/>
              </w:rPr>
            </w:pPr>
            <w:r>
              <w:rPr>
                <w:rFonts w:ascii="Arial" w:cs="Arial" w:eastAsia="Arial" w:hAnsi="Arial"/>
                <w:sz w:val="20"/>
                <w:szCs w:val="20"/>
                <w:color w:val="auto"/>
                <w:w w:val="91"/>
              </w:rPr>
              <w:t>Milestone</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(USD)</w:t>
            </w:r>
          </w:p>
        </w:tc>
        <w:tc>
          <w:tcPr>
            <w:tcW w:w="136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20"/>
                <w:szCs w:val="20"/>
                <w:color w:val="auto"/>
              </w:rPr>
              <w:t>date</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The fifth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ind w:right="9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4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 sixth Work Order</w:t>
            </w: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40" w:type="dxa"/>
            <w:vAlign w:val="bottom"/>
            <w:tcBorders>
              <w:right w:val="single" w:sz="8" w:color="auto"/>
            </w:tcBorders>
          </w:tcPr>
          <w:p>
            <w:pPr>
              <w:spacing w:after="0"/>
              <w:rPr>
                <w:sz w:val="21"/>
                <w:szCs w:val="21"/>
                <w:color w:val="auto"/>
              </w:rPr>
            </w:pPr>
          </w:p>
        </w:tc>
        <w:tc>
          <w:tcPr>
            <w:tcW w:w="6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Borders>
              <w:right w:val="single" w:sz="8" w:color="auto"/>
            </w:tcBorders>
            <w:gridSpan w:val="2"/>
          </w:tcPr>
          <w:p>
            <w:pPr>
              <w:jc w:val="right"/>
              <w:ind w:right="901"/>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r>
      <w:tr>
        <w:trPr>
          <w:trHeight w:val="74"/>
        </w:trPr>
        <w:tc>
          <w:tcPr>
            <w:tcW w:w="214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Seventh Work</w:t>
            </w:r>
          </w:p>
        </w:tc>
        <w:tc>
          <w:tcPr>
            <w:tcW w:w="6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040" w:type="dxa"/>
            <w:vAlign w:val="bottom"/>
            <w:tcBorders>
              <w:right w:val="single" w:sz="8" w:color="auto"/>
            </w:tcBorders>
          </w:tcPr>
          <w:p>
            <w:pPr>
              <w:spacing w:after="0"/>
              <w:rPr>
                <w:sz w:val="17"/>
                <w:szCs w:val="17"/>
                <w:color w:val="auto"/>
              </w:rPr>
            </w:pPr>
          </w:p>
        </w:tc>
        <w:tc>
          <w:tcPr>
            <w:tcW w:w="6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9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741"/>
              <w:spacing w:after="0" w:line="207" w:lineRule="exact"/>
              <w:rPr>
                <w:sz w:val="20"/>
                <w:szCs w:val="20"/>
                <w:color w:val="auto"/>
              </w:rPr>
            </w:pPr>
            <w:r>
              <w:rPr>
                <w:rFonts w:ascii="Arial" w:cs="Arial" w:eastAsia="Arial" w:hAnsi="Arial"/>
                <w:sz w:val="20"/>
                <w:szCs w:val="20"/>
                <w:color w:val="auto"/>
              </w:rPr>
              <w:t>[***]</w:t>
            </w:r>
          </w:p>
        </w:tc>
      </w:tr>
      <w:tr>
        <w:trPr>
          <w:trHeight w:val="246"/>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6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6"/>
              </w:rPr>
              <w:t>The Eighth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ind w:right="9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The Ninth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ind w:right="9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8"/>
              </w:rPr>
              <w:t>The Tenth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ind w:right="9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Eleventh Work</w:t>
            </w:r>
          </w:p>
        </w:tc>
        <w:tc>
          <w:tcPr>
            <w:tcW w:w="6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040" w:type="dxa"/>
            <w:vAlign w:val="bottom"/>
            <w:tcBorders>
              <w:right w:val="single" w:sz="8" w:color="auto"/>
            </w:tcBorders>
          </w:tcPr>
          <w:p>
            <w:pPr>
              <w:spacing w:after="0"/>
              <w:rPr>
                <w:sz w:val="17"/>
                <w:szCs w:val="17"/>
                <w:color w:val="auto"/>
              </w:rPr>
            </w:pPr>
          </w:p>
        </w:tc>
        <w:tc>
          <w:tcPr>
            <w:tcW w:w="6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9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741"/>
              <w:spacing w:after="0" w:line="207" w:lineRule="exact"/>
              <w:rPr>
                <w:sz w:val="20"/>
                <w:szCs w:val="20"/>
                <w:color w:val="auto"/>
              </w:rPr>
            </w:pPr>
            <w:r>
              <w:rPr>
                <w:rFonts w:ascii="Arial" w:cs="Arial" w:eastAsia="Arial" w:hAnsi="Arial"/>
                <w:sz w:val="20"/>
                <w:szCs w:val="20"/>
                <w:color w:val="auto"/>
              </w:rPr>
              <w:t>[***]</w:t>
            </w:r>
          </w:p>
        </w:tc>
      </w:tr>
      <w:tr>
        <w:trPr>
          <w:trHeight w:val="246"/>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6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23"/>
        </w:trPr>
        <w:tc>
          <w:tcPr>
            <w:tcW w:w="2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spacing w:after="0"/>
              <w:rPr>
                <w:sz w:val="19"/>
                <w:szCs w:val="19"/>
                <w:color w:val="auto"/>
              </w:rPr>
            </w:pPr>
          </w:p>
        </w:tc>
      </w:tr>
      <w:tr>
        <w:trPr>
          <w:trHeight w:val="223"/>
        </w:trPr>
        <w:tc>
          <w:tcPr>
            <w:tcW w:w="2140" w:type="dxa"/>
            <w:vAlign w:val="bottom"/>
            <w:tcBorders>
              <w:left w:val="single" w:sz="8" w:color="auto"/>
              <w:bottom w:val="single" w:sz="8" w:color="auto"/>
            </w:tcBorders>
          </w:tcPr>
          <w:p>
            <w:pPr>
              <w:ind w:left="980"/>
              <w:spacing w:after="0" w:line="223" w:lineRule="exact"/>
              <w:rPr>
                <w:sz w:val="20"/>
                <w:szCs w:val="20"/>
                <w:color w:val="auto"/>
              </w:rPr>
            </w:pPr>
            <w:r>
              <w:rPr>
                <w:rFonts w:ascii="Arial" w:cs="Arial" w:eastAsia="Arial" w:hAnsi="Arial"/>
                <w:sz w:val="20"/>
                <w:szCs w:val="20"/>
                <w:color w:val="auto"/>
              </w:rPr>
              <w:t>Definition</w:t>
            </w:r>
          </w:p>
        </w:tc>
        <w:tc>
          <w:tcPr>
            <w:tcW w:w="64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tcBorders>
            <w:gridSpan w:val="2"/>
          </w:tcPr>
          <w:p>
            <w:pPr>
              <w:ind w:left="1860"/>
              <w:spacing w:after="0" w:line="223" w:lineRule="exact"/>
              <w:rPr>
                <w:sz w:val="20"/>
                <w:szCs w:val="20"/>
                <w:color w:val="auto"/>
              </w:rPr>
            </w:pPr>
            <w:r>
              <w:rPr>
                <w:rFonts w:ascii="Arial" w:cs="Arial" w:eastAsia="Arial" w:hAnsi="Arial"/>
                <w:sz w:val="20"/>
                <w:szCs w:val="20"/>
                <w:color w:val="auto"/>
              </w:rPr>
              <w:t>Meaning</w:t>
            </w:r>
          </w:p>
        </w:tc>
        <w:tc>
          <w:tcPr>
            <w:tcW w:w="1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jc w:val="right"/>
              <w:ind w:right="501"/>
              <w:spacing w:after="0" w:line="223" w:lineRule="exact"/>
              <w:rPr>
                <w:sz w:val="20"/>
                <w:szCs w:val="20"/>
                <w:color w:val="auto"/>
              </w:rPr>
            </w:pPr>
            <w:r>
              <w:rPr>
                <w:rFonts w:ascii="Arial" w:cs="Arial" w:eastAsia="Arial" w:hAnsi="Arial"/>
                <w:sz w:val="20"/>
                <w:szCs w:val="20"/>
                <w:color w:val="auto"/>
              </w:rPr>
              <w:t>Decision Due Date</w:t>
            </w:r>
          </w:p>
        </w:tc>
      </w:tr>
      <w:tr>
        <w:trPr>
          <w:trHeight w:val="223"/>
        </w:trPr>
        <w:tc>
          <w:tcPr>
            <w:tcW w:w="2140" w:type="dxa"/>
            <w:vAlign w:val="bottom"/>
            <w:tcBorders>
              <w:left w:val="single" w:sz="8" w:color="auto"/>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19"/>
                <w:szCs w:val="19"/>
                <w:color w:val="auto"/>
              </w:rPr>
            </w:pPr>
          </w:p>
        </w:tc>
      </w:tr>
      <w:tr>
        <w:trPr>
          <w:trHeight w:val="206"/>
        </w:trPr>
        <w:tc>
          <w:tcPr>
            <w:tcW w:w="21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Flight Location Change</w:t>
            </w:r>
          </w:p>
        </w:tc>
        <w:tc>
          <w:tcPr>
            <w:tcW w:w="640" w:type="dxa"/>
            <w:vAlign w:val="bottom"/>
            <w:tcBorders>
              <w:right w:val="single" w:sz="8" w:color="auto"/>
            </w:tcBorders>
          </w:tcPr>
          <w:p>
            <w:pPr>
              <w:spacing w:after="0"/>
              <w:rPr>
                <w:sz w:val="17"/>
                <w:szCs w:val="17"/>
                <w:color w:val="auto"/>
              </w:rPr>
            </w:pPr>
          </w:p>
        </w:tc>
        <w:tc>
          <w:tcPr>
            <w:tcW w:w="2720" w:type="dxa"/>
            <w:vAlign w:val="bottom"/>
            <w:gridSpan w:val="2"/>
          </w:tcPr>
          <w:p>
            <w:pPr>
              <w:ind w:left="80"/>
              <w:spacing w:after="0" w:line="207" w:lineRule="exact"/>
              <w:rPr>
                <w:sz w:val="20"/>
                <w:szCs w:val="20"/>
                <w:color w:val="auto"/>
              </w:rPr>
            </w:pPr>
            <w:r>
              <w:rPr>
                <w:rFonts w:ascii="Arial" w:cs="Arial" w:eastAsia="Arial" w:hAnsi="Arial"/>
                <w:sz w:val="20"/>
                <w:szCs w:val="20"/>
                <w:color w:val="auto"/>
                <w:w w:val="90"/>
              </w:rPr>
              <w:t>Additional tasks associated with;</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0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17"/>
                <w:szCs w:val="17"/>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420"/>
              <w:spacing w:after="0"/>
              <w:rPr>
                <w:sz w:val="20"/>
                <w:szCs w:val="20"/>
                <w:color w:val="auto"/>
              </w:rPr>
            </w:pPr>
            <w:r>
              <w:rPr>
                <w:rFonts w:ascii="Arial" w:cs="Arial" w:eastAsia="Arial" w:hAnsi="Arial"/>
                <w:sz w:val="20"/>
                <w:szCs w:val="20"/>
                <w:color w:val="auto"/>
                <w:w w:val="99"/>
              </w:rPr>
              <w:t>a)  a change from the original flight location,</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740"/>
              <w:spacing w:after="0"/>
              <w:rPr>
                <w:sz w:val="20"/>
                <w:szCs w:val="20"/>
                <w:color w:val="auto"/>
              </w:rPr>
            </w:pPr>
            <w:r>
              <w:rPr>
                <w:rFonts w:ascii="Arial" w:cs="Arial" w:eastAsia="Arial" w:hAnsi="Arial"/>
                <w:sz w:val="20"/>
                <w:szCs w:val="20"/>
                <w:color w:val="auto"/>
              </w:rPr>
              <w:t>Lanai, to an alternate site, SÁ in New</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720" w:type="dxa"/>
            <w:vAlign w:val="bottom"/>
            <w:gridSpan w:val="2"/>
          </w:tcPr>
          <w:p>
            <w:pPr>
              <w:ind w:left="740"/>
              <w:spacing w:after="0"/>
              <w:rPr>
                <w:sz w:val="20"/>
                <w:szCs w:val="20"/>
                <w:color w:val="auto"/>
              </w:rPr>
            </w:pPr>
            <w:r>
              <w:rPr>
                <w:rFonts w:ascii="Arial" w:cs="Arial" w:eastAsia="Arial" w:hAnsi="Arial"/>
                <w:sz w:val="20"/>
                <w:szCs w:val="20"/>
                <w:color w:val="auto"/>
              </w:rPr>
              <w:t>Mexico</w:t>
            </w: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420"/>
              <w:spacing w:after="0"/>
              <w:rPr>
                <w:sz w:val="20"/>
                <w:szCs w:val="20"/>
                <w:color w:val="auto"/>
              </w:rPr>
            </w:pPr>
            <w:r>
              <w:rPr>
                <w:rFonts w:ascii="Arial" w:cs="Arial" w:eastAsia="Arial" w:hAnsi="Arial"/>
                <w:sz w:val="20"/>
                <w:szCs w:val="20"/>
                <w:color w:val="auto"/>
              </w:rPr>
              <w:t>b)  detailed flight test planning of [***] to be</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740"/>
              <w:spacing w:after="0"/>
              <w:rPr>
                <w:sz w:val="20"/>
                <w:szCs w:val="20"/>
                <w:color w:val="auto"/>
              </w:rPr>
            </w:pPr>
            <w:r>
              <w:rPr>
                <w:rFonts w:ascii="Arial" w:cs="Arial" w:eastAsia="Arial" w:hAnsi="Arial"/>
                <w:sz w:val="20"/>
                <w:szCs w:val="20"/>
                <w:color w:val="auto"/>
                <w:w w:val="94"/>
              </w:rPr>
              <w:t>tested and related planning optimization of</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740"/>
              <w:spacing w:after="0"/>
              <w:rPr>
                <w:sz w:val="20"/>
                <w:szCs w:val="20"/>
                <w:color w:val="auto"/>
              </w:rPr>
            </w:pPr>
            <w:r>
              <w:rPr>
                <w:rFonts w:ascii="Arial" w:cs="Arial" w:eastAsia="Arial" w:hAnsi="Arial"/>
                <w:sz w:val="20"/>
                <w:szCs w:val="20"/>
                <w:color w:val="auto"/>
              </w:rPr>
              <w:t>other flight test campaign.</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80"/>
              <w:spacing w:after="0"/>
              <w:rPr>
                <w:sz w:val="20"/>
                <w:szCs w:val="20"/>
                <w:color w:val="auto"/>
              </w:rPr>
            </w:pPr>
            <w:r>
              <w:rPr>
                <w:rFonts w:ascii="Arial" w:cs="Arial" w:eastAsia="Arial" w:hAnsi="Arial"/>
                <w:sz w:val="20"/>
                <w:szCs w:val="20"/>
                <w:color w:val="auto"/>
                <w:w w:val="99"/>
              </w:rPr>
              <w:t>In case either Party may request changes to the</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80"/>
              <w:spacing w:after="0"/>
              <w:rPr>
                <w:sz w:val="20"/>
                <w:szCs w:val="20"/>
                <w:color w:val="auto"/>
              </w:rPr>
            </w:pPr>
            <w:r>
              <w:rPr>
                <w:rFonts w:ascii="Arial" w:cs="Arial" w:eastAsia="Arial" w:hAnsi="Arial"/>
                <w:sz w:val="20"/>
                <w:szCs w:val="20"/>
                <w:color w:val="auto"/>
                <w:w w:val="91"/>
              </w:rPr>
              <w:t>conditions defined in Attachments A, C, D, E, F or H</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80"/>
              <w:spacing w:after="0"/>
              <w:rPr>
                <w:sz w:val="20"/>
                <w:szCs w:val="20"/>
                <w:color w:val="auto"/>
              </w:rPr>
            </w:pPr>
            <w:r>
              <w:rPr>
                <w:rFonts w:ascii="Arial" w:cs="Arial" w:eastAsia="Arial" w:hAnsi="Arial"/>
                <w:sz w:val="20"/>
                <w:szCs w:val="20"/>
                <w:color w:val="auto"/>
                <w:w w:val="99"/>
              </w:rPr>
              <w:t>relating the task herein defined, then follows the</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320" w:type="dxa"/>
            <w:vAlign w:val="bottom"/>
            <w:gridSpan w:val="4"/>
          </w:tcPr>
          <w:p>
            <w:pPr>
              <w:ind w:left="80"/>
              <w:spacing w:after="0"/>
              <w:rPr>
                <w:sz w:val="20"/>
                <w:szCs w:val="20"/>
                <w:color w:val="auto"/>
              </w:rPr>
            </w:pPr>
            <w:r>
              <w:rPr>
                <w:rFonts w:ascii="Arial" w:cs="Arial" w:eastAsia="Arial" w:hAnsi="Arial"/>
                <w:sz w:val="20"/>
                <w:szCs w:val="20"/>
                <w:color w:val="auto"/>
              </w:rPr>
              <w:t>procedures defined in Clause 2.4 in DDA or</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46"/>
        </w:trPr>
        <w:tc>
          <w:tcPr>
            <w:tcW w:w="214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tcBorders>
            <w:gridSpan w:val="4"/>
          </w:tcPr>
          <w:p>
            <w:pPr>
              <w:ind w:left="80"/>
              <w:spacing w:after="0"/>
              <w:rPr>
                <w:sz w:val="20"/>
                <w:szCs w:val="20"/>
                <w:color w:val="auto"/>
              </w:rPr>
            </w:pPr>
            <w:r>
              <w:rPr>
                <w:rFonts w:ascii="Arial" w:cs="Arial" w:eastAsia="Arial" w:hAnsi="Arial"/>
                <w:sz w:val="20"/>
                <w:szCs w:val="20"/>
                <w:color w:val="auto"/>
              </w:rPr>
              <w:t>Attachment G ("Change Control").</w:t>
            </w:r>
          </w:p>
        </w:tc>
        <w:tc>
          <w:tcPr>
            <w:tcW w:w="1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445" w:name="page446"/>
    <w:bookmarkEnd w:id="445"/>
    <w:tbl>
      <w:tblPr>
        <w:tblLayout w:type="fixed"/>
        <w:tblInd w:w="10" w:type="dxa"/>
        <w:tblCellMar>
          <w:top w:w="0" w:type="dxa"/>
          <w:left w:w="0" w:type="dxa"/>
          <w:bottom w:w="0" w:type="dxa"/>
          <w:right w:w="0" w:type="dxa"/>
        </w:tblCellMar>
      </w:tblPr>
      <w:tr>
        <w:trPr>
          <w:trHeight w:val="243"/>
        </w:trPr>
        <w:tc>
          <w:tcPr>
            <w:tcW w:w="2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Milestone [***]</w:t>
            </w:r>
          </w:p>
        </w:tc>
        <w:tc>
          <w:tcPr>
            <w:tcW w:w="4480" w:type="dxa"/>
            <w:vAlign w:val="bottom"/>
            <w:tcBorders>
              <w:top w:val="single" w:sz="8" w:color="auto"/>
              <w:bottom w:val="single" w:sz="8" w:color="auto"/>
              <w:right w:val="single" w:sz="8" w:color="auto"/>
            </w:tcBorders>
          </w:tcPr>
          <w:p>
            <w:pPr>
              <w:jc w:val="right"/>
              <w:ind w:right="3861"/>
              <w:spacing w:after="0"/>
              <w:rPr>
                <w:sz w:val="20"/>
                <w:szCs w:val="20"/>
                <w:color w:val="auto"/>
              </w:rPr>
            </w:pPr>
            <w:r>
              <w:rPr>
                <w:rFonts w:ascii="Arial" w:cs="Arial" w:eastAsia="Arial" w:hAnsi="Arial"/>
                <w:sz w:val="20"/>
                <w:szCs w:val="20"/>
                <w:color w:val="auto"/>
              </w:rPr>
              <w:t>[***]</w:t>
            </w:r>
          </w:p>
        </w:tc>
        <w:tc>
          <w:tcPr>
            <w:tcW w:w="2660" w:type="dxa"/>
            <w:vAlign w:val="bottom"/>
            <w:tcBorders>
              <w:top w:val="single" w:sz="8" w:color="auto"/>
              <w:bottom w:val="single" w:sz="8" w:color="auto"/>
              <w:right w:val="single" w:sz="8" w:color="auto"/>
            </w:tcBorders>
          </w:tcPr>
          <w:p>
            <w:pPr>
              <w:jc w:val="right"/>
              <w:ind w:right="2061"/>
              <w:spacing w:after="0"/>
              <w:rPr>
                <w:sz w:val="20"/>
                <w:szCs w:val="20"/>
                <w:color w:val="auto"/>
              </w:rPr>
            </w:pPr>
            <w:r>
              <w:rPr>
                <w:rFonts w:ascii="Arial" w:cs="Arial" w:eastAsia="Arial" w:hAnsi="Arial"/>
                <w:sz w:val="20"/>
                <w:szCs w:val="20"/>
                <w:color w:val="auto"/>
              </w:rPr>
              <w:t>[***]</w:t>
            </w:r>
          </w:p>
        </w:tc>
      </w:tr>
      <w:tr>
        <w:trPr>
          <w:trHeight w:val="206"/>
        </w:trPr>
        <w:tc>
          <w:tcPr>
            <w:tcW w:w="278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Strategic Performance</w:t>
            </w:r>
          </w:p>
        </w:tc>
        <w:tc>
          <w:tcPr>
            <w:tcW w:w="4480" w:type="dxa"/>
            <w:vAlign w:val="bottom"/>
            <w:tcBorders>
              <w:right w:val="single" w:sz="8" w:color="auto"/>
            </w:tcBorders>
          </w:tcPr>
          <w:p>
            <w:pPr>
              <w:jc w:val="right"/>
              <w:ind w:right="3861"/>
              <w:spacing w:after="0" w:line="207" w:lineRule="exact"/>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tcPr>
          <w:p>
            <w:pPr>
              <w:jc w:val="right"/>
              <w:ind w:right="2061"/>
              <w:spacing w:after="0" w:line="207" w:lineRule="exact"/>
              <w:rPr>
                <w:sz w:val="20"/>
                <w:szCs w:val="20"/>
                <w:color w:val="auto"/>
              </w:rPr>
            </w:pPr>
            <w:r>
              <w:rPr>
                <w:rFonts w:ascii="Arial" w:cs="Arial" w:eastAsia="Arial" w:hAnsi="Arial"/>
                <w:sz w:val="20"/>
                <w:szCs w:val="20"/>
                <w:color w:val="auto"/>
              </w:rPr>
              <w:t>[***]</w:t>
            </w:r>
          </w:p>
        </w:tc>
      </w:tr>
      <w:tr>
        <w:trPr>
          <w:trHeight w:val="246"/>
        </w:trPr>
        <w:tc>
          <w:tcPr>
            <w:tcW w:w="2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Extension</w:t>
            </w:r>
          </w:p>
        </w:tc>
        <w:tc>
          <w:tcPr>
            <w:tcW w:w="448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r>
        <w:trPr>
          <w:trHeight w:val="223"/>
        </w:trPr>
        <w:tc>
          <w:tcPr>
            <w:tcW w:w="2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4480" w:type="dxa"/>
            <w:vAlign w:val="bottom"/>
            <w:tcBorders>
              <w:bottom w:val="single" w:sz="8" w:color="auto"/>
              <w:right w:val="single" w:sz="8" w:color="auto"/>
            </w:tcBorders>
          </w:tcPr>
          <w:p>
            <w:pPr>
              <w:jc w:val="right"/>
              <w:ind w:right="3861"/>
              <w:spacing w:after="0" w:line="223" w:lineRule="exact"/>
              <w:rPr>
                <w:sz w:val="20"/>
                <w:szCs w:val="20"/>
                <w:color w:val="auto"/>
              </w:rPr>
            </w:pPr>
            <w:r>
              <w:rPr>
                <w:rFonts w:ascii="Arial" w:cs="Arial" w:eastAsia="Arial" w:hAnsi="Arial"/>
                <w:sz w:val="20"/>
                <w:szCs w:val="20"/>
                <w:color w:val="auto"/>
              </w:rPr>
              <w:t>[***]</w:t>
            </w:r>
          </w:p>
        </w:tc>
        <w:tc>
          <w:tcPr>
            <w:tcW w:w="2660" w:type="dxa"/>
            <w:vAlign w:val="bottom"/>
            <w:tcBorders>
              <w:bottom w:val="single" w:sz="8" w:color="auto"/>
              <w:right w:val="single" w:sz="8" w:color="auto"/>
            </w:tcBorders>
          </w:tcPr>
          <w:p>
            <w:pPr>
              <w:jc w:val="right"/>
              <w:ind w:right="2061"/>
              <w:spacing w:after="0" w:line="223" w:lineRule="exact"/>
              <w:rPr>
                <w:sz w:val="20"/>
                <w:szCs w:val="20"/>
                <w:color w:val="auto"/>
              </w:rPr>
            </w:pPr>
            <w:r>
              <w:rPr>
                <w:rFonts w:ascii="Arial" w:cs="Arial" w:eastAsia="Arial" w:hAnsi="Arial"/>
                <w:sz w:val="20"/>
                <w:szCs w:val="20"/>
                <w:color w:val="auto"/>
              </w:rPr>
              <w:t>[***]</w:t>
            </w:r>
          </w:p>
        </w:tc>
      </w:tr>
      <w:tr>
        <w:trPr>
          <w:trHeight w:val="223"/>
        </w:trPr>
        <w:tc>
          <w:tcPr>
            <w:tcW w:w="2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4480" w:type="dxa"/>
            <w:vAlign w:val="bottom"/>
            <w:tcBorders>
              <w:bottom w:val="single" w:sz="8" w:color="auto"/>
              <w:right w:val="single" w:sz="8" w:color="auto"/>
            </w:tcBorders>
          </w:tcPr>
          <w:p>
            <w:pPr>
              <w:jc w:val="right"/>
              <w:ind w:right="3861"/>
              <w:spacing w:after="0" w:line="223" w:lineRule="exact"/>
              <w:rPr>
                <w:sz w:val="20"/>
                <w:szCs w:val="20"/>
                <w:color w:val="auto"/>
              </w:rPr>
            </w:pPr>
            <w:r>
              <w:rPr>
                <w:rFonts w:ascii="Arial" w:cs="Arial" w:eastAsia="Arial" w:hAnsi="Arial"/>
                <w:sz w:val="20"/>
                <w:szCs w:val="20"/>
                <w:color w:val="auto"/>
              </w:rPr>
              <w:t>[***]</w:t>
            </w:r>
          </w:p>
        </w:tc>
        <w:tc>
          <w:tcPr>
            <w:tcW w:w="2660" w:type="dxa"/>
            <w:vAlign w:val="bottom"/>
            <w:tcBorders>
              <w:bottom w:val="single" w:sz="8" w:color="auto"/>
              <w:right w:val="single" w:sz="8" w:color="auto"/>
            </w:tcBorders>
          </w:tcPr>
          <w:p>
            <w:pPr>
              <w:jc w:val="right"/>
              <w:ind w:right="2061"/>
              <w:spacing w:after="0" w:line="223" w:lineRule="exact"/>
              <w:rPr>
                <w:sz w:val="20"/>
                <w:szCs w:val="20"/>
                <w:color w:val="auto"/>
              </w:rPr>
            </w:pPr>
            <w:r>
              <w:rPr>
                <w:rFonts w:ascii="Arial" w:cs="Arial" w:eastAsia="Arial" w:hAnsi="Arial"/>
                <w:sz w:val="20"/>
                <w:szCs w:val="20"/>
                <w:color w:val="auto"/>
              </w:rPr>
              <w:t>[***]</w:t>
            </w:r>
          </w:p>
        </w:tc>
      </w:tr>
      <w:tr>
        <w:trPr>
          <w:trHeight w:val="223"/>
        </w:trPr>
        <w:tc>
          <w:tcPr>
            <w:tcW w:w="2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4480" w:type="dxa"/>
            <w:vAlign w:val="bottom"/>
            <w:tcBorders>
              <w:bottom w:val="single" w:sz="8" w:color="auto"/>
              <w:right w:val="single" w:sz="8" w:color="auto"/>
            </w:tcBorders>
          </w:tcPr>
          <w:p>
            <w:pPr>
              <w:jc w:val="right"/>
              <w:ind w:right="3861"/>
              <w:spacing w:after="0" w:line="223" w:lineRule="exact"/>
              <w:rPr>
                <w:sz w:val="20"/>
                <w:szCs w:val="20"/>
                <w:color w:val="auto"/>
              </w:rPr>
            </w:pPr>
            <w:r>
              <w:rPr>
                <w:rFonts w:ascii="Arial" w:cs="Arial" w:eastAsia="Arial" w:hAnsi="Arial"/>
                <w:sz w:val="20"/>
                <w:szCs w:val="20"/>
                <w:color w:val="auto"/>
              </w:rPr>
              <w:t>[***]</w:t>
            </w:r>
          </w:p>
        </w:tc>
        <w:tc>
          <w:tcPr>
            <w:tcW w:w="2660" w:type="dxa"/>
            <w:vAlign w:val="bottom"/>
            <w:tcBorders>
              <w:bottom w:val="single" w:sz="8" w:color="auto"/>
              <w:right w:val="single" w:sz="8" w:color="auto"/>
            </w:tcBorders>
          </w:tcPr>
          <w:p>
            <w:pPr>
              <w:jc w:val="right"/>
              <w:ind w:right="2061"/>
              <w:spacing w:after="0" w:line="223" w:lineRule="exact"/>
              <w:rPr>
                <w:sz w:val="20"/>
                <w:szCs w:val="20"/>
                <w:color w:val="auto"/>
              </w:rPr>
            </w:pPr>
            <w:r>
              <w:rPr>
                <w:rFonts w:ascii="Arial" w:cs="Arial" w:eastAsia="Arial" w:hAnsi="Arial"/>
                <w:sz w:val="20"/>
                <w:szCs w:val="20"/>
                <w:color w:val="auto"/>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Effect of No Issuance of Optional Order</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 – Project Funds Status Report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B – Monthly Status Report (Example)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1" w:right="999" w:bottom="1440" w:gutter="0" w:footer="0" w:header="0"/>
        </w:sectPr>
      </w:pPr>
    </w:p>
    <w:bookmarkStart w:id="446" w:name="page447"/>
    <w:bookmarkEnd w:id="446"/>
    <w:p>
      <w:pPr>
        <w:ind w:left="2540"/>
        <w:spacing w:after="0"/>
        <w:rPr>
          <w:sz w:val="20"/>
          <w:szCs w:val="20"/>
          <w:color w:val="auto"/>
        </w:rPr>
      </w:pPr>
      <w:r>
        <w:rPr>
          <w:rFonts w:ascii="Arial" w:cs="Arial" w:eastAsia="Arial" w:hAnsi="Arial"/>
          <w:sz w:val="18"/>
          <w:szCs w:val="18"/>
          <w:b w:val="1"/>
          <w:bCs w:val="1"/>
          <w:color w:val="auto"/>
        </w:rPr>
        <w:t>Exhibit A to Attachment F – Project Funds Status Report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2530475</wp:posOffset>
            </wp:positionV>
            <wp:extent cx="5400675" cy="19373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540067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20</w:t>
      </w:r>
    </w:p>
    <w:p>
      <w:pPr>
        <w:spacing w:after="0" w:line="16" w:lineRule="exact"/>
        <w:rPr>
          <w:sz w:val="20"/>
          <w:szCs w:val="20"/>
          <w:color w:val="auto"/>
        </w:rPr>
      </w:pPr>
    </w:p>
    <w:p>
      <w:pPr>
        <w:ind w:right="2959" w:firstLine="8"/>
        <w:spacing w:after="0" w:line="244" w:lineRule="auto"/>
        <w:tabs>
          <w:tab w:leader="none" w:pos="478" w:val="left"/>
        </w:tabs>
        <w:numPr>
          <w:ilvl w:val="0"/>
          <w:numId w:val="47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2" w:right="1440" w:bottom="1440" w:gutter="0" w:footer="0" w:header="0"/>
        </w:sectPr>
      </w:pPr>
    </w:p>
    <w:bookmarkStart w:id="447" w:name="page448"/>
    <w:bookmarkEnd w:id="4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714375</wp:posOffset>
            </wp:positionV>
            <wp:extent cx="5572125" cy="2177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21</w:t>
      </w:r>
    </w:p>
    <w:p>
      <w:pPr>
        <w:spacing w:after="0" w:line="16" w:lineRule="exact"/>
        <w:rPr>
          <w:sz w:val="20"/>
          <w:szCs w:val="20"/>
          <w:color w:val="auto"/>
        </w:rPr>
      </w:pPr>
    </w:p>
    <w:p>
      <w:pPr>
        <w:ind w:left="-8" w:right="2959" w:firstLine="8"/>
        <w:spacing w:after="0" w:line="244" w:lineRule="auto"/>
        <w:tabs>
          <w:tab w:leader="none" w:pos="470" w:val="left"/>
        </w:tabs>
        <w:numPr>
          <w:ilvl w:val="0"/>
          <w:numId w:val="48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48" w:name="page449"/>
    <w:bookmarkEnd w:id="448"/>
    <w:p>
      <w:pPr>
        <w:spacing w:after="0"/>
        <w:rPr>
          <w:sz w:val="20"/>
          <w:szCs w:val="20"/>
          <w:color w:val="auto"/>
        </w:rPr>
      </w:pPr>
      <w:r>
        <w:rPr>
          <w:rFonts w:ascii="Arial" w:cs="Arial" w:eastAsia="Arial" w:hAnsi="Arial"/>
          <w:sz w:val="20"/>
          <w:szCs w:val="20"/>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156210</wp:posOffset>
            </wp:positionV>
            <wp:extent cx="5246370" cy="49549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524637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22</w:t>
      </w:r>
    </w:p>
    <w:p>
      <w:pPr>
        <w:spacing w:after="0" w:line="16" w:lineRule="exact"/>
        <w:rPr>
          <w:sz w:val="20"/>
          <w:szCs w:val="20"/>
          <w:color w:val="auto"/>
        </w:rPr>
      </w:pPr>
    </w:p>
    <w:p>
      <w:pPr>
        <w:ind w:right="2959" w:firstLine="8"/>
        <w:spacing w:after="0" w:line="244" w:lineRule="auto"/>
        <w:tabs>
          <w:tab w:leader="none" w:pos="478" w:val="left"/>
        </w:tabs>
        <w:numPr>
          <w:ilvl w:val="0"/>
          <w:numId w:val="48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9" w:right="1440" w:bottom="1440" w:gutter="0" w:footer="0" w:header="0"/>
        </w:sectPr>
      </w:pPr>
    </w:p>
    <w:bookmarkStart w:id="449" w:name="page450"/>
    <w:bookmarkEnd w:id="4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714375</wp:posOffset>
            </wp:positionV>
            <wp:extent cx="5246370" cy="25031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524637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23</w:t>
      </w:r>
    </w:p>
    <w:p>
      <w:pPr>
        <w:spacing w:after="0" w:line="16" w:lineRule="exact"/>
        <w:rPr>
          <w:sz w:val="20"/>
          <w:szCs w:val="20"/>
          <w:color w:val="auto"/>
        </w:rPr>
      </w:pPr>
    </w:p>
    <w:p>
      <w:pPr>
        <w:ind w:left="-8" w:right="2959" w:firstLine="8"/>
        <w:spacing w:after="0" w:line="244" w:lineRule="auto"/>
        <w:tabs>
          <w:tab w:leader="none" w:pos="470" w:val="left"/>
        </w:tabs>
        <w:numPr>
          <w:ilvl w:val="0"/>
          <w:numId w:val="48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119380</wp:posOffset>
            </wp:positionV>
            <wp:extent cx="5452110" cy="16541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5452110" cy="165417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3676650</wp:posOffset>
            </wp:positionV>
            <wp:extent cx="5452110" cy="34207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5452110" cy="3420745"/>
                    </a:xfrm>
                    <a:prstGeom prst="rect">
                      <a:avLst/>
                    </a:prstGeom>
                    <a:noFill/>
                  </pic:spPr>
                </pic:pic>
              </a:graphicData>
            </a:graphic>
          </wp:anchor>
        </w:drawing>
      </w:r>
    </w:p>
    <w:p>
      <w:pPr>
        <w:sectPr>
          <w:pgSz w:w="11900" w:h="16838" w:orient="portrait"/>
          <w:cols w:equalWidth="0" w:num="1">
            <w:col w:w="9479"/>
          </w:cols>
          <w:pgMar w:left="980" w:top="8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24</w:t>
      </w:r>
    </w:p>
    <w:p>
      <w:pPr>
        <w:spacing w:after="0" w:line="16" w:lineRule="exact"/>
        <w:rPr>
          <w:sz w:val="20"/>
          <w:szCs w:val="20"/>
          <w:color w:val="auto"/>
        </w:rPr>
      </w:pPr>
    </w:p>
    <w:p>
      <w:pPr>
        <w:ind w:right="2959" w:firstLine="8"/>
        <w:spacing w:after="0" w:line="244" w:lineRule="auto"/>
        <w:tabs>
          <w:tab w:leader="none" w:pos="478" w:val="left"/>
        </w:tabs>
        <w:numPr>
          <w:ilvl w:val="0"/>
          <w:numId w:val="48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9" w:right="1440" w:bottom="1440" w:gutter="0" w:footer="0" w:header="0"/>
          <w:type w:val="continuous"/>
        </w:sectPr>
      </w:pPr>
    </w:p>
    <w:bookmarkStart w:id="451" w:name="page452"/>
    <w:bookmarkEnd w:id="451"/>
    <w:p>
      <w:pPr>
        <w:ind w:left="172"/>
        <w:spacing w:after="0"/>
        <w:rPr>
          <w:sz w:val="20"/>
          <w:szCs w:val="20"/>
          <w:color w:val="auto"/>
        </w:rPr>
      </w:pPr>
      <w:r>
        <w:rPr>
          <w:rFonts w:ascii="Arial" w:cs="Arial" w:eastAsia="Arial" w:hAnsi="Arial"/>
          <w:sz w:val="20"/>
          <w:szCs w:val="20"/>
          <w:color w:val="auto"/>
        </w:rPr>
        <w:t>4. Estimate at Completion on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156210</wp:posOffset>
            </wp:positionV>
            <wp:extent cx="5391785" cy="45262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539178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25</w:t>
      </w:r>
    </w:p>
    <w:p>
      <w:pPr>
        <w:spacing w:after="0" w:line="16" w:lineRule="exact"/>
        <w:rPr>
          <w:sz w:val="20"/>
          <w:szCs w:val="20"/>
          <w:color w:val="auto"/>
        </w:rPr>
      </w:pPr>
    </w:p>
    <w:p>
      <w:pPr>
        <w:ind w:left="-8" w:right="2959" w:firstLine="8"/>
        <w:spacing w:after="0" w:line="244" w:lineRule="auto"/>
        <w:tabs>
          <w:tab w:leader="none" w:pos="47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879" w:right="1440" w:bottom="1440" w:gutter="0" w:footer="0" w:header="0"/>
        </w:sectPr>
      </w:pPr>
    </w:p>
    <w:bookmarkStart w:id="452" w:name="page453"/>
    <w:bookmarkEnd w:id="4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568960</wp:posOffset>
            </wp:positionV>
            <wp:extent cx="5237480" cy="51003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5237480" cy="510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72"/>
        <w:spacing w:after="0"/>
        <w:rPr>
          <w:sz w:val="20"/>
          <w:szCs w:val="20"/>
          <w:color w:val="auto"/>
        </w:rPr>
      </w:pPr>
      <w:r>
        <w:rPr>
          <w:rFonts w:ascii="Arial" w:cs="Arial" w:eastAsia="Arial" w:hAnsi="Arial"/>
          <w:sz w:val="18"/>
          <w:szCs w:val="18"/>
          <w:color w:val="auto"/>
        </w:rPr>
        <w:t>5. Estimate at Completion on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170815</wp:posOffset>
            </wp:positionV>
            <wp:extent cx="5254625" cy="16541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5254625" cy="165417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26</w:t>
      </w:r>
    </w:p>
    <w:p>
      <w:pPr>
        <w:spacing w:after="0" w:line="16" w:lineRule="exact"/>
        <w:rPr>
          <w:sz w:val="20"/>
          <w:szCs w:val="20"/>
          <w:color w:val="auto"/>
        </w:rPr>
      </w:pPr>
    </w:p>
    <w:p>
      <w:pPr>
        <w:ind w:left="-8" w:right="2959" w:firstLine="8"/>
        <w:spacing w:after="0" w:line="244" w:lineRule="auto"/>
        <w:tabs>
          <w:tab w:leader="none" w:pos="470" w:val="left"/>
        </w:tabs>
        <w:numPr>
          <w:ilvl w:val="0"/>
          <w:numId w:val="48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type w:val="continuous"/>
        </w:sectPr>
      </w:pPr>
    </w:p>
    <w:bookmarkStart w:id="453" w:name="page454"/>
    <w:bookmarkEnd w:id="4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714375</wp:posOffset>
            </wp:positionV>
            <wp:extent cx="5554980" cy="46120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555498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6. Estimate at Completion on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156210</wp:posOffset>
            </wp:positionV>
            <wp:extent cx="5572125" cy="16027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557212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27</w:t>
      </w:r>
    </w:p>
    <w:p>
      <w:pPr>
        <w:spacing w:after="0" w:line="16" w:lineRule="exact"/>
        <w:rPr>
          <w:sz w:val="20"/>
          <w:szCs w:val="20"/>
          <w:color w:val="auto"/>
        </w:rPr>
      </w:pPr>
    </w:p>
    <w:p>
      <w:pPr>
        <w:ind w:right="2959" w:firstLine="8"/>
        <w:spacing w:after="0" w:line="244" w:lineRule="auto"/>
        <w:tabs>
          <w:tab w:leader="none" w:pos="478" w:val="left"/>
        </w:tabs>
        <w:numPr>
          <w:ilvl w:val="0"/>
          <w:numId w:val="48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454" w:name="page455"/>
    <w:bookmarkEnd w:id="4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714375</wp:posOffset>
            </wp:positionV>
            <wp:extent cx="5494655" cy="56064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5494655"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28</w:t>
      </w:r>
    </w:p>
    <w:p>
      <w:pPr>
        <w:spacing w:after="0" w:line="16" w:lineRule="exact"/>
        <w:rPr>
          <w:sz w:val="20"/>
          <w:szCs w:val="20"/>
          <w:color w:val="auto"/>
        </w:rPr>
      </w:pPr>
    </w:p>
    <w:p>
      <w:pPr>
        <w:ind w:left="-8" w:right="2959" w:firstLine="8"/>
        <w:spacing w:after="0" w:line="244" w:lineRule="auto"/>
        <w:tabs>
          <w:tab w:leader="none" w:pos="470" w:val="left"/>
        </w:tabs>
        <w:numPr>
          <w:ilvl w:val="0"/>
          <w:numId w:val="48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55" w:name="page456"/>
    <w:bookmarkEnd w:id="455"/>
    <w:p>
      <w:pPr>
        <w:spacing w:after="0"/>
        <w:rPr>
          <w:sz w:val="20"/>
          <w:szCs w:val="20"/>
          <w:color w:val="auto"/>
        </w:rPr>
      </w:pPr>
      <w:r>
        <w:rPr>
          <w:rFonts w:ascii="Arial" w:cs="Arial" w:eastAsia="Arial" w:hAnsi="Arial"/>
          <w:sz w:val="20"/>
          <w:szCs w:val="20"/>
          <w:b w:val="1"/>
          <w:bCs w:val="1"/>
          <w:color w:val="auto"/>
        </w:rPr>
        <w:t>7. Estimate at Completion on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159385</wp:posOffset>
            </wp:positionV>
            <wp:extent cx="5460365" cy="60178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5460365" cy="601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29</w:t>
      </w:r>
    </w:p>
    <w:p>
      <w:pPr>
        <w:spacing w:after="0" w:line="16" w:lineRule="exact"/>
        <w:rPr>
          <w:sz w:val="20"/>
          <w:szCs w:val="20"/>
          <w:color w:val="auto"/>
        </w:rPr>
      </w:pPr>
    </w:p>
    <w:p>
      <w:pPr>
        <w:ind w:right="2959" w:firstLine="8"/>
        <w:spacing w:after="0" w:line="244" w:lineRule="auto"/>
        <w:tabs>
          <w:tab w:leader="none" w:pos="478" w:val="left"/>
        </w:tabs>
        <w:numPr>
          <w:ilvl w:val="0"/>
          <w:numId w:val="48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0" w:right="1440" w:bottom="1440" w:gutter="0" w:footer="0" w:header="0"/>
        </w:sectPr>
      </w:pPr>
    </w:p>
    <w:bookmarkStart w:id="456" w:name="page457"/>
    <w:bookmarkEnd w:id="4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774700</wp:posOffset>
            </wp:positionV>
            <wp:extent cx="5366385" cy="62407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5366385" cy="624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30</w:t>
      </w:r>
    </w:p>
    <w:p>
      <w:pPr>
        <w:spacing w:after="0" w:line="16" w:lineRule="exact"/>
        <w:rPr>
          <w:sz w:val="20"/>
          <w:szCs w:val="20"/>
          <w:color w:val="auto"/>
        </w:rPr>
      </w:pPr>
    </w:p>
    <w:p>
      <w:pPr>
        <w:ind w:left="-8" w:right="2959" w:firstLine="8"/>
        <w:spacing w:after="0" w:line="244" w:lineRule="auto"/>
        <w:tabs>
          <w:tab w:leader="none" w:pos="470" w:val="left"/>
        </w:tabs>
        <w:numPr>
          <w:ilvl w:val="0"/>
          <w:numId w:val="48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57" w:name="page458"/>
    <w:bookmarkEnd w:id="457"/>
    <w:p>
      <w:pPr>
        <w:spacing w:after="0"/>
        <w:rPr>
          <w:sz w:val="20"/>
          <w:szCs w:val="20"/>
          <w:color w:val="auto"/>
        </w:rPr>
      </w:pPr>
      <w:r>
        <w:rPr>
          <w:rFonts w:ascii="Arial" w:cs="Arial" w:eastAsia="Arial" w:hAnsi="Arial"/>
          <w:sz w:val="20"/>
          <w:szCs w:val="20"/>
          <w:b w:val="1"/>
          <w:bCs w:val="1"/>
          <w:color w:val="auto"/>
        </w:rPr>
        <w:t>8. Estimate at Completion on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160020</wp:posOffset>
            </wp:positionV>
            <wp:extent cx="5271770" cy="19888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5271770" cy="198882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4463415</wp:posOffset>
            </wp:positionV>
            <wp:extent cx="5288915" cy="20231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528891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31</w:t>
      </w:r>
    </w:p>
    <w:p>
      <w:pPr>
        <w:spacing w:after="0" w:line="16" w:lineRule="exact"/>
        <w:rPr>
          <w:sz w:val="20"/>
          <w:szCs w:val="20"/>
          <w:color w:val="auto"/>
        </w:rPr>
      </w:pPr>
    </w:p>
    <w:p>
      <w:pPr>
        <w:ind w:right="2959" w:firstLine="8"/>
        <w:spacing w:after="0" w:line="244" w:lineRule="auto"/>
        <w:tabs>
          <w:tab w:leader="none" w:pos="478" w:val="left"/>
        </w:tabs>
        <w:numPr>
          <w:ilvl w:val="0"/>
          <w:numId w:val="49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58" w:name="page459"/>
    <w:bookmarkEnd w:id="4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714375</wp:posOffset>
            </wp:positionV>
            <wp:extent cx="5323205" cy="69437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5323205" cy="694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32</w:t>
      </w:r>
    </w:p>
    <w:p>
      <w:pPr>
        <w:spacing w:after="0" w:line="16" w:lineRule="exact"/>
        <w:rPr>
          <w:sz w:val="20"/>
          <w:szCs w:val="20"/>
          <w:color w:val="auto"/>
        </w:rPr>
      </w:pPr>
    </w:p>
    <w:p>
      <w:pPr>
        <w:ind w:left="-8" w:right="2959" w:firstLine="8"/>
        <w:spacing w:after="0" w:line="244" w:lineRule="auto"/>
        <w:tabs>
          <w:tab w:leader="none" w:pos="470" w:val="left"/>
        </w:tabs>
        <w:numPr>
          <w:ilvl w:val="0"/>
          <w:numId w:val="49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59" w:name="page460"/>
    <w:bookmarkEnd w:id="4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714375</wp:posOffset>
            </wp:positionV>
            <wp:extent cx="5143500" cy="23914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33</w:t>
      </w:r>
    </w:p>
    <w:p>
      <w:pPr>
        <w:spacing w:after="0" w:line="16" w:lineRule="exact"/>
        <w:rPr>
          <w:sz w:val="20"/>
          <w:szCs w:val="20"/>
          <w:color w:val="auto"/>
        </w:rPr>
      </w:pPr>
    </w:p>
    <w:p>
      <w:pPr>
        <w:ind w:left="-8" w:right="2959" w:firstLine="8"/>
        <w:spacing w:after="0" w:line="244" w:lineRule="auto"/>
        <w:tabs>
          <w:tab w:leader="none" w:pos="470" w:val="left"/>
        </w:tabs>
        <w:numPr>
          <w:ilvl w:val="0"/>
          <w:numId w:val="49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60" w:name="page461"/>
    <w:bookmarkEnd w:id="460"/>
    <w:p>
      <w:pPr>
        <w:jc w:val="right"/>
        <w:ind w:right="1859"/>
        <w:spacing w:after="0"/>
        <w:rPr>
          <w:sz w:val="20"/>
          <w:szCs w:val="20"/>
          <w:color w:val="auto"/>
        </w:rPr>
      </w:pPr>
      <w:r>
        <w:rPr>
          <w:rFonts w:ascii="Arial" w:cs="Arial" w:eastAsia="Arial" w:hAnsi="Arial"/>
          <w:sz w:val="20"/>
          <w:szCs w:val="20"/>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1617345</wp:posOffset>
            </wp:positionV>
            <wp:extent cx="2348865" cy="13544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234886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AeroVironment Inc.</w:t>
      </w:r>
    </w:p>
    <w:p>
      <w:pPr>
        <w:spacing w:after="0" w:line="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980 Enchanted Way</w:t>
      </w:r>
    </w:p>
    <w:p>
      <w:pPr>
        <w:spacing w:after="0" w:line="4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Simi Valley, California 93065 – U.S.A.</w:t>
      </w:r>
    </w:p>
    <w:p>
      <w:pPr>
        <w:spacing w:after="0" w:line="4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Telephone 1(805) 581-2187 – FAX 1(805) 584-6922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210" w:right="1440" w:bottom="1440" w:gutter="0" w:footer="0" w:header="0"/>
        </w:sectPr>
      </w:pPr>
    </w:p>
    <w:bookmarkStart w:id="461" w:name="page462"/>
    <w:bookmarkEnd w:id="461"/>
    <w:p>
      <w:pPr>
        <w:spacing w:after="0"/>
        <w:rPr>
          <w:sz w:val="20"/>
          <w:szCs w:val="20"/>
          <w:color w:val="auto"/>
        </w:rPr>
      </w:pPr>
      <w:r>
        <w:rPr>
          <w:rFonts w:ascii="Arial" w:cs="Arial" w:eastAsia="Arial" w:hAnsi="Arial"/>
          <w:sz w:val="22"/>
          <w:szCs w:val="22"/>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4" w:right="1440" w:bottom="1440" w:gutter="0" w:footer="0" w:header="0"/>
        </w:sectPr>
      </w:pPr>
    </w:p>
    <w:bookmarkStart w:id="462" w:name="page463"/>
    <w:bookmarkEnd w:id="462"/>
    <w:p>
      <w:pPr>
        <w:spacing w:after="0"/>
        <w:rPr>
          <w:sz w:val="20"/>
          <w:szCs w:val="20"/>
          <w:color w:val="auto"/>
        </w:rPr>
      </w:pPr>
      <w:r>
        <w:rPr>
          <w:rFonts w:ascii="Arial" w:cs="Arial" w:eastAsia="Arial" w:hAnsi="Arial"/>
          <w:sz w:val="20"/>
          <w:szCs w:val="20"/>
          <w:b w:val="1"/>
          <w:bCs w:val="1"/>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292215" cy="21259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6292215" cy="212598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22"/>
                <w:szCs w:val="22"/>
                <w:color w:val="auto"/>
              </w:rPr>
              <w:t>REV</w:t>
            </w:r>
          </w:p>
        </w:tc>
        <w:tc>
          <w:tcPr>
            <w:tcW w:w="3060" w:type="dxa"/>
            <w:vAlign w:val="bottom"/>
            <w:tcBorders>
              <w:top w:val="single" w:sz="8" w:color="auto"/>
            </w:tcBorders>
            <w:shd w:val="clear" w:color="auto" w:fill="C0C0C0"/>
          </w:tcPr>
          <w:p>
            <w:pPr>
              <w:ind w:left="300"/>
              <w:spacing w:after="0"/>
              <w:rPr>
                <w:sz w:val="20"/>
                <w:szCs w:val="20"/>
                <w:color w:val="auto"/>
              </w:rPr>
            </w:pPr>
            <w:r>
              <w:rPr>
                <w:rFonts w:ascii="Arial" w:cs="Arial" w:eastAsia="Arial" w:hAnsi="Arial"/>
                <w:sz w:val="22"/>
                <w:szCs w:val="22"/>
                <w:color w:val="auto"/>
                <w:w w:val="96"/>
              </w:rPr>
              <w:t>EDIT DATEAUTHOR</w:t>
            </w:r>
          </w:p>
        </w:tc>
        <w:tc>
          <w:tcPr>
            <w:tcW w:w="6000" w:type="dxa"/>
            <w:vAlign w:val="bottom"/>
            <w:tcBorders>
              <w:top w:val="single" w:sz="8" w:color="auto"/>
            </w:tcBorders>
            <w:shd w:val="clear" w:color="auto" w:fill="C0C0C0"/>
          </w:tcPr>
          <w:p>
            <w:pPr>
              <w:ind w:left="360"/>
              <w:spacing w:after="0"/>
              <w:rPr>
                <w:sz w:val="20"/>
                <w:szCs w:val="20"/>
                <w:color w:val="auto"/>
              </w:rPr>
            </w:pPr>
            <w:r>
              <w:rPr>
                <w:rFonts w:ascii="Arial" w:cs="Arial" w:eastAsia="Arial" w:hAnsi="Arial"/>
                <w:sz w:val="22"/>
                <w:szCs w:val="22"/>
                <w:color w:val="auto"/>
              </w:rPr>
              <w:t>DESCRIPTION</w:t>
            </w:r>
          </w:p>
        </w:tc>
        <w:tc>
          <w:tcPr>
            <w:tcW w:w="20" w:type="dxa"/>
            <w:vAlign w:val="bottom"/>
            <w:tcBorders>
              <w:top w:val="single" w:sz="8" w:color="auto"/>
            </w:tcBorders>
          </w:tcPr>
          <w:p>
            <w:pPr>
              <w:spacing w:after="0"/>
              <w:rPr>
                <w:sz w:val="22"/>
                <w:szCs w:val="22"/>
                <w:color w:val="auto"/>
              </w:rPr>
            </w:pPr>
          </w:p>
        </w:tc>
      </w:tr>
    </w:tbl>
    <w:p>
      <w:pPr>
        <w:ind w:left="960" w:hanging="612"/>
        <w:spacing w:after="0"/>
        <w:tabs>
          <w:tab w:leader="none" w:pos="960" w:val="left"/>
        </w:tabs>
        <w:numPr>
          <w:ilvl w:val="0"/>
          <w:numId w:val="493"/>
        </w:numPr>
        <w:rPr>
          <w:rFonts w:ascii="Arial" w:cs="Arial" w:eastAsia="Arial" w:hAnsi="Arial"/>
          <w:sz w:val="22"/>
          <w:szCs w:val="22"/>
          <w:color w:val="auto"/>
        </w:rPr>
      </w:pPr>
      <w:r>
        <w:rPr>
          <w:rFonts w:ascii="Arial" w:cs="Arial" w:eastAsia="Arial" w:hAnsi="Arial"/>
          <w:sz w:val="22"/>
          <w:szCs w:val="22"/>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63" w:name="page464"/>
    <w:bookmarkEnd w:id="463"/>
    <w:p>
      <w:pPr>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5460365" cy="19373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546036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2" w:right="1440" w:bottom="1440" w:gutter="0" w:footer="0" w:header="0"/>
        </w:sectPr>
      </w:pPr>
    </w:p>
    <w:bookmarkStart w:id="464" w:name="page465"/>
    <w:bookmarkEnd w:id="464"/>
    <w:p>
      <w:pPr>
        <w:spacing w:after="0"/>
        <w:rPr>
          <w:sz w:val="20"/>
          <w:szCs w:val="20"/>
          <w:color w:val="auto"/>
        </w:rPr>
      </w:pPr>
      <w:r>
        <w:rPr>
          <w:rFonts w:ascii="Arial" w:cs="Arial" w:eastAsia="Arial" w:hAnsi="Arial"/>
          <w:sz w:val="20"/>
          <w:szCs w:val="20"/>
          <w:b w:val="1"/>
          <w:bCs w:val="1"/>
          <w:color w:val="auto"/>
        </w:rPr>
        <w:t>INTRODUCTION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&lt;&lt;HIGH LEVEL PROGRAM OVERVIEW&gt;&gt;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161290</wp:posOffset>
            </wp:positionV>
            <wp:extent cx="5314950" cy="32232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531495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TECHNICAL ACCOMPLISHMENTS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What efforts were started this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&lt;&lt;Description of work started and performed during the reporting month&gt;&gt;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Task 5</w:t>
      </w:r>
    </w:p>
    <w:p>
      <w:pPr>
        <w:spacing w:after="0" w:line="230" w:lineRule="auto"/>
        <w:rPr>
          <w:sz w:val="20"/>
          <w:szCs w:val="20"/>
          <w:color w:val="auto"/>
        </w:rPr>
      </w:pPr>
      <w:r>
        <w:rPr>
          <w:rFonts w:ascii="Arial" w:cs="Arial" w:eastAsia="Arial" w:hAnsi="Arial"/>
          <w:sz w:val="22"/>
          <w:szCs w:val="22"/>
          <w:color w:val="auto"/>
        </w:rPr>
        <w:t>Task 6</w:t>
      </w:r>
    </w:p>
    <w:p>
      <w:pPr>
        <w:spacing w:after="0" w:line="231" w:lineRule="auto"/>
        <w:rPr>
          <w:sz w:val="20"/>
          <w:szCs w:val="20"/>
          <w:color w:val="auto"/>
        </w:rPr>
      </w:pPr>
      <w:r>
        <w:rPr>
          <w:rFonts w:ascii="Arial" w:cs="Arial" w:eastAsia="Arial" w:hAnsi="Arial"/>
          <w:sz w:val="22"/>
          <w:szCs w:val="22"/>
          <w:color w:val="auto"/>
        </w:rPr>
        <w:t>Task 7</w:t>
      </w:r>
    </w:p>
    <w:p>
      <w:pPr>
        <w:spacing w:after="0"/>
        <w:rPr>
          <w:sz w:val="20"/>
          <w:szCs w:val="20"/>
          <w:color w:val="auto"/>
        </w:rPr>
      </w:pPr>
      <w:r>
        <w:rPr>
          <w:rFonts w:ascii="Arial" w:cs="Arial" w:eastAsia="Arial" w:hAnsi="Arial"/>
          <w:sz w:val="22"/>
          <w:szCs w:val="22"/>
          <w:color w:val="auto"/>
        </w:rPr>
        <w:t>Task …X</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What efforts were completed this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&lt;&lt;Description of work completed and performed during the reporting month&gt;&gt;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Task 1</w:t>
      </w:r>
    </w:p>
    <w:p>
      <w:pPr>
        <w:spacing w:after="0" w:line="230" w:lineRule="auto"/>
        <w:rPr>
          <w:sz w:val="20"/>
          <w:szCs w:val="20"/>
          <w:color w:val="auto"/>
        </w:rPr>
      </w:pPr>
      <w:r>
        <w:rPr>
          <w:rFonts w:ascii="Arial" w:cs="Arial" w:eastAsia="Arial" w:hAnsi="Arial"/>
          <w:sz w:val="22"/>
          <w:szCs w:val="22"/>
          <w:color w:val="auto"/>
        </w:rPr>
        <w:t>Task 2</w:t>
      </w:r>
    </w:p>
    <w:p>
      <w:pPr>
        <w:spacing w:after="0" w:line="231" w:lineRule="auto"/>
        <w:rPr>
          <w:sz w:val="20"/>
          <w:szCs w:val="20"/>
          <w:color w:val="auto"/>
        </w:rPr>
      </w:pPr>
      <w:r>
        <w:rPr>
          <w:rFonts w:ascii="Arial" w:cs="Arial" w:eastAsia="Arial" w:hAnsi="Arial"/>
          <w:sz w:val="22"/>
          <w:szCs w:val="22"/>
          <w:color w:val="auto"/>
        </w:rPr>
        <w:t>Task 3</w:t>
      </w:r>
    </w:p>
    <w:p>
      <w:pPr>
        <w:spacing w:after="0"/>
        <w:rPr>
          <w:sz w:val="20"/>
          <w:szCs w:val="20"/>
          <w:color w:val="auto"/>
        </w:rPr>
      </w:pPr>
      <w:r>
        <w:rPr>
          <w:rFonts w:ascii="Arial" w:cs="Arial" w:eastAsia="Arial" w:hAnsi="Arial"/>
          <w:sz w:val="22"/>
          <w:szCs w:val="22"/>
          <w:color w:val="auto"/>
        </w:rPr>
        <w:t>Task 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Key Subcontract Status: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38</w:t>
      </w:r>
    </w:p>
    <w:p>
      <w:pPr>
        <w:spacing w:after="0" w:line="16" w:lineRule="exact"/>
        <w:rPr>
          <w:sz w:val="20"/>
          <w:szCs w:val="20"/>
          <w:color w:val="auto"/>
        </w:rPr>
      </w:pPr>
    </w:p>
    <w:p>
      <w:pPr>
        <w:ind w:right="2959" w:firstLine="8"/>
        <w:spacing w:after="0" w:line="244" w:lineRule="auto"/>
        <w:tabs>
          <w:tab w:leader="none" w:pos="478" w:val="left"/>
        </w:tabs>
        <w:numPr>
          <w:ilvl w:val="0"/>
          <w:numId w:val="49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65" w:name="page466"/>
    <w:bookmarkEnd w:id="465"/>
    <w:p>
      <w:pPr>
        <w:ind w:left="660"/>
        <w:spacing w:after="0"/>
        <w:rPr>
          <w:sz w:val="20"/>
          <w:szCs w:val="20"/>
          <w:color w:val="auto"/>
        </w:rPr>
      </w:pPr>
      <w:r>
        <w:rPr>
          <w:rFonts w:ascii="Arial" w:cs="Arial" w:eastAsia="Arial" w:hAnsi="Arial"/>
          <w:sz w:val="22"/>
          <w:szCs w:val="22"/>
          <w:color w:val="auto"/>
        </w:rPr>
        <w:t>Subcontractor 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UPDATE</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Integrated Master Schedule Update</w:t>
      </w:r>
      <w:r>
        <w:rPr>
          <w:rFonts w:ascii="Arial" w:cs="Arial" w:eastAsia="Arial" w:hAnsi="Arial"/>
          <w:sz w:val="22"/>
          <w:szCs w:val="22"/>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161290</wp:posOffset>
            </wp:positionV>
            <wp:extent cx="5452110" cy="32746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545211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Milestone Status Update</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REFERENCE TO ATTACHMENT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39</w:t>
      </w:r>
    </w:p>
    <w:p>
      <w:pPr>
        <w:spacing w:after="0" w:line="16" w:lineRule="exact"/>
        <w:rPr>
          <w:sz w:val="20"/>
          <w:szCs w:val="20"/>
          <w:color w:val="auto"/>
        </w:rPr>
      </w:pPr>
    </w:p>
    <w:p>
      <w:pPr>
        <w:ind w:right="2959" w:firstLine="8"/>
        <w:spacing w:after="0" w:line="244" w:lineRule="auto"/>
        <w:tabs>
          <w:tab w:leader="none" w:pos="478" w:val="left"/>
        </w:tabs>
        <w:numPr>
          <w:ilvl w:val="0"/>
          <w:numId w:val="49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4" w:right="1440" w:bottom="1440" w:gutter="0" w:footer="0" w:header="0"/>
        </w:sectPr>
      </w:pPr>
    </w:p>
    <w:bookmarkStart w:id="466" w:name="page467"/>
    <w:bookmarkEnd w:id="466"/>
    <w:p>
      <w:pPr>
        <w:spacing w:after="0"/>
        <w:rPr>
          <w:sz w:val="20"/>
          <w:szCs w:val="20"/>
          <w:color w:val="auto"/>
        </w:rPr>
      </w:pPr>
      <w:r>
        <w:rPr>
          <w:rFonts w:ascii="Arial" w:cs="Arial" w:eastAsia="Arial" w:hAnsi="Arial"/>
          <w:sz w:val="20"/>
          <w:szCs w:val="20"/>
          <w:b w:val="1"/>
          <w:bCs w:val="1"/>
          <w:color w:val="auto"/>
        </w:rPr>
        <w:t>SPEND PLAN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161290</wp:posOffset>
            </wp:positionV>
            <wp:extent cx="5597525" cy="52978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5597525" cy="529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40</w:t>
      </w:r>
    </w:p>
    <w:p>
      <w:pPr>
        <w:spacing w:after="0" w:line="16" w:lineRule="exact"/>
        <w:rPr>
          <w:sz w:val="20"/>
          <w:szCs w:val="20"/>
          <w:color w:val="auto"/>
        </w:rPr>
      </w:pPr>
    </w:p>
    <w:p>
      <w:pPr>
        <w:ind w:right="2959" w:firstLine="8"/>
        <w:spacing w:after="0" w:line="244" w:lineRule="auto"/>
        <w:tabs>
          <w:tab w:leader="none" w:pos="478" w:val="left"/>
        </w:tabs>
        <w:numPr>
          <w:ilvl w:val="0"/>
          <w:numId w:val="49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67" w:name="page468"/>
    <w:bookmarkEnd w:id="4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723265</wp:posOffset>
            </wp:positionV>
            <wp:extent cx="5340350" cy="2674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534035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PERFORMANCE REPORT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Cost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161290</wp:posOffset>
            </wp:positionV>
            <wp:extent cx="5306060" cy="29914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530606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PERFORMANCE REPORT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&lt;&lt;Schedule Performance Report&gt;&gt;</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41</w:t>
      </w:r>
    </w:p>
    <w:p>
      <w:pPr>
        <w:spacing w:after="0" w:line="16" w:lineRule="exact"/>
        <w:rPr>
          <w:sz w:val="20"/>
          <w:szCs w:val="20"/>
          <w:color w:val="auto"/>
        </w:rPr>
      </w:pPr>
    </w:p>
    <w:p>
      <w:pPr>
        <w:ind w:right="2959" w:firstLine="8"/>
        <w:spacing w:after="0" w:line="244" w:lineRule="auto"/>
        <w:tabs>
          <w:tab w:leader="none" w:pos="478" w:val="left"/>
        </w:tabs>
        <w:numPr>
          <w:ilvl w:val="0"/>
          <w:numId w:val="49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468" w:name="page469"/>
    <w:bookmarkEnd w:id="468"/>
    <w:p>
      <w:pPr>
        <w:ind w:left="652" w:hanging="328"/>
        <w:spacing w:after="0"/>
        <w:tabs>
          <w:tab w:leader="none" w:pos="652" w:val="left"/>
        </w:tabs>
        <w:numPr>
          <w:ilvl w:val="0"/>
          <w:numId w:val="498"/>
        </w:numPr>
        <w:rPr>
          <w:rFonts w:ascii="Arial" w:cs="Arial" w:eastAsia="Arial" w:hAnsi="Arial"/>
          <w:sz w:val="18"/>
          <w:szCs w:val="18"/>
          <w:color w:val="auto"/>
        </w:rPr>
      </w:pPr>
      <w:r>
        <w:rPr>
          <w:rFonts w:ascii="Arial" w:cs="Arial" w:eastAsia="Arial" w:hAnsi="Arial"/>
          <w:sz w:val="22"/>
          <w:szCs w:val="22"/>
          <w:color w:val="auto"/>
        </w:rPr>
        <w:t>Critical Path Analysis</w:t>
      </w:r>
    </w:p>
    <w:p>
      <w:pPr>
        <w:spacing w:after="0" w:line="8" w:lineRule="exact"/>
        <w:rPr>
          <w:rFonts w:ascii="Arial" w:cs="Arial" w:eastAsia="Arial" w:hAnsi="Arial"/>
          <w:sz w:val="18"/>
          <w:szCs w:val="18"/>
          <w:color w:val="auto"/>
        </w:rPr>
      </w:pPr>
    </w:p>
    <w:p>
      <w:pPr>
        <w:ind w:left="652" w:hanging="328"/>
        <w:spacing w:after="0" w:line="230" w:lineRule="auto"/>
        <w:tabs>
          <w:tab w:leader="none" w:pos="652" w:val="left"/>
        </w:tabs>
        <w:numPr>
          <w:ilvl w:val="0"/>
          <w:numId w:val="498"/>
        </w:numPr>
        <w:rPr>
          <w:rFonts w:ascii="Arial" w:cs="Arial" w:eastAsia="Arial" w:hAnsi="Arial"/>
          <w:sz w:val="18"/>
          <w:szCs w:val="18"/>
          <w:color w:val="auto"/>
        </w:rPr>
      </w:pPr>
      <w:r>
        <w:rPr>
          <w:rFonts w:ascii="Arial" w:cs="Arial" w:eastAsia="Arial" w:hAnsi="Arial"/>
          <w:sz w:val="22"/>
          <w:szCs w:val="22"/>
          <w:color w:val="auto"/>
        </w:rPr>
        <w:t>Schedule Performance Index (if applicable)</w:t>
      </w:r>
    </w:p>
    <w:p>
      <w:pPr>
        <w:ind w:left="972" w:right="4699" w:hanging="648"/>
        <w:spacing w:after="0" w:line="230" w:lineRule="auto"/>
        <w:tabs>
          <w:tab w:leader="none" w:pos="648" w:val="left"/>
        </w:tabs>
        <w:numPr>
          <w:ilvl w:val="0"/>
          <w:numId w:val="498"/>
        </w:numPr>
        <w:rPr>
          <w:rFonts w:ascii="Arial" w:cs="Arial" w:eastAsia="Arial" w:hAnsi="Arial"/>
          <w:sz w:val="18"/>
          <w:szCs w:val="18"/>
          <w:color w:val="auto"/>
        </w:rPr>
      </w:pPr>
      <w:r>
        <w:rPr>
          <w:rFonts w:ascii="Arial" w:cs="Arial" w:eastAsia="Arial" w:hAnsi="Arial"/>
          <w:sz w:val="22"/>
          <w:szCs w:val="22"/>
          <w:color w:val="auto"/>
        </w:rPr>
        <w:t>Near term upcoming milestones (30 – 60 days ) o Milestone 1 =</w:t>
      </w:r>
    </w:p>
    <w:p>
      <w:pPr>
        <w:spacing w:after="0" w:line="1" w:lineRule="exact"/>
        <w:rPr>
          <w:rFonts w:ascii="Arial" w:cs="Arial" w:eastAsia="Arial" w:hAnsi="Arial"/>
          <w:sz w:val="18"/>
          <w:szCs w:val="18"/>
          <w:color w:val="auto"/>
        </w:rPr>
      </w:pPr>
    </w:p>
    <w:p>
      <w:pPr>
        <w:jc w:val="both"/>
        <w:ind w:left="972" w:right="6919"/>
        <w:spacing w:after="0" w:line="236" w:lineRule="auto"/>
        <w:rPr>
          <w:rFonts w:ascii="Arial" w:cs="Arial" w:eastAsia="Arial" w:hAnsi="Arial"/>
          <w:sz w:val="18"/>
          <w:szCs w:val="18"/>
          <w:color w:val="auto"/>
        </w:rPr>
      </w:pPr>
      <w:r>
        <w:rPr>
          <w:rFonts w:ascii="Arial" w:cs="Arial" w:eastAsia="Arial" w:hAnsi="Arial"/>
          <w:sz w:val="22"/>
          <w:szCs w:val="22"/>
          <w:color w:val="auto"/>
        </w:rPr>
        <w:t>o Milestone 2 = o Milestone 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42</w:t>
      </w:r>
    </w:p>
    <w:p>
      <w:pPr>
        <w:spacing w:after="0" w:line="16" w:lineRule="exact"/>
        <w:rPr>
          <w:sz w:val="20"/>
          <w:szCs w:val="20"/>
          <w:color w:val="auto"/>
        </w:rPr>
      </w:pPr>
    </w:p>
    <w:p>
      <w:pPr>
        <w:ind w:left="-8" w:right="2959" w:firstLine="8"/>
        <w:spacing w:after="0" w:line="244" w:lineRule="auto"/>
        <w:tabs>
          <w:tab w:leader="none" w:pos="470" w:val="left"/>
        </w:tabs>
        <w:numPr>
          <w:ilvl w:val="0"/>
          <w:numId w:val="49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474980</wp:posOffset>
            </wp:positionV>
            <wp:extent cx="629221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874" w:right="1440" w:bottom="1440" w:gutter="0" w:footer="0" w:header="0"/>
        </w:sectPr>
      </w:pPr>
    </w:p>
    <w:bookmarkStart w:id="469" w:name="page470"/>
    <w:bookmarkEnd w:id="469"/>
    <w:p>
      <w:pPr>
        <w:spacing w:after="0"/>
        <w:rPr>
          <w:sz w:val="20"/>
          <w:szCs w:val="20"/>
          <w:color w:val="auto"/>
        </w:rPr>
      </w:pPr>
      <w:r>
        <w:rPr>
          <w:rFonts w:ascii="Arial" w:cs="Arial" w:eastAsia="Arial" w:hAnsi="Arial"/>
          <w:sz w:val="20"/>
          <w:szCs w:val="20"/>
          <w:b w:val="1"/>
          <w:bCs w:val="1"/>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82550</wp:posOffset>
            </wp:positionV>
            <wp:extent cx="5297805" cy="61976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5297805" cy="619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Exhibit C to Attachment 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43</w:t>
      </w:r>
    </w:p>
    <w:p>
      <w:pPr>
        <w:spacing w:after="0" w:line="16" w:lineRule="exact"/>
        <w:rPr>
          <w:sz w:val="20"/>
          <w:szCs w:val="20"/>
          <w:color w:val="auto"/>
        </w:rPr>
      </w:pPr>
    </w:p>
    <w:p>
      <w:pPr>
        <w:ind w:right="2959" w:firstLine="8"/>
        <w:spacing w:after="0" w:line="244" w:lineRule="auto"/>
        <w:tabs>
          <w:tab w:leader="none" w:pos="478" w:val="left"/>
        </w:tabs>
        <w:numPr>
          <w:ilvl w:val="0"/>
          <w:numId w:val="50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2" w:right="1440" w:bottom="1440" w:gutter="0" w:footer="0" w:header="0"/>
        </w:sectPr>
      </w:pPr>
    </w:p>
    <w:bookmarkStart w:id="470" w:name="page471"/>
    <w:bookmarkEnd w:id="4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44</w:t>
      </w:r>
    </w:p>
    <w:p>
      <w:pPr>
        <w:spacing w:after="0" w:line="16" w:lineRule="exact"/>
        <w:rPr>
          <w:sz w:val="20"/>
          <w:szCs w:val="20"/>
          <w:color w:val="auto"/>
        </w:rPr>
      </w:pPr>
    </w:p>
    <w:p>
      <w:pPr>
        <w:ind w:left="-8" w:right="2959" w:firstLine="8"/>
        <w:spacing w:after="0" w:line="244" w:lineRule="auto"/>
        <w:tabs>
          <w:tab w:leader="none" w:pos="47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474980</wp:posOffset>
            </wp:positionV>
            <wp:extent cx="629221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71" w:name="page472"/>
    <w:bookmarkEnd w:id="4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782955</wp:posOffset>
            </wp:positionV>
            <wp:extent cx="5220335" cy="66865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5220335" cy="668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45</w:t>
      </w:r>
    </w:p>
    <w:p>
      <w:pPr>
        <w:spacing w:after="0" w:line="16" w:lineRule="exact"/>
        <w:rPr>
          <w:sz w:val="20"/>
          <w:szCs w:val="20"/>
          <w:color w:val="auto"/>
        </w:rPr>
      </w:pPr>
    </w:p>
    <w:p>
      <w:pPr>
        <w:ind w:left="-8" w:right="2959" w:firstLine="8"/>
        <w:spacing w:after="0" w:line="244" w:lineRule="auto"/>
        <w:tabs>
          <w:tab w:leader="none" w:pos="47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474980</wp:posOffset>
            </wp:positionV>
            <wp:extent cx="629221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72" w:name="page473"/>
    <w:bookmarkEnd w:id="4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1210945</wp:posOffset>
            </wp:positionH>
            <wp:positionV relativeFrom="page">
              <wp:posOffset>714375</wp:posOffset>
            </wp:positionV>
            <wp:extent cx="5134610" cy="67551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5134610"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46</w:t>
      </w:r>
    </w:p>
    <w:p>
      <w:pPr>
        <w:spacing w:after="0" w:line="16" w:lineRule="exact"/>
        <w:rPr>
          <w:sz w:val="20"/>
          <w:szCs w:val="20"/>
          <w:color w:val="auto"/>
        </w:rPr>
      </w:pPr>
    </w:p>
    <w:p>
      <w:pPr>
        <w:ind w:left="-8" w:right="2959" w:firstLine="8"/>
        <w:spacing w:after="0" w:line="244" w:lineRule="auto"/>
        <w:tabs>
          <w:tab w:leader="none" w:pos="47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474980</wp:posOffset>
            </wp:positionV>
            <wp:extent cx="629221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473" w:name="page474"/>
    <w:bookmarkEnd w:id="473"/>
    <w:p>
      <w:pPr>
        <w:jc w:val="center"/>
        <w:ind w:right="20"/>
        <w:spacing w:after="0"/>
        <w:rPr>
          <w:sz w:val="20"/>
          <w:szCs w:val="20"/>
          <w:color w:val="auto"/>
        </w:rPr>
      </w:pPr>
      <w:r>
        <w:rPr>
          <w:rFonts w:ascii="Arial" w:cs="Arial" w:eastAsia="Arial" w:hAnsi="Arial"/>
          <w:sz w:val="20"/>
          <w:szCs w:val="20"/>
          <w:b w:val="1"/>
          <w:bCs w:val="1"/>
          <w:color w:val="auto"/>
        </w:rPr>
        <w:t>ATTACHMENT H</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PROJECT MILESTONE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Attachment H is revised in its entirety by the Amendment No. 13 to the DDA)</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999999"/>
              <w:left w:val="single" w:sz="8" w:color="999999"/>
              <w:bottom w:val="single" w:sz="8" w:color="999999"/>
              <w:right w:val="single" w:sz="8" w:color="999999"/>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99999"/>
              <w:bottom w:val="single" w:sz="8" w:color="999999"/>
              <w:right w:val="single" w:sz="8" w:color="999999"/>
            </w:tcBorders>
          </w:tcPr>
          <w:p>
            <w:pPr>
              <w:jc w:val="right"/>
              <w:ind w:right="122"/>
              <w:spacing w:after="0"/>
              <w:rPr>
                <w:sz w:val="20"/>
                <w:szCs w:val="20"/>
                <w:color w:val="auto"/>
              </w:rPr>
            </w:pPr>
            <w:r>
              <w:rPr>
                <w:rFonts w:ascii="Arial" w:cs="Arial" w:eastAsia="Arial" w:hAnsi="Arial"/>
                <w:sz w:val="14"/>
                <w:szCs w:val="14"/>
                <w:color w:val="auto"/>
              </w:rPr>
              <w:t>Milestone</w:t>
            </w:r>
          </w:p>
        </w:tc>
        <w:tc>
          <w:tcPr>
            <w:tcW w:w="6300" w:type="dxa"/>
            <w:vAlign w:val="bottom"/>
            <w:tcBorders>
              <w:top w:val="single" w:sz="8" w:color="999999"/>
              <w:bottom w:val="single" w:sz="8" w:color="999999"/>
            </w:tcBorders>
          </w:tcPr>
          <w:p>
            <w:pPr>
              <w:jc w:val="right"/>
              <w:ind w:right="2684"/>
              <w:spacing w:after="0"/>
              <w:rPr>
                <w:sz w:val="20"/>
                <w:szCs w:val="20"/>
                <w:color w:val="auto"/>
              </w:rPr>
            </w:pPr>
            <w:r>
              <w:rPr>
                <w:rFonts w:ascii="Arial" w:cs="Arial" w:eastAsia="Arial" w:hAnsi="Arial"/>
                <w:sz w:val="14"/>
                <w:szCs w:val="14"/>
                <w:color w:val="auto"/>
              </w:rPr>
              <w:t>Criteria</w:t>
            </w:r>
          </w:p>
        </w:tc>
        <w:tc>
          <w:tcPr>
            <w:tcW w:w="320" w:type="dxa"/>
            <w:vAlign w:val="bottom"/>
            <w:tcBorders>
              <w:top w:val="single" w:sz="8" w:color="999999"/>
              <w:bottom w:val="single" w:sz="8" w:color="999999"/>
              <w:right w:val="single" w:sz="8" w:color="999999"/>
            </w:tcBorders>
          </w:tcPr>
          <w:p>
            <w:pPr>
              <w:spacing w:after="0"/>
              <w:rPr>
                <w:sz w:val="14"/>
                <w:szCs w:val="14"/>
                <w:color w:val="auto"/>
              </w:rPr>
            </w:pPr>
          </w:p>
        </w:tc>
        <w:tc>
          <w:tcPr>
            <w:tcW w:w="1900" w:type="dxa"/>
            <w:vAlign w:val="bottom"/>
            <w:tcBorders>
              <w:top w:val="single" w:sz="8" w:color="999999"/>
              <w:bottom w:val="single" w:sz="8" w:color="999999"/>
              <w:right w:val="single" w:sz="8" w:color="999999"/>
            </w:tcBorders>
          </w:tcPr>
          <w:p>
            <w:pPr>
              <w:jc w:val="right"/>
              <w:ind w:right="742"/>
              <w:spacing w:after="0"/>
              <w:rPr>
                <w:sz w:val="20"/>
                <w:szCs w:val="20"/>
                <w:color w:val="auto"/>
              </w:rPr>
            </w:pPr>
            <w:r>
              <w:rPr>
                <w:rFonts w:ascii="Arial" w:cs="Arial" w:eastAsia="Arial" w:hAnsi="Arial"/>
                <w:sz w:val="14"/>
                <w:szCs w:val="14"/>
                <w:color w:val="auto"/>
              </w:rPr>
              <w:t>Date</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1</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tcBorders>
          </w:tcPr>
          <w:p>
            <w:pPr>
              <w:jc w:val="right"/>
              <w:ind w:right="5684"/>
              <w:spacing w:after="0" w:line="22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999999"/>
              <w:right w:val="single" w:sz="8" w:color="999999"/>
            </w:tcBorders>
          </w:tcPr>
          <w:p>
            <w:pPr>
              <w:spacing w:after="0"/>
              <w:rPr>
                <w:sz w:val="19"/>
                <w:szCs w:val="19"/>
                <w:color w:val="auto"/>
              </w:rPr>
            </w:pPr>
          </w:p>
        </w:tc>
        <w:tc>
          <w:tcPr>
            <w:tcW w:w="1900" w:type="dxa"/>
            <w:vAlign w:val="bottom"/>
            <w:tcBorders>
              <w:bottom w:val="single" w:sz="8" w:color="999999"/>
              <w:right w:val="single" w:sz="8" w:color="999999"/>
            </w:tcBorders>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2</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tcBorders>
          </w:tcPr>
          <w:p>
            <w:pPr>
              <w:jc w:val="right"/>
              <w:ind w:right="5684"/>
              <w:spacing w:after="0" w:line="22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999999"/>
              <w:right w:val="single" w:sz="8" w:color="999999"/>
            </w:tcBorders>
          </w:tcPr>
          <w:p>
            <w:pPr>
              <w:spacing w:after="0"/>
              <w:rPr>
                <w:sz w:val="19"/>
                <w:szCs w:val="19"/>
                <w:color w:val="auto"/>
              </w:rPr>
            </w:pPr>
          </w:p>
        </w:tc>
        <w:tc>
          <w:tcPr>
            <w:tcW w:w="1900" w:type="dxa"/>
            <w:vAlign w:val="bottom"/>
            <w:tcBorders>
              <w:bottom w:val="single" w:sz="8" w:color="999999"/>
              <w:right w:val="single" w:sz="8" w:color="999999"/>
            </w:tcBorders>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3</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tcBorders>
          </w:tcPr>
          <w:p>
            <w:pPr>
              <w:jc w:val="right"/>
              <w:ind w:right="5684"/>
              <w:spacing w:after="0" w:line="22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999999"/>
              <w:right w:val="single" w:sz="8" w:color="999999"/>
            </w:tcBorders>
          </w:tcPr>
          <w:p>
            <w:pPr>
              <w:spacing w:after="0"/>
              <w:rPr>
                <w:sz w:val="19"/>
                <w:szCs w:val="19"/>
                <w:color w:val="auto"/>
              </w:rPr>
            </w:pPr>
          </w:p>
        </w:tc>
        <w:tc>
          <w:tcPr>
            <w:tcW w:w="1900" w:type="dxa"/>
            <w:vAlign w:val="bottom"/>
            <w:tcBorders>
              <w:bottom w:val="single" w:sz="8" w:color="999999"/>
              <w:right w:val="single" w:sz="8" w:color="999999"/>
            </w:tcBorders>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4</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382"/>
              <w:spacing w:after="0"/>
              <w:rPr>
                <w:sz w:val="20"/>
                <w:szCs w:val="20"/>
                <w:color w:val="auto"/>
              </w:rPr>
            </w:pPr>
            <w:r>
              <w:rPr>
                <w:rFonts w:ascii="Arial" w:cs="Arial" w:eastAsia="Arial" w:hAnsi="Arial"/>
                <w:sz w:val="20"/>
                <w:szCs w:val="20"/>
                <w:color w:val="auto"/>
              </w:rPr>
              <w:t>[***]</w:t>
            </w:r>
          </w:p>
        </w:tc>
        <w:tc>
          <w:tcPr>
            <w:tcW w:w="6300" w:type="dxa"/>
            <w:vAlign w:val="bottom"/>
          </w:tcPr>
          <w:p>
            <w:pPr>
              <w:jc w:val="right"/>
              <w:ind w:right="5684"/>
              <w:spacing w:after="0"/>
              <w:rPr>
                <w:sz w:val="20"/>
                <w:szCs w:val="20"/>
                <w:color w:val="auto"/>
              </w:rPr>
            </w:pPr>
            <w:r>
              <w:rPr>
                <w:rFonts w:ascii="Arial" w:cs="Arial" w:eastAsia="Arial" w:hAnsi="Arial"/>
                <w:sz w:val="20"/>
                <w:szCs w:val="20"/>
                <w:color w:val="auto"/>
              </w:rPr>
              <w:t>[***]</w:t>
            </w:r>
          </w:p>
        </w:tc>
        <w:tc>
          <w:tcPr>
            <w:tcW w:w="320" w:type="dxa"/>
            <w:vAlign w:val="bottom"/>
            <w:tcBorders>
              <w:right w:val="single" w:sz="8" w:color="999999"/>
            </w:tcBorders>
          </w:tcPr>
          <w:p>
            <w:pPr>
              <w:spacing w:after="0"/>
              <w:rPr>
                <w:sz w:val="21"/>
                <w:szCs w:val="21"/>
                <w:color w:val="auto"/>
              </w:rPr>
            </w:pPr>
          </w:p>
        </w:tc>
        <w:tc>
          <w:tcPr>
            <w:tcW w:w="1900" w:type="dxa"/>
            <w:vAlign w:val="bottom"/>
            <w:tcBorders>
              <w:right w:val="single" w:sz="8" w:color="999999"/>
            </w:tcBorders>
          </w:tcPr>
          <w:p>
            <w:pPr>
              <w:jc w:val="right"/>
              <w:ind w:right="1302"/>
              <w:spacing w:after="0"/>
              <w:rPr>
                <w:sz w:val="20"/>
                <w:szCs w:val="20"/>
                <w:color w:val="auto"/>
              </w:rPr>
            </w:pPr>
            <w:r>
              <w:rPr>
                <w:rFonts w:ascii="Arial" w:cs="Arial" w:eastAsia="Arial" w:hAnsi="Arial"/>
                <w:sz w:val="20"/>
                <w:szCs w:val="20"/>
                <w:color w:val="auto"/>
              </w:rPr>
              <w:t>[***]</w:t>
            </w:r>
          </w:p>
        </w:tc>
      </w:tr>
      <w:tr>
        <w:trPr>
          <w:trHeight w:val="587"/>
        </w:trPr>
        <w:tc>
          <w:tcPr>
            <w:tcW w:w="440" w:type="dxa"/>
            <w:vAlign w:val="bottom"/>
            <w:tcBorders>
              <w:left w:val="single" w:sz="8" w:color="999999"/>
              <w:bottom w:val="single" w:sz="8" w:color="999999"/>
              <w:right w:val="single" w:sz="8" w:color="999999"/>
            </w:tcBorders>
          </w:tcPr>
          <w:p>
            <w:pPr>
              <w:spacing w:after="0"/>
              <w:rPr>
                <w:sz w:val="24"/>
                <w:szCs w:val="24"/>
                <w:color w:val="auto"/>
              </w:rPr>
            </w:pPr>
          </w:p>
        </w:tc>
        <w:tc>
          <w:tcPr>
            <w:tcW w:w="980" w:type="dxa"/>
            <w:vAlign w:val="bottom"/>
            <w:tcBorders>
              <w:bottom w:val="single" w:sz="8" w:color="999999"/>
              <w:right w:val="single" w:sz="8" w:color="999999"/>
            </w:tcBorders>
          </w:tcPr>
          <w:p>
            <w:pPr>
              <w:spacing w:after="0"/>
              <w:rPr>
                <w:sz w:val="24"/>
                <w:szCs w:val="24"/>
                <w:color w:val="auto"/>
              </w:rPr>
            </w:pPr>
          </w:p>
        </w:tc>
        <w:tc>
          <w:tcPr>
            <w:tcW w:w="6300" w:type="dxa"/>
            <w:vAlign w:val="bottom"/>
            <w:tcBorders>
              <w:bottom w:val="single" w:sz="8" w:color="999999"/>
            </w:tcBorders>
          </w:tcPr>
          <w:p>
            <w:pPr>
              <w:spacing w:after="0"/>
              <w:rPr>
                <w:sz w:val="24"/>
                <w:szCs w:val="24"/>
                <w:color w:val="auto"/>
              </w:rPr>
            </w:pPr>
          </w:p>
        </w:tc>
        <w:tc>
          <w:tcPr>
            <w:tcW w:w="320" w:type="dxa"/>
            <w:vAlign w:val="bottom"/>
            <w:tcBorders>
              <w:bottom w:val="single" w:sz="8" w:color="999999"/>
              <w:right w:val="single" w:sz="8" w:color="999999"/>
            </w:tcBorders>
          </w:tcPr>
          <w:p>
            <w:pPr>
              <w:spacing w:after="0"/>
              <w:rPr>
                <w:sz w:val="24"/>
                <w:szCs w:val="24"/>
                <w:color w:val="auto"/>
              </w:rPr>
            </w:pPr>
          </w:p>
        </w:tc>
        <w:tc>
          <w:tcPr>
            <w:tcW w:w="1900" w:type="dxa"/>
            <w:vAlign w:val="bottom"/>
            <w:tcBorders>
              <w:bottom w:val="single" w:sz="8" w:color="999999"/>
              <w:right w:val="single" w:sz="8" w:color="999999"/>
            </w:tcBorders>
          </w:tcPr>
          <w:p>
            <w:pPr>
              <w:spacing w:after="0"/>
              <w:rPr>
                <w:sz w:val="24"/>
                <w:szCs w:val="24"/>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5</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tcBorders>
          </w:tcPr>
          <w:p>
            <w:pPr>
              <w:jc w:val="right"/>
              <w:ind w:right="5684"/>
              <w:spacing w:after="0" w:line="22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999999"/>
              <w:right w:val="single" w:sz="8" w:color="999999"/>
            </w:tcBorders>
          </w:tcPr>
          <w:p>
            <w:pPr>
              <w:spacing w:after="0"/>
              <w:rPr>
                <w:sz w:val="19"/>
                <w:szCs w:val="19"/>
                <w:color w:val="auto"/>
              </w:rPr>
            </w:pPr>
          </w:p>
        </w:tc>
        <w:tc>
          <w:tcPr>
            <w:tcW w:w="1900" w:type="dxa"/>
            <w:vAlign w:val="bottom"/>
            <w:tcBorders>
              <w:bottom w:val="single" w:sz="8" w:color="999999"/>
              <w:right w:val="single" w:sz="8" w:color="999999"/>
            </w:tcBorders>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6</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382"/>
              <w:spacing w:after="0"/>
              <w:rPr>
                <w:sz w:val="20"/>
                <w:szCs w:val="20"/>
                <w:color w:val="auto"/>
              </w:rPr>
            </w:pPr>
            <w:r>
              <w:rPr>
                <w:rFonts w:ascii="Arial" w:cs="Arial" w:eastAsia="Arial" w:hAnsi="Arial"/>
                <w:sz w:val="20"/>
                <w:szCs w:val="20"/>
                <w:color w:val="auto"/>
              </w:rPr>
              <w:t>[***]</w:t>
            </w:r>
          </w:p>
        </w:tc>
        <w:tc>
          <w:tcPr>
            <w:tcW w:w="6300" w:type="dxa"/>
            <w:vAlign w:val="bottom"/>
          </w:tcPr>
          <w:p>
            <w:pPr>
              <w:jc w:val="right"/>
              <w:ind w:right="5684"/>
              <w:spacing w:after="0"/>
              <w:rPr>
                <w:sz w:val="20"/>
                <w:szCs w:val="20"/>
                <w:color w:val="auto"/>
              </w:rPr>
            </w:pPr>
            <w:r>
              <w:rPr>
                <w:rFonts w:ascii="Arial" w:cs="Arial" w:eastAsia="Arial" w:hAnsi="Arial"/>
                <w:sz w:val="20"/>
                <w:szCs w:val="20"/>
                <w:color w:val="auto"/>
              </w:rPr>
              <w:t>[***]</w:t>
            </w:r>
          </w:p>
        </w:tc>
        <w:tc>
          <w:tcPr>
            <w:tcW w:w="320" w:type="dxa"/>
            <w:vAlign w:val="bottom"/>
            <w:tcBorders>
              <w:right w:val="single" w:sz="8" w:color="999999"/>
            </w:tcBorders>
          </w:tcPr>
          <w:p>
            <w:pPr>
              <w:spacing w:after="0"/>
              <w:rPr>
                <w:sz w:val="21"/>
                <w:szCs w:val="21"/>
                <w:color w:val="auto"/>
              </w:rPr>
            </w:pPr>
          </w:p>
        </w:tc>
        <w:tc>
          <w:tcPr>
            <w:tcW w:w="1900" w:type="dxa"/>
            <w:vAlign w:val="bottom"/>
            <w:tcBorders>
              <w:right w:val="single" w:sz="8" w:color="999999"/>
            </w:tcBorders>
          </w:tcPr>
          <w:p>
            <w:pPr>
              <w:jc w:val="right"/>
              <w:ind w:right="1302"/>
              <w:spacing w:after="0"/>
              <w:rPr>
                <w:sz w:val="20"/>
                <w:szCs w:val="20"/>
                <w:color w:val="auto"/>
              </w:rPr>
            </w:pPr>
            <w:r>
              <w:rPr>
                <w:rFonts w:ascii="Arial" w:cs="Arial" w:eastAsia="Arial" w:hAnsi="Arial"/>
                <w:sz w:val="20"/>
                <w:szCs w:val="20"/>
                <w:color w:val="auto"/>
              </w:rPr>
              <w:t>[***]</w:t>
            </w:r>
          </w:p>
        </w:tc>
      </w:tr>
      <w:tr>
        <w:trPr>
          <w:trHeight w:val="1653"/>
        </w:trPr>
        <w:tc>
          <w:tcPr>
            <w:tcW w:w="440" w:type="dxa"/>
            <w:vAlign w:val="bottom"/>
            <w:tcBorders>
              <w:left w:val="single" w:sz="8" w:color="999999"/>
              <w:bottom w:val="single" w:sz="8" w:color="999999"/>
              <w:right w:val="single" w:sz="8" w:color="999999"/>
            </w:tcBorders>
          </w:tcPr>
          <w:p>
            <w:pPr>
              <w:spacing w:after="0"/>
              <w:rPr>
                <w:sz w:val="24"/>
                <w:szCs w:val="24"/>
                <w:color w:val="auto"/>
              </w:rPr>
            </w:pPr>
          </w:p>
        </w:tc>
        <w:tc>
          <w:tcPr>
            <w:tcW w:w="980" w:type="dxa"/>
            <w:vAlign w:val="bottom"/>
            <w:tcBorders>
              <w:bottom w:val="single" w:sz="8" w:color="999999"/>
              <w:right w:val="single" w:sz="8" w:color="999999"/>
            </w:tcBorders>
          </w:tcPr>
          <w:p>
            <w:pPr>
              <w:spacing w:after="0"/>
              <w:rPr>
                <w:sz w:val="24"/>
                <w:szCs w:val="24"/>
                <w:color w:val="auto"/>
              </w:rPr>
            </w:pPr>
          </w:p>
        </w:tc>
        <w:tc>
          <w:tcPr>
            <w:tcW w:w="6300" w:type="dxa"/>
            <w:vAlign w:val="bottom"/>
            <w:tcBorders>
              <w:bottom w:val="single" w:sz="8" w:color="999999"/>
            </w:tcBorders>
          </w:tcPr>
          <w:p>
            <w:pPr>
              <w:spacing w:after="0"/>
              <w:rPr>
                <w:sz w:val="24"/>
                <w:szCs w:val="24"/>
                <w:color w:val="auto"/>
              </w:rPr>
            </w:pPr>
          </w:p>
        </w:tc>
        <w:tc>
          <w:tcPr>
            <w:tcW w:w="320" w:type="dxa"/>
            <w:vAlign w:val="bottom"/>
            <w:tcBorders>
              <w:bottom w:val="single" w:sz="8" w:color="999999"/>
              <w:right w:val="single" w:sz="8" w:color="999999"/>
            </w:tcBorders>
          </w:tcPr>
          <w:p>
            <w:pPr>
              <w:spacing w:after="0"/>
              <w:rPr>
                <w:sz w:val="24"/>
                <w:szCs w:val="24"/>
                <w:color w:val="auto"/>
              </w:rPr>
            </w:pPr>
          </w:p>
        </w:tc>
        <w:tc>
          <w:tcPr>
            <w:tcW w:w="1900" w:type="dxa"/>
            <w:vAlign w:val="bottom"/>
            <w:tcBorders>
              <w:bottom w:val="single" w:sz="8" w:color="999999"/>
              <w:right w:val="single" w:sz="8" w:color="999999"/>
            </w:tcBorders>
          </w:tcPr>
          <w:p>
            <w:pPr>
              <w:spacing w:after="0"/>
              <w:rPr>
                <w:sz w:val="24"/>
                <w:szCs w:val="24"/>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7</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right w:val="single" w:sz="8" w:color="999999"/>
            </w:tcBorders>
            <w:shd w:val="clear" w:color="auto" w:fill="D9D9D9"/>
          </w:tcPr>
          <w:p>
            <w:pPr>
              <w:spacing w:after="0"/>
              <w:rPr>
                <w:sz w:val="19"/>
                <w:szCs w:val="19"/>
                <w:color w:val="auto"/>
              </w:rPr>
            </w:pPr>
          </w:p>
        </w:tc>
        <w:tc>
          <w:tcPr>
            <w:tcW w:w="1900" w:type="dxa"/>
            <w:vAlign w:val="bottom"/>
            <w:tcBorders>
              <w:bottom w:val="single" w:sz="8" w:color="999999"/>
              <w:right w:val="single" w:sz="8" w:color="999999"/>
            </w:tcBorders>
            <w:shd w:val="clear" w:color="auto" w:fill="D9D9D9"/>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auto"/>
              <w:right w:val="single" w:sz="8" w:color="999999"/>
            </w:tcBorders>
            <w:shd w:val="clear" w:color="auto" w:fill="F2F2F2"/>
          </w:tcPr>
          <w:p>
            <w:pPr>
              <w:spacing w:after="0"/>
              <w:rPr>
                <w:sz w:val="19"/>
                <w:szCs w:val="19"/>
                <w:color w:val="auto"/>
              </w:rPr>
            </w:pPr>
          </w:p>
        </w:tc>
        <w:tc>
          <w:tcPr>
            <w:tcW w:w="980" w:type="dxa"/>
            <w:vAlign w:val="bottom"/>
            <w:tcBorders>
              <w:bottom w:val="single" w:sz="8" w:color="auto"/>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auto"/>
              <w:right w:val="single" w:sz="8" w:color="F2F2F2"/>
            </w:tcBorders>
            <w:shd w:val="clear" w:color="auto" w:fill="F2F2F2"/>
          </w:tcPr>
          <w:p>
            <w:pPr>
              <w:spacing w:after="0"/>
              <w:rPr>
                <w:sz w:val="19"/>
                <w:szCs w:val="19"/>
                <w:color w:val="auto"/>
              </w:rPr>
            </w:pPr>
          </w:p>
        </w:tc>
        <w:tc>
          <w:tcPr>
            <w:tcW w:w="320" w:type="dxa"/>
            <w:vAlign w:val="bottom"/>
            <w:tcBorders>
              <w:bottom w:val="single" w:sz="8" w:color="auto"/>
              <w:right w:val="single" w:sz="8" w:color="999999"/>
            </w:tcBorders>
            <w:shd w:val="clear" w:color="auto" w:fill="F2F2F2"/>
          </w:tcPr>
          <w:p>
            <w:pPr>
              <w:spacing w:after="0"/>
              <w:rPr>
                <w:sz w:val="19"/>
                <w:szCs w:val="19"/>
                <w:color w:val="auto"/>
              </w:rPr>
            </w:pPr>
          </w:p>
        </w:tc>
        <w:tc>
          <w:tcPr>
            <w:tcW w:w="1900" w:type="dxa"/>
            <w:vAlign w:val="bottom"/>
            <w:tcBorders>
              <w:bottom w:val="single" w:sz="8" w:color="999999"/>
              <w:right w:val="single" w:sz="8" w:color="999999"/>
            </w:tcBorders>
            <w:shd w:val="clear" w:color="auto" w:fill="F2F2F2"/>
          </w:tcPr>
          <w:p>
            <w:pPr>
              <w:jc w:val="right"/>
              <w:ind w:right="1302"/>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382"/>
              <w:spacing w:after="0"/>
              <w:rPr>
                <w:sz w:val="20"/>
                <w:szCs w:val="20"/>
                <w:color w:val="auto"/>
              </w:rPr>
            </w:pPr>
            <w:r>
              <w:rPr>
                <w:rFonts w:ascii="Arial" w:cs="Arial" w:eastAsia="Arial" w:hAnsi="Arial"/>
                <w:sz w:val="20"/>
                <w:szCs w:val="20"/>
                <w:color w:val="auto"/>
              </w:rPr>
              <w:t>[***]</w:t>
            </w:r>
          </w:p>
        </w:tc>
        <w:tc>
          <w:tcPr>
            <w:tcW w:w="6300" w:type="dxa"/>
            <w:vAlign w:val="bottom"/>
          </w:tcPr>
          <w:p>
            <w:pPr>
              <w:jc w:val="right"/>
              <w:ind w:right="5684"/>
              <w:spacing w:after="0"/>
              <w:rPr>
                <w:sz w:val="20"/>
                <w:szCs w:val="20"/>
                <w:color w:val="auto"/>
              </w:rPr>
            </w:pPr>
            <w:r>
              <w:rPr>
                <w:rFonts w:ascii="Arial" w:cs="Arial" w:eastAsia="Arial" w:hAnsi="Arial"/>
                <w:sz w:val="20"/>
                <w:szCs w:val="20"/>
                <w:color w:val="auto"/>
              </w:rPr>
              <w:t>[***]</w:t>
            </w:r>
          </w:p>
        </w:tc>
        <w:tc>
          <w:tcPr>
            <w:tcW w:w="320" w:type="dxa"/>
            <w:vAlign w:val="bottom"/>
            <w:tcBorders>
              <w:right w:val="single" w:sz="8" w:color="999999"/>
            </w:tcBorders>
          </w:tcPr>
          <w:p>
            <w:pPr>
              <w:spacing w:after="0"/>
              <w:rPr>
                <w:sz w:val="21"/>
                <w:szCs w:val="21"/>
                <w:color w:val="auto"/>
              </w:rPr>
            </w:pPr>
          </w:p>
        </w:tc>
        <w:tc>
          <w:tcPr>
            <w:tcW w:w="1900" w:type="dxa"/>
            <w:vAlign w:val="bottom"/>
            <w:tcBorders>
              <w:right w:val="single" w:sz="8" w:color="999999"/>
            </w:tcBorders>
          </w:tcPr>
          <w:p>
            <w:pPr>
              <w:jc w:val="right"/>
              <w:ind w:right="1302"/>
              <w:spacing w:after="0"/>
              <w:rPr>
                <w:sz w:val="20"/>
                <w:szCs w:val="20"/>
                <w:color w:val="auto"/>
              </w:rPr>
            </w:pPr>
            <w:r>
              <w:rPr>
                <w:rFonts w:ascii="Arial" w:cs="Arial" w:eastAsia="Arial" w:hAnsi="Arial"/>
                <w:sz w:val="20"/>
                <w:szCs w:val="20"/>
                <w:color w:val="auto"/>
              </w:rPr>
              <w:t>[***]</w:t>
            </w:r>
          </w:p>
        </w:tc>
      </w:tr>
      <w:tr>
        <w:trPr>
          <w:trHeight w:val="87"/>
        </w:trPr>
        <w:tc>
          <w:tcPr>
            <w:tcW w:w="440" w:type="dxa"/>
            <w:vAlign w:val="bottom"/>
            <w:tcBorders>
              <w:left w:val="single" w:sz="8" w:color="999999"/>
              <w:bottom w:val="single" w:sz="8" w:color="999999"/>
              <w:right w:val="single" w:sz="8" w:color="999999"/>
            </w:tcBorders>
          </w:tcPr>
          <w:p>
            <w:pPr>
              <w:spacing w:after="0"/>
              <w:rPr>
                <w:sz w:val="7"/>
                <w:szCs w:val="7"/>
                <w:color w:val="auto"/>
              </w:rPr>
            </w:pPr>
          </w:p>
        </w:tc>
        <w:tc>
          <w:tcPr>
            <w:tcW w:w="980" w:type="dxa"/>
            <w:vAlign w:val="bottom"/>
            <w:tcBorders>
              <w:bottom w:val="single" w:sz="8" w:color="999999"/>
              <w:right w:val="single" w:sz="8" w:color="999999"/>
            </w:tcBorders>
          </w:tcPr>
          <w:p>
            <w:pPr>
              <w:spacing w:after="0"/>
              <w:rPr>
                <w:sz w:val="7"/>
                <w:szCs w:val="7"/>
                <w:color w:val="auto"/>
              </w:rPr>
            </w:pPr>
          </w:p>
        </w:tc>
        <w:tc>
          <w:tcPr>
            <w:tcW w:w="6300" w:type="dxa"/>
            <w:vAlign w:val="bottom"/>
            <w:tcBorders>
              <w:bottom w:val="single" w:sz="8" w:color="999999"/>
            </w:tcBorders>
          </w:tcPr>
          <w:p>
            <w:pPr>
              <w:spacing w:after="0"/>
              <w:rPr>
                <w:sz w:val="7"/>
                <w:szCs w:val="7"/>
                <w:color w:val="auto"/>
              </w:rPr>
            </w:pPr>
          </w:p>
        </w:tc>
        <w:tc>
          <w:tcPr>
            <w:tcW w:w="320" w:type="dxa"/>
            <w:vAlign w:val="bottom"/>
            <w:tcBorders>
              <w:bottom w:val="single" w:sz="8" w:color="999999"/>
              <w:right w:val="single" w:sz="8" w:color="999999"/>
            </w:tcBorders>
          </w:tcPr>
          <w:p>
            <w:pPr>
              <w:spacing w:after="0"/>
              <w:rPr>
                <w:sz w:val="7"/>
                <w:szCs w:val="7"/>
                <w:color w:val="auto"/>
              </w:rPr>
            </w:pPr>
          </w:p>
        </w:tc>
        <w:tc>
          <w:tcPr>
            <w:tcW w:w="1900" w:type="dxa"/>
            <w:vAlign w:val="bottom"/>
            <w:tcBorders>
              <w:bottom w:val="single" w:sz="8" w:color="999999"/>
              <w:right w:val="single" w:sz="8" w:color="999999"/>
            </w:tcBorders>
          </w:tcPr>
          <w:p>
            <w:pPr>
              <w:spacing w:after="0"/>
              <w:rPr>
                <w:sz w:val="7"/>
                <w:szCs w:val="7"/>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8</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shd w:val="clear" w:color="auto" w:fill="D9D9D9"/>
          </w:tcPr>
          <w:p>
            <w:pPr>
              <w:spacing w:after="0"/>
              <w:rPr>
                <w:sz w:val="19"/>
                <w:szCs w:val="19"/>
                <w:color w:val="auto"/>
              </w:rPr>
            </w:pPr>
          </w:p>
        </w:tc>
        <w:tc>
          <w:tcPr>
            <w:tcW w:w="2220" w:type="dxa"/>
            <w:vAlign w:val="bottom"/>
            <w:tcBorders>
              <w:bottom w:val="single" w:sz="8" w:color="999999"/>
              <w:right w:val="single" w:sz="8" w:color="999999"/>
            </w:tcBorders>
            <w:gridSpan w:val="2"/>
            <w:shd w:val="clear" w:color="auto" w:fill="D9D9D9"/>
          </w:tcPr>
          <w:p>
            <w:pPr>
              <w:jc w:val="right"/>
              <w:ind w:right="162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shd w:val="clear" w:color="auto" w:fill="F2F2F2"/>
          </w:tcPr>
          <w:p>
            <w:pPr>
              <w:spacing w:after="0"/>
              <w:rPr>
                <w:sz w:val="19"/>
                <w:szCs w:val="19"/>
                <w:color w:val="auto"/>
              </w:rPr>
            </w:pPr>
          </w:p>
        </w:tc>
        <w:tc>
          <w:tcPr>
            <w:tcW w:w="2220" w:type="dxa"/>
            <w:vAlign w:val="bottom"/>
            <w:tcBorders>
              <w:bottom w:val="single" w:sz="8" w:color="999999"/>
              <w:right w:val="single" w:sz="8" w:color="999999"/>
            </w:tcBorders>
            <w:gridSpan w:val="2"/>
            <w:shd w:val="clear" w:color="auto" w:fill="F2F2F2"/>
          </w:tcPr>
          <w:p>
            <w:pPr>
              <w:jc w:val="right"/>
              <w:ind w:right="162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tcPr>
          <w:p>
            <w:pPr>
              <w:jc w:val="right"/>
              <w:ind w:right="5704"/>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999999"/>
              <w:right w:val="single" w:sz="8" w:color="999999"/>
            </w:tcBorders>
            <w:gridSpan w:val="2"/>
          </w:tcPr>
          <w:p>
            <w:pPr>
              <w:jc w:val="right"/>
              <w:ind w:right="162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88"/>
              <w:spacing w:after="0"/>
              <w:rPr>
                <w:sz w:val="20"/>
                <w:szCs w:val="20"/>
                <w:color w:val="auto"/>
              </w:rPr>
            </w:pPr>
            <w:r>
              <w:rPr>
                <w:rFonts w:ascii="Arial" w:cs="Arial" w:eastAsia="Arial" w:hAnsi="Arial"/>
                <w:sz w:val="14"/>
                <w:szCs w:val="14"/>
                <w:color w:val="auto"/>
              </w:rPr>
              <w:t>9</w:t>
            </w:r>
          </w:p>
        </w:tc>
        <w:tc>
          <w:tcPr>
            <w:tcW w:w="98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shd w:val="clear" w:color="auto" w:fill="D9D9D9"/>
          </w:tcPr>
          <w:p>
            <w:pPr>
              <w:spacing w:after="0"/>
              <w:rPr>
                <w:sz w:val="19"/>
                <w:szCs w:val="19"/>
                <w:color w:val="auto"/>
              </w:rPr>
            </w:pPr>
          </w:p>
        </w:tc>
        <w:tc>
          <w:tcPr>
            <w:tcW w:w="2220" w:type="dxa"/>
            <w:vAlign w:val="bottom"/>
            <w:tcBorders>
              <w:bottom w:val="single" w:sz="8" w:color="999999"/>
              <w:right w:val="single" w:sz="8" w:color="999999"/>
            </w:tcBorders>
            <w:gridSpan w:val="2"/>
            <w:shd w:val="clear" w:color="auto" w:fill="D9D9D9"/>
          </w:tcPr>
          <w:p>
            <w:pPr>
              <w:jc w:val="right"/>
              <w:ind w:right="162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shd w:val="clear" w:color="auto" w:fill="F2F2F2"/>
          </w:tcPr>
          <w:p>
            <w:pPr>
              <w:spacing w:after="0"/>
              <w:rPr>
                <w:sz w:val="19"/>
                <w:szCs w:val="19"/>
                <w:color w:val="auto"/>
              </w:rPr>
            </w:pPr>
          </w:p>
        </w:tc>
        <w:tc>
          <w:tcPr>
            <w:tcW w:w="2220" w:type="dxa"/>
            <w:vAlign w:val="bottom"/>
            <w:tcBorders>
              <w:bottom w:val="single" w:sz="8" w:color="999999"/>
              <w:right w:val="single" w:sz="8" w:color="999999"/>
            </w:tcBorders>
            <w:gridSpan w:val="2"/>
            <w:shd w:val="clear" w:color="auto" w:fill="F2F2F2"/>
          </w:tcPr>
          <w:p>
            <w:pPr>
              <w:jc w:val="right"/>
              <w:ind w:right="1622"/>
              <w:spacing w:after="0" w:line="223" w:lineRule="exact"/>
              <w:rPr>
                <w:sz w:val="20"/>
                <w:szCs w:val="20"/>
                <w:color w:val="auto"/>
              </w:rPr>
            </w:pPr>
            <w:r>
              <w:rPr>
                <w:rFonts w:ascii="Arial" w:cs="Arial" w:eastAsia="Arial" w:hAnsi="Arial"/>
                <w:sz w:val="20"/>
                <w:szCs w:val="20"/>
                <w:color w:val="auto"/>
              </w:rPr>
              <w:t>[***]</w:t>
            </w: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6300" w:type="dxa"/>
            <w:vAlign w:val="bottom"/>
            <w:tcBorders>
              <w:bottom w:val="single" w:sz="8" w:color="999999"/>
              <w:right w:val="single" w:sz="8" w:color="999999"/>
            </w:tcBorders>
          </w:tcPr>
          <w:p>
            <w:pPr>
              <w:jc w:val="right"/>
              <w:ind w:right="5704"/>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999999"/>
              <w:right w:val="single" w:sz="8" w:color="999999"/>
            </w:tcBorders>
            <w:gridSpan w:val="2"/>
          </w:tcPr>
          <w:p>
            <w:pPr>
              <w:jc w:val="right"/>
              <w:ind w:right="1622"/>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47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73" w:right="979" w:bottom="1440" w:gutter="0" w:footer="0" w:header="0"/>
        </w:sectPr>
      </w:pPr>
    </w:p>
    <w:bookmarkStart w:id="474" w:name="page475"/>
    <w:bookmarkEnd w:id="474"/>
    <w:tbl>
      <w:tblPr>
        <w:tblLayout w:type="fixed"/>
        <w:tblInd w:w="10" w:type="dxa"/>
        <w:tblCellMar>
          <w:top w:w="0" w:type="dxa"/>
          <w:left w:w="0" w:type="dxa"/>
          <w:bottom w:w="0" w:type="dxa"/>
          <w:right w:w="0" w:type="dxa"/>
        </w:tblCellMar>
      </w:tblPr>
      <w:tr>
        <w:trPr>
          <w:trHeight w:val="243"/>
        </w:trPr>
        <w:tc>
          <w:tcPr>
            <w:tcW w:w="460" w:type="dxa"/>
            <w:vAlign w:val="bottom"/>
            <w:tcBorders>
              <w:top w:val="single" w:sz="8" w:color="999999"/>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color w:val="auto"/>
              </w:rPr>
              <w:t>10</w:t>
            </w:r>
          </w:p>
        </w:tc>
        <w:tc>
          <w:tcPr>
            <w:tcW w:w="980" w:type="dxa"/>
            <w:vAlign w:val="bottom"/>
            <w:tcBorders>
              <w:top w:val="single" w:sz="8" w:color="999999"/>
              <w:bottom w:val="single" w:sz="8" w:color="999999"/>
              <w:right w:val="single" w:sz="8" w:color="D9D9D9"/>
            </w:tcBorders>
            <w:shd w:val="clear" w:color="auto" w:fill="D9D9D9"/>
          </w:tcPr>
          <w:p>
            <w:pPr>
              <w:jc w:val="right"/>
              <w:ind w:right="361"/>
              <w:spacing w:after="0"/>
              <w:rPr>
                <w:sz w:val="20"/>
                <w:szCs w:val="20"/>
                <w:color w:val="auto"/>
              </w:rPr>
            </w:pPr>
            <w:r>
              <w:rPr>
                <w:rFonts w:ascii="Arial" w:cs="Arial" w:eastAsia="Arial" w:hAnsi="Arial"/>
                <w:sz w:val="20"/>
                <w:szCs w:val="20"/>
                <w:color w:val="auto"/>
              </w:rPr>
              <w:t>[***]</w:t>
            </w:r>
          </w:p>
        </w:tc>
        <w:tc>
          <w:tcPr>
            <w:tcW w:w="1960" w:type="dxa"/>
            <w:vAlign w:val="bottom"/>
            <w:tcBorders>
              <w:top w:val="single" w:sz="8" w:color="999999"/>
              <w:bottom w:val="single" w:sz="8" w:color="999999"/>
            </w:tcBorders>
            <w:shd w:val="clear" w:color="auto" w:fill="D9D9D9"/>
          </w:tcPr>
          <w:p>
            <w:pPr>
              <w:spacing w:after="0"/>
              <w:rPr>
                <w:sz w:val="21"/>
                <w:szCs w:val="21"/>
                <w:color w:val="auto"/>
              </w:rPr>
            </w:pPr>
          </w:p>
        </w:tc>
        <w:tc>
          <w:tcPr>
            <w:tcW w:w="4560" w:type="dxa"/>
            <w:vAlign w:val="bottom"/>
            <w:tcBorders>
              <w:top w:val="single" w:sz="8" w:color="999999"/>
              <w:bottom w:val="single" w:sz="8" w:color="999999"/>
              <w:right w:val="single" w:sz="8" w:color="999999"/>
            </w:tcBorders>
            <w:shd w:val="clear" w:color="auto" w:fill="D9D9D9"/>
          </w:tcPr>
          <w:p>
            <w:pPr>
              <w:spacing w:after="0"/>
              <w:rPr>
                <w:sz w:val="21"/>
                <w:szCs w:val="21"/>
                <w:color w:val="auto"/>
              </w:rPr>
            </w:pPr>
          </w:p>
        </w:tc>
        <w:tc>
          <w:tcPr>
            <w:tcW w:w="1960" w:type="dxa"/>
            <w:vAlign w:val="bottom"/>
            <w:tcBorders>
              <w:top w:val="single" w:sz="8" w:color="999999"/>
              <w:bottom w:val="single" w:sz="8" w:color="999999"/>
              <w:right w:val="single" w:sz="8" w:color="999999"/>
            </w:tcBorders>
            <w:shd w:val="clear" w:color="auto" w:fill="D9D9D9"/>
          </w:tcPr>
          <w:p>
            <w:pPr>
              <w:jc w:val="right"/>
              <w:ind w:right="1341"/>
              <w:spacing w:after="0"/>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F2F2F2"/>
          </w:tcPr>
          <w:p>
            <w:pPr>
              <w:spacing w:after="0"/>
              <w:rPr>
                <w:sz w:val="19"/>
                <w:szCs w:val="19"/>
                <w:color w:val="auto"/>
              </w:rPr>
            </w:pPr>
          </w:p>
        </w:tc>
        <w:tc>
          <w:tcPr>
            <w:tcW w:w="456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tcPr>
          <w:p>
            <w:pPr>
              <w:jc w:val="right"/>
              <w:ind w:right="1361"/>
              <w:spacing w:after="0" w:line="223" w:lineRule="exact"/>
              <w:rPr>
                <w:sz w:val="20"/>
                <w:szCs w:val="20"/>
                <w:color w:val="auto"/>
              </w:rPr>
            </w:pPr>
            <w:r>
              <w:rPr>
                <w:rFonts w:ascii="Arial" w:cs="Arial" w:eastAsia="Arial" w:hAnsi="Arial"/>
                <w:sz w:val="20"/>
                <w:szCs w:val="20"/>
                <w:color w:val="auto"/>
              </w:rPr>
              <w:t>[***]</w:t>
            </w:r>
          </w:p>
        </w:tc>
        <w:tc>
          <w:tcPr>
            <w:tcW w:w="4560" w:type="dxa"/>
            <w:vAlign w:val="bottom"/>
            <w:tcBorders>
              <w:bottom w:val="single" w:sz="8" w:color="999999"/>
              <w:right w:val="single" w:sz="8" w:color="999999"/>
            </w:tcBorders>
          </w:tcPr>
          <w:p>
            <w:pPr>
              <w:spacing w:after="0"/>
              <w:rPr>
                <w:sz w:val="19"/>
                <w:szCs w:val="19"/>
                <w:color w:val="auto"/>
              </w:rPr>
            </w:pPr>
          </w:p>
        </w:tc>
        <w:tc>
          <w:tcPr>
            <w:tcW w:w="1960" w:type="dxa"/>
            <w:vAlign w:val="bottom"/>
            <w:tcBorders>
              <w:bottom w:val="single" w:sz="8" w:color="999999"/>
              <w:right w:val="single" w:sz="8" w:color="999999"/>
            </w:tcBorders>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color w:val="auto"/>
              </w:rPr>
              <w:t>11</w:t>
            </w:r>
          </w:p>
        </w:tc>
        <w:tc>
          <w:tcPr>
            <w:tcW w:w="980" w:type="dxa"/>
            <w:vAlign w:val="bottom"/>
            <w:tcBorders>
              <w:bottom w:val="single" w:sz="8" w:color="999999"/>
              <w:right w:val="single" w:sz="8" w:color="D9D9D9"/>
            </w:tcBorders>
            <w:shd w:val="clear" w:color="auto" w:fill="D9D9D9"/>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D9D9D9"/>
          </w:tcPr>
          <w:p>
            <w:pPr>
              <w:spacing w:after="0"/>
              <w:rPr>
                <w:sz w:val="19"/>
                <w:szCs w:val="19"/>
                <w:color w:val="auto"/>
              </w:rPr>
            </w:pPr>
          </w:p>
        </w:tc>
        <w:tc>
          <w:tcPr>
            <w:tcW w:w="456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F2F2F2"/>
          </w:tcPr>
          <w:p>
            <w:pPr>
              <w:spacing w:after="0"/>
              <w:rPr>
                <w:sz w:val="19"/>
                <w:szCs w:val="19"/>
                <w:color w:val="auto"/>
              </w:rPr>
            </w:pPr>
          </w:p>
        </w:tc>
        <w:tc>
          <w:tcPr>
            <w:tcW w:w="456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tcPr>
          <w:p>
            <w:pPr>
              <w:jc w:val="right"/>
              <w:ind w:right="1361"/>
              <w:spacing w:after="0" w:line="223" w:lineRule="exact"/>
              <w:rPr>
                <w:sz w:val="20"/>
                <w:szCs w:val="20"/>
                <w:color w:val="auto"/>
              </w:rPr>
            </w:pPr>
            <w:r>
              <w:rPr>
                <w:rFonts w:ascii="Arial" w:cs="Arial" w:eastAsia="Arial" w:hAnsi="Arial"/>
                <w:sz w:val="20"/>
                <w:szCs w:val="20"/>
                <w:color w:val="auto"/>
              </w:rPr>
              <w:t>[***]</w:t>
            </w:r>
          </w:p>
        </w:tc>
        <w:tc>
          <w:tcPr>
            <w:tcW w:w="4560" w:type="dxa"/>
            <w:vAlign w:val="bottom"/>
            <w:tcBorders>
              <w:bottom w:val="single" w:sz="8" w:color="999999"/>
              <w:right w:val="single" w:sz="8" w:color="999999"/>
            </w:tcBorders>
          </w:tcPr>
          <w:p>
            <w:pPr>
              <w:spacing w:after="0"/>
              <w:rPr>
                <w:sz w:val="19"/>
                <w:szCs w:val="19"/>
                <w:color w:val="auto"/>
              </w:rPr>
            </w:pPr>
          </w:p>
        </w:tc>
        <w:tc>
          <w:tcPr>
            <w:tcW w:w="1960" w:type="dxa"/>
            <w:vAlign w:val="bottom"/>
            <w:tcBorders>
              <w:bottom w:val="single" w:sz="8" w:color="999999"/>
              <w:right w:val="single" w:sz="8" w:color="999999"/>
            </w:tcBorders>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999999"/>
              <w:right w:val="single" w:sz="8" w:color="D9D9D9"/>
            </w:tcBorders>
            <w:shd w:val="clear" w:color="auto" w:fill="D9D9D9"/>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D9D9D9"/>
          </w:tcPr>
          <w:p>
            <w:pPr>
              <w:spacing w:after="0"/>
              <w:rPr>
                <w:sz w:val="19"/>
                <w:szCs w:val="19"/>
                <w:color w:val="auto"/>
              </w:rPr>
            </w:pPr>
          </w:p>
        </w:tc>
        <w:tc>
          <w:tcPr>
            <w:tcW w:w="456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F2F2F2"/>
          </w:tcPr>
          <w:p>
            <w:pPr>
              <w:spacing w:after="0"/>
              <w:rPr>
                <w:sz w:val="19"/>
                <w:szCs w:val="19"/>
                <w:color w:val="auto"/>
              </w:rPr>
            </w:pPr>
          </w:p>
        </w:tc>
        <w:tc>
          <w:tcPr>
            <w:tcW w:w="456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tcPr>
          <w:p>
            <w:pPr>
              <w:jc w:val="right"/>
              <w:ind w:right="1361"/>
              <w:spacing w:after="0" w:line="223" w:lineRule="exact"/>
              <w:rPr>
                <w:sz w:val="20"/>
                <w:szCs w:val="20"/>
                <w:color w:val="auto"/>
              </w:rPr>
            </w:pPr>
            <w:r>
              <w:rPr>
                <w:rFonts w:ascii="Arial" w:cs="Arial" w:eastAsia="Arial" w:hAnsi="Arial"/>
                <w:sz w:val="20"/>
                <w:szCs w:val="20"/>
                <w:color w:val="auto"/>
              </w:rPr>
              <w:t>[***]</w:t>
            </w:r>
          </w:p>
        </w:tc>
        <w:tc>
          <w:tcPr>
            <w:tcW w:w="4560" w:type="dxa"/>
            <w:vAlign w:val="bottom"/>
            <w:tcBorders>
              <w:bottom w:val="single" w:sz="8" w:color="999999"/>
              <w:right w:val="single" w:sz="8" w:color="999999"/>
            </w:tcBorders>
          </w:tcPr>
          <w:p>
            <w:pPr>
              <w:spacing w:after="0"/>
              <w:rPr>
                <w:sz w:val="19"/>
                <w:szCs w:val="19"/>
                <w:color w:val="auto"/>
              </w:rPr>
            </w:pPr>
          </w:p>
        </w:tc>
        <w:tc>
          <w:tcPr>
            <w:tcW w:w="1960" w:type="dxa"/>
            <w:vAlign w:val="bottom"/>
            <w:tcBorders>
              <w:bottom w:val="single" w:sz="8" w:color="999999"/>
              <w:right w:val="single" w:sz="8" w:color="999999"/>
            </w:tcBorders>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color w:val="auto"/>
              </w:rPr>
              <w:t>13</w:t>
            </w:r>
          </w:p>
        </w:tc>
        <w:tc>
          <w:tcPr>
            <w:tcW w:w="980" w:type="dxa"/>
            <w:vAlign w:val="bottom"/>
            <w:tcBorders>
              <w:bottom w:val="single" w:sz="8" w:color="999999"/>
              <w:right w:val="single" w:sz="8" w:color="D9D9D9"/>
            </w:tcBorders>
            <w:shd w:val="clear" w:color="auto" w:fill="D9D9D9"/>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D9D9D9"/>
          </w:tcPr>
          <w:p>
            <w:pPr>
              <w:spacing w:after="0"/>
              <w:rPr>
                <w:sz w:val="19"/>
                <w:szCs w:val="19"/>
                <w:color w:val="auto"/>
              </w:rPr>
            </w:pPr>
          </w:p>
        </w:tc>
        <w:tc>
          <w:tcPr>
            <w:tcW w:w="456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980" w:type="dxa"/>
            <w:vAlign w:val="bottom"/>
            <w:tcBorders>
              <w:bottom w:val="single" w:sz="8" w:color="999999"/>
              <w:right w:val="single" w:sz="8" w:color="F2F2F2"/>
            </w:tcBorders>
            <w:shd w:val="clear" w:color="auto" w:fill="F2F2F2"/>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shd w:val="clear" w:color="auto" w:fill="F2F2F2"/>
          </w:tcPr>
          <w:p>
            <w:pPr>
              <w:spacing w:after="0"/>
              <w:rPr>
                <w:sz w:val="19"/>
                <w:szCs w:val="19"/>
                <w:color w:val="auto"/>
              </w:rPr>
            </w:pPr>
          </w:p>
        </w:tc>
        <w:tc>
          <w:tcPr>
            <w:tcW w:w="456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980" w:type="dxa"/>
            <w:vAlign w:val="bottom"/>
            <w:tcBorders>
              <w:bottom w:val="single" w:sz="8" w:color="999999"/>
              <w:right w:val="single" w:sz="8" w:color="999999"/>
            </w:tcBorders>
          </w:tcPr>
          <w:p>
            <w:pPr>
              <w:jc w:val="right"/>
              <w:ind w:right="36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tcBorders>
          </w:tcPr>
          <w:p>
            <w:pPr>
              <w:jc w:val="right"/>
              <w:ind w:right="1361"/>
              <w:spacing w:after="0" w:line="223" w:lineRule="exact"/>
              <w:rPr>
                <w:sz w:val="20"/>
                <w:szCs w:val="20"/>
                <w:color w:val="auto"/>
              </w:rPr>
            </w:pPr>
            <w:r>
              <w:rPr>
                <w:rFonts w:ascii="Arial" w:cs="Arial" w:eastAsia="Arial" w:hAnsi="Arial"/>
                <w:sz w:val="20"/>
                <w:szCs w:val="20"/>
                <w:color w:val="auto"/>
              </w:rPr>
              <w:t>[***]</w:t>
            </w:r>
          </w:p>
        </w:tc>
        <w:tc>
          <w:tcPr>
            <w:tcW w:w="4560" w:type="dxa"/>
            <w:vAlign w:val="bottom"/>
            <w:tcBorders>
              <w:bottom w:val="single" w:sz="8" w:color="999999"/>
              <w:right w:val="single" w:sz="8" w:color="999999"/>
            </w:tcBorders>
          </w:tcPr>
          <w:p>
            <w:pPr>
              <w:spacing w:after="0"/>
              <w:rPr>
                <w:sz w:val="19"/>
                <w:szCs w:val="19"/>
                <w:color w:val="auto"/>
              </w:rPr>
            </w:pPr>
          </w:p>
        </w:tc>
        <w:tc>
          <w:tcPr>
            <w:tcW w:w="1960" w:type="dxa"/>
            <w:vAlign w:val="bottom"/>
            <w:tcBorders>
              <w:bottom w:val="single" w:sz="8" w:color="999999"/>
              <w:right w:val="single" w:sz="8" w:color="999999"/>
            </w:tcBorders>
          </w:tcPr>
          <w:p>
            <w:pPr>
              <w:jc w:val="right"/>
              <w:ind w:right="1341"/>
              <w:spacing w:after="0" w:line="223" w:lineRule="exact"/>
              <w:rPr>
                <w:sz w:val="20"/>
                <w:szCs w:val="20"/>
                <w:color w:val="auto"/>
              </w:rPr>
            </w:pPr>
            <w:r>
              <w:rPr>
                <w:rFonts w:ascii="Arial" w:cs="Arial" w:eastAsia="Arial" w:hAnsi="Arial"/>
                <w:sz w:val="20"/>
                <w:szCs w:val="20"/>
                <w:color w:val="auto"/>
              </w:rPr>
              <w:t>[***]</w:t>
            </w:r>
          </w:p>
        </w:tc>
      </w:tr>
      <w:tr>
        <w:trPr>
          <w:trHeight w:val="870"/>
        </w:trPr>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60" w:type="dxa"/>
            <w:vAlign w:val="bottom"/>
          </w:tcPr>
          <w:p>
            <w:pPr>
              <w:jc w:val="right"/>
              <w:ind w:right="2801"/>
              <w:spacing w:after="0"/>
              <w:rPr>
                <w:sz w:val="20"/>
                <w:szCs w:val="20"/>
                <w:color w:val="auto"/>
              </w:rPr>
            </w:pPr>
            <w:r>
              <w:rPr>
                <w:rFonts w:ascii="Arial" w:cs="Arial" w:eastAsia="Arial" w:hAnsi="Arial"/>
                <w:sz w:val="20"/>
                <w:szCs w:val="20"/>
                <w:color w:val="auto"/>
              </w:rPr>
              <w:t>48</w:t>
            </w:r>
          </w:p>
        </w:tc>
        <w:tc>
          <w:tcPr>
            <w:tcW w:w="19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475" w:name="page476"/>
    <w:bookmarkEnd w:id="475"/>
    <w:p>
      <w:pPr>
        <w:ind w:left="9000"/>
        <w:spacing w:after="0"/>
        <w:rPr>
          <w:sz w:val="20"/>
          <w:szCs w:val="20"/>
          <w:color w:val="auto"/>
        </w:rPr>
      </w:pPr>
      <w:r>
        <w:rPr>
          <w:rFonts w:ascii="Arial" w:cs="Arial" w:eastAsia="Arial" w:hAnsi="Arial"/>
          <w:sz w:val="16"/>
          <w:szCs w:val="16"/>
          <w:b w:val="1"/>
          <w:bCs w:val="1"/>
          <w:color w:val="auto"/>
        </w:rPr>
        <w:t>Exhibit 10.6</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Item 601(b)(10)(iv) of Regulation S-K, certain information contained in this document, marked by brackets as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has been omitted because it is both (i) not material and (ii) would likely cause competitive harm to the registrant if publically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disclosed. In addition, pursuant to Item 601(a)(6) of Regulation S-K, certain personally identifiable information contained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 marked by brackets as [***], has been omitted.</w:t>
      </w:r>
    </w:p>
    <w:p>
      <w:pPr>
        <w:spacing w:after="0" w:line="20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176"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color w:val="auto"/>
        </w:rPr>
        <w:t>The representations and warranties contained in this agreement were made for the purposes of allocating contractual risk between the parties and not as a means of establishing facts and are qualified by information in disclosure schedules that the parties exchanged in connection with the signing of this agreement. Moreover, the representations and warranties were made only as of the date of execution of this agreement and information concerning the subject matter of the representations and warranties may change after the date of this agreement. Only parties to this agreement have a right to enforce the agreement. Accordingly, third parties, including current securityholders and prospective investors, should not rely on the representations and warranties in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b w:val="1"/>
          <w:bCs w:val="1"/>
          <w:color w:val="auto"/>
        </w:rPr>
        <w:t>Executed under Notarial Deed on December 3, 2020, by the parties hereto; the Registrant agrees to furnish supplementally a copy of the executed Notarial Deed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2922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PURCHASE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AEROVIRONMENT,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UNMANNED SYSTEMS INVESTMENTS GMBH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NORBERT GEBBEKEN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THOMAS BIEHNE</w:t>
      </w:r>
    </w:p>
    <w:p>
      <w:pPr>
        <w:jc w:val="center"/>
        <w:spacing w:after="0"/>
        <w:rPr>
          <w:sz w:val="20"/>
          <w:szCs w:val="20"/>
          <w:color w:val="auto"/>
        </w:rPr>
      </w:pPr>
      <w:r>
        <w:rPr>
          <w:rFonts w:ascii="Arial" w:cs="Arial" w:eastAsia="Arial" w:hAnsi="Arial"/>
          <w:sz w:val="20"/>
          <w:szCs w:val="20"/>
          <w:b w:val="1"/>
          <w:bCs w:val="1"/>
          <w:color w:val="auto"/>
        </w:rPr>
        <w:t>ADAM JAROH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866140</wp:posOffset>
            </wp:positionV>
            <wp:extent cx="629221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256"/>
        </w:trPr>
        <w:tc>
          <w:tcPr>
            <w:tcW w:w="560" w:type="dxa"/>
            <w:vAlign w:val="bottom"/>
          </w:tcPr>
          <w:p>
            <w:pPr>
              <w:spacing w:after="0"/>
              <w:rPr>
                <w:sz w:val="22"/>
                <w:szCs w:val="22"/>
                <w:color w:val="auto"/>
              </w:rPr>
            </w:pPr>
          </w:p>
        </w:tc>
        <w:tc>
          <w:tcPr>
            <w:tcW w:w="5960" w:type="dxa"/>
            <w:vAlign w:val="bottom"/>
          </w:tcPr>
          <w:p>
            <w:pPr>
              <w:ind w:left="3660"/>
              <w:spacing w:after="0"/>
              <w:rPr>
                <w:sz w:val="20"/>
                <w:szCs w:val="20"/>
                <w:color w:val="auto"/>
              </w:rPr>
            </w:pPr>
            <w:r>
              <w:rPr>
                <w:rFonts w:ascii="Arial" w:cs="Arial" w:eastAsia="Arial" w:hAnsi="Arial"/>
                <w:sz w:val="20"/>
                <w:szCs w:val="20"/>
                <w:b w:val="1"/>
                <w:bCs w:val="1"/>
                <w:color w:val="auto"/>
              </w:rPr>
              <w:t>Table of Contents</w:t>
            </w:r>
          </w:p>
        </w:tc>
        <w:tc>
          <w:tcPr>
            <w:tcW w:w="3400" w:type="dxa"/>
            <w:vAlign w:val="bottom"/>
          </w:tcPr>
          <w:p>
            <w:pPr>
              <w:spacing w:after="0"/>
              <w:rPr>
                <w:sz w:val="22"/>
                <w:szCs w:val="22"/>
                <w:color w:val="auto"/>
              </w:rPr>
            </w:pPr>
          </w:p>
        </w:tc>
      </w:tr>
      <w:tr>
        <w:trPr>
          <w:trHeight w:val="441"/>
        </w:trPr>
        <w:tc>
          <w:tcPr>
            <w:tcW w:w="560" w:type="dxa"/>
            <w:vAlign w:val="bottom"/>
          </w:tcPr>
          <w:p>
            <w:pPr>
              <w:spacing w:after="0"/>
              <w:rPr>
                <w:sz w:val="20"/>
                <w:szCs w:val="20"/>
                <w:color w:val="auto"/>
              </w:rPr>
            </w:pPr>
            <w:r>
              <w:rPr>
                <w:rFonts w:ascii="Arial" w:cs="Arial" w:eastAsia="Arial" w:hAnsi="Arial"/>
                <w:sz w:val="18"/>
                <w:szCs w:val="18"/>
                <w:b w:val="1"/>
                <w:bCs w:val="1"/>
                <w:color w:val="auto"/>
              </w:rPr>
              <w:t>1.</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CONSTRUCTION; DEFINITIONS</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59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3400" w:type="dxa"/>
            <w:vAlign w:val="bottom"/>
          </w:tcPr>
          <w:p>
            <w:pPr>
              <w:ind w:left="820"/>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5960" w:type="dxa"/>
            <w:vAlign w:val="bottom"/>
          </w:tcPr>
          <w:p>
            <w:pPr>
              <w:ind w:left="240"/>
              <w:spacing w:after="0"/>
              <w:rPr>
                <w:sz w:val="20"/>
                <w:szCs w:val="20"/>
                <w:color w:val="auto"/>
              </w:rPr>
            </w:pPr>
            <w:r>
              <w:rPr>
                <w:rFonts w:ascii="Arial" w:cs="Arial" w:eastAsia="Arial" w:hAnsi="Arial"/>
                <w:sz w:val="18"/>
                <w:szCs w:val="18"/>
                <w:color w:val="auto"/>
              </w:rPr>
              <w:t>Construction</w:t>
            </w:r>
          </w:p>
        </w:tc>
        <w:tc>
          <w:tcPr>
            <w:tcW w:w="3400" w:type="dxa"/>
            <w:vAlign w:val="bottom"/>
          </w:tcPr>
          <w:p>
            <w:pPr>
              <w:ind w:left="820"/>
              <w:spacing w:after="0"/>
              <w:rPr>
                <w:sz w:val="20"/>
                <w:szCs w:val="20"/>
                <w:color w:val="auto"/>
              </w:rPr>
            </w:pPr>
            <w:r>
              <w:rPr>
                <w:rFonts w:ascii="Arial" w:cs="Arial" w:eastAsia="Arial" w:hAnsi="Arial"/>
                <w:sz w:val="18"/>
                <w:szCs w:val="18"/>
                <w:color w:val="auto"/>
              </w:rPr>
              <w:t>14</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5960" w:type="dxa"/>
            <w:vAlign w:val="bottom"/>
          </w:tcPr>
          <w:p>
            <w:pPr>
              <w:ind w:left="240"/>
              <w:spacing w:after="0"/>
              <w:rPr>
                <w:sz w:val="20"/>
                <w:szCs w:val="20"/>
                <w:color w:val="auto"/>
              </w:rPr>
            </w:pPr>
            <w:r>
              <w:rPr>
                <w:rFonts w:ascii="Arial" w:cs="Arial" w:eastAsia="Arial" w:hAnsi="Arial"/>
                <w:sz w:val="18"/>
                <w:szCs w:val="18"/>
                <w:color w:val="auto"/>
              </w:rPr>
              <w:t>Other Definitions</w:t>
            </w:r>
          </w:p>
        </w:tc>
        <w:tc>
          <w:tcPr>
            <w:tcW w:w="3400" w:type="dxa"/>
            <w:vAlign w:val="bottom"/>
          </w:tcPr>
          <w:p>
            <w:pPr>
              <w:ind w:left="820"/>
              <w:spacing w:after="0"/>
              <w:rPr>
                <w:sz w:val="20"/>
                <w:szCs w:val="20"/>
                <w:color w:val="auto"/>
              </w:rPr>
            </w:pPr>
            <w:r>
              <w:rPr>
                <w:rFonts w:ascii="Arial" w:cs="Arial" w:eastAsia="Arial" w:hAnsi="Arial"/>
                <w:sz w:val="18"/>
                <w:szCs w:val="18"/>
                <w:color w:val="auto"/>
              </w:rPr>
              <w:t>16</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2.</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PURCHASE AND SALE, TRANSFER OF SHARES</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17</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5960" w:type="dxa"/>
            <w:vAlign w:val="bottom"/>
          </w:tcPr>
          <w:p>
            <w:pPr>
              <w:ind w:left="240"/>
              <w:spacing w:after="0"/>
              <w:rPr>
                <w:sz w:val="20"/>
                <w:szCs w:val="20"/>
                <w:color w:val="auto"/>
              </w:rPr>
            </w:pPr>
            <w:r>
              <w:rPr>
                <w:rFonts w:ascii="Arial" w:cs="Arial" w:eastAsia="Arial" w:hAnsi="Arial"/>
                <w:sz w:val="18"/>
                <w:szCs w:val="18"/>
                <w:color w:val="auto"/>
              </w:rPr>
              <w:t>Agreement to Sell and Transfer the Shares</w:t>
            </w:r>
          </w:p>
        </w:tc>
        <w:tc>
          <w:tcPr>
            <w:tcW w:w="3400" w:type="dxa"/>
            <w:vAlign w:val="bottom"/>
          </w:tcPr>
          <w:p>
            <w:pPr>
              <w:ind w:left="820"/>
              <w:spacing w:after="0"/>
              <w:rPr>
                <w:sz w:val="20"/>
                <w:szCs w:val="20"/>
                <w:color w:val="auto"/>
              </w:rPr>
            </w:pPr>
            <w:r>
              <w:rPr>
                <w:rFonts w:ascii="Arial" w:cs="Arial" w:eastAsia="Arial" w:hAnsi="Arial"/>
                <w:sz w:val="18"/>
                <w:szCs w:val="18"/>
                <w:color w:val="auto"/>
              </w:rPr>
              <w:t>17</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3.</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PURCHASE PRICE</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5960" w:type="dxa"/>
            <w:vAlign w:val="bottom"/>
          </w:tcPr>
          <w:p>
            <w:pPr>
              <w:ind w:left="240"/>
              <w:spacing w:after="0"/>
              <w:rPr>
                <w:sz w:val="20"/>
                <w:szCs w:val="20"/>
                <w:color w:val="auto"/>
              </w:rPr>
            </w:pPr>
            <w:r>
              <w:rPr>
                <w:rFonts w:ascii="Arial" w:cs="Arial" w:eastAsia="Arial" w:hAnsi="Arial"/>
                <w:sz w:val="18"/>
                <w:szCs w:val="18"/>
                <w:color w:val="auto"/>
              </w:rPr>
              <w:t>Purchase Price</w:t>
            </w:r>
          </w:p>
        </w:tc>
        <w:tc>
          <w:tcPr>
            <w:tcW w:w="3400" w:type="dxa"/>
            <w:vAlign w:val="bottom"/>
          </w:tcPr>
          <w:p>
            <w:pPr>
              <w:ind w:left="820"/>
              <w:spacing w:after="0"/>
              <w:rPr>
                <w:sz w:val="20"/>
                <w:szCs w:val="20"/>
                <w:color w:val="auto"/>
              </w:rPr>
            </w:pPr>
            <w:r>
              <w:rPr>
                <w:rFonts w:ascii="Arial" w:cs="Arial" w:eastAsia="Arial" w:hAnsi="Arial"/>
                <w:sz w:val="18"/>
                <w:szCs w:val="18"/>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5960" w:type="dxa"/>
            <w:vAlign w:val="bottom"/>
          </w:tcPr>
          <w:p>
            <w:pPr>
              <w:ind w:left="240"/>
              <w:spacing w:after="0"/>
              <w:rPr>
                <w:sz w:val="20"/>
                <w:szCs w:val="20"/>
                <w:color w:val="auto"/>
              </w:rPr>
            </w:pPr>
            <w:r>
              <w:rPr>
                <w:rFonts w:ascii="Arial" w:cs="Arial" w:eastAsia="Arial" w:hAnsi="Arial"/>
                <w:sz w:val="18"/>
                <w:szCs w:val="18"/>
                <w:color w:val="auto"/>
              </w:rPr>
              <w:t>Escrow</w:t>
            </w:r>
          </w:p>
        </w:tc>
        <w:tc>
          <w:tcPr>
            <w:tcW w:w="3400" w:type="dxa"/>
            <w:vAlign w:val="bottom"/>
          </w:tcPr>
          <w:p>
            <w:pPr>
              <w:ind w:left="820"/>
              <w:spacing w:after="0"/>
              <w:rPr>
                <w:sz w:val="20"/>
                <w:szCs w:val="20"/>
                <w:color w:val="auto"/>
              </w:rPr>
            </w:pPr>
            <w:r>
              <w:rPr>
                <w:rFonts w:ascii="Arial" w:cs="Arial" w:eastAsia="Arial" w:hAnsi="Arial"/>
                <w:sz w:val="18"/>
                <w:szCs w:val="18"/>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3.3</w:t>
            </w:r>
          </w:p>
        </w:tc>
        <w:tc>
          <w:tcPr>
            <w:tcW w:w="5960" w:type="dxa"/>
            <w:vAlign w:val="bottom"/>
          </w:tcPr>
          <w:p>
            <w:pPr>
              <w:ind w:left="240"/>
              <w:spacing w:after="0"/>
              <w:rPr>
                <w:sz w:val="20"/>
                <w:szCs w:val="20"/>
                <w:color w:val="auto"/>
              </w:rPr>
            </w:pPr>
            <w:r>
              <w:rPr>
                <w:rFonts w:ascii="Arial" w:cs="Arial" w:eastAsia="Arial" w:hAnsi="Arial"/>
                <w:sz w:val="18"/>
                <w:szCs w:val="18"/>
                <w:color w:val="auto"/>
              </w:rPr>
              <w:t>Closing Date Statements</w:t>
            </w:r>
          </w:p>
        </w:tc>
        <w:tc>
          <w:tcPr>
            <w:tcW w:w="3400" w:type="dxa"/>
            <w:vAlign w:val="bottom"/>
          </w:tcPr>
          <w:p>
            <w:pPr>
              <w:ind w:left="820"/>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3.4</w:t>
            </w:r>
          </w:p>
        </w:tc>
        <w:tc>
          <w:tcPr>
            <w:tcW w:w="5960" w:type="dxa"/>
            <w:vAlign w:val="bottom"/>
          </w:tcPr>
          <w:p>
            <w:pPr>
              <w:ind w:left="240"/>
              <w:spacing w:after="0"/>
              <w:rPr>
                <w:sz w:val="20"/>
                <w:szCs w:val="20"/>
                <w:color w:val="auto"/>
              </w:rPr>
            </w:pPr>
            <w:r>
              <w:rPr>
                <w:rFonts w:ascii="Arial" w:cs="Arial" w:eastAsia="Arial" w:hAnsi="Arial"/>
                <w:sz w:val="18"/>
                <w:szCs w:val="18"/>
                <w:color w:val="auto"/>
              </w:rPr>
              <w:t>Payment of the Closing Payment Shares</w:t>
            </w:r>
          </w:p>
        </w:tc>
        <w:tc>
          <w:tcPr>
            <w:tcW w:w="3400" w:type="dxa"/>
            <w:vAlign w:val="bottom"/>
          </w:tcPr>
          <w:p>
            <w:pPr>
              <w:ind w:left="820"/>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3.5</w:t>
            </w:r>
          </w:p>
        </w:tc>
        <w:tc>
          <w:tcPr>
            <w:tcW w:w="5960" w:type="dxa"/>
            <w:vAlign w:val="bottom"/>
          </w:tcPr>
          <w:p>
            <w:pPr>
              <w:ind w:left="240"/>
              <w:spacing w:after="0"/>
              <w:rPr>
                <w:sz w:val="20"/>
                <w:szCs w:val="20"/>
                <w:color w:val="auto"/>
              </w:rPr>
            </w:pPr>
            <w:r>
              <w:rPr>
                <w:rFonts w:ascii="Arial" w:cs="Arial" w:eastAsia="Arial" w:hAnsi="Arial"/>
                <w:sz w:val="18"/>
                <w:szCs w:val="18"/>
                <w:color w:val="auto"/>
              </w:rPr>
              <w:t>Payment of other amounts payable at Closing</w:t>
            </w:r>
          </w:p>
        </w:tc>
        <w:tc>
          <w:tcPr>
            <w:tcW w:w="3400" w:type="dxa"/>
            <w:vAlign w:val="bottom"/>
          </w:tcPr>
          <w:p>
            <w:pPr>
              <w:ind w:left="82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3.6</w:t>
            </w:r>
          </w:p>
        </w:tc>
        <w:tc>
          <w:tcPr>
            <w:tcW w:w="5960" w:type="dxa"/>
            <w:vAlign w:val="bottom"/>
          </w:tcPr>
          <w:p>
            <w:pPr>
              <w:ind w:left="240"/>
              <w:spacing w:after="0"/>
              <w:rPr>
                <w:sz w:val="20"/>
                <w:szCs w:val="20"/>
                <w:color w:val="auto"/>
              </w:rPr>
            </w:pPr>
            <w:r>
              <w:rPr>
                <w:rFonts w:ascii="Arial" w:cs="Arial" w:eastAsia="Arial" w:hAnsi="Arial"/>
                <w:sz w:val="18"/>
                <w:szCs w:val="18"/>
                <w:color w:val="auto"/>
              </w:rPr>
              <w:t>Locked Box</w:t>
            </w:r>
          </w:p>
        </w:tc>
        <w:tc>
          <w:tcPr>
            <w:tcW w:w="3400" w:type="dxa"/>
            <w:vAlign w:val="bottom"/>
          </w:tcPr>
          <w:p>
            <w:pPr>
              <w:ind w:left="82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3.7</w:t>
            </w:r>
          </w:p>
        </w:tc>
        <w:tc>
          <w:tcPr>
            <w:tcW w:w="5960" w:type="dxa"/>
            <w:vAlign w:val="bottom"/>
          </w:tcPr>
          <w:p>
            <w:pPr>
              <w:ind w:left="240"/>
              <w:spacing w:after="0"/>
              <w:rPr>
                <w:sz w:val="20"/>
                <w:szCs w:val="20"/>
                <w:color w:val="auto"/>
              </w:rPr>
            </w:pPr>
            <w:r>
              <w:rPr>
                <w:rFonts w:ascii="Arial" w:cs="Arial" w:eastAsia="Arial" w:hAnsi="Arial"/>
                <w:sz w:val="18"/>
                <w:szCs w:val="18"/>
                <w:color w:val="auto"/>
              </w:rPr>
              <w:t>Purchase Price Adjustment</w:t>
            </w:r>
          </w:p>
        </w:tc>
        <w:tc>
          <w:tcPr>
            <w:tcW w:w="3400" w:type="dxa"/>
            <w:vAlign w:val="bottom"/>
          </w:tcPr>
          <w:p>
            <w:pPr>
              <w:ind w:left="82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3.8</w:t>
            </w:r>
          </w:p>
        </w:tc>
        <w:tc>
          <w:tcPr>
            <w:tcW w:w="5960" w:type="dxa"/>
            <w:vAlign w:val="bottom"/>
          </w:tcPr>
          <w:p>
            <w:pPr>
              <w:ind w:left="240"/>
              <w:spacing w:after="0"/>
              <w:rPr>
                <w:sz w:val="20"/>
                <w:szCs w:val="20"/>
                <w:color w:val="auto"/>
              </w:rPr>
            </w:pPr>
            <w:r>
              <w:rPr>
                <w:rFonts w:ascii="Arial" w:cs="Arial" w:eastAsia="Arial" w:hAnsi="Arial"/>
                <w:sz w:val="18"/>
                <w:szCs w:val="18"/>
                <w:color w:val="auto"/>
              </w:rPr>
              <w:t>Seller and Shareholder Release, Discharge of Officers and Directors</w:t>
            </w:r>
          </w:p>
        </w:tc>
        <w:tc>
          <w:tcPr>
            <w:tcW w:w="3400" w:type="dxa"/>
            <w:vAlign w:val="bottom"/>
          </w:tcPr>
          <w:p>
            <w:pPr>
              <w:ind w:left="820"/>
              <w:spacing w:after="0"/>
              <w:rPr>
                <w:sz w:val="20"/>
                <w:szCs w:val="20"/>
                <w:color w:val="auto"/>
              </w:rPr>
            </w:pPr>
            <w:r>
              <w:rPr>
                <w:rFonts w:ascii="Arial" w:cs="Arial" w:eastAsia="Arial" w:hAnsi="Arial"/>
                <w:sz w:val="18"/>
                <w:szCs w:val="18"/>
                <w:color w:val="auto"/>
              </w:rPr>
              <w:t>20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3.9</w:t>
            </w:r>
          </w:p>
        </w:tc>
        <w:tc>
          <w:tcPr>
            <w:tcW w:w="5960" w:type="dxa"/>
            <w:vAlign w:val="bottom"/>
          </w:tcPr>
          <w:p>
            <w:pPr>
              <w:ind w:left="240"/>
              <w:spacing w:after="0"/>
              <w:rPr>
                <w:sz w:val="20"/>
                <w:szCs w:val="20"/>
                <w:color w:val="auto"/>
              </w:rPr>
            </w:pPr>
            <w:r>
              <w:rPr>
                <w:rFonts w:ascii="Arial" w:cs="Arial" w:eastAsia="Arial" w:hAnsi="Arial"/>
                <w:sz w:val="18"/>
                <w:szCs w:val="18"/>
                <w:color w:val="auto"/>
              </w:rPr>
              <w:t>Claims Under Escrow</w:t>
            </w:r>
          </w:p>
        </w:tc>
        <w:tc>
          <w:tcPr>
            <w:tcW w:w="340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3.10</w:t>
            </w:r>
          </w:p>
        </w:tc>
        <w:tc>
          <w:tcPr>
            <w:tcW w:w="5960" w:type="dxa"/>
            <w:vAlign w:val="bottom"/>
          </w:tcPr>
          <w:p>
            <w:pPr>
              <w:ind w:left="240"/>
              <w:spacing w:after="0"/>
              <w:rPr>
                <w:sz w:val="20"/>
                <w:szCs w:val="20"/>
                <w:color w:val="auto"/>
              </w:rPr>
            </w:pPr>
            <w:r>
              <w:rPr>
                <w:rFonts w:ascii="Arial" w:cs="Arial" w:eastAsia="Arial" w:hAnsi="Arial"/>
                <w:sz w:val="18"/>
                <w:szCs w:val="18"/>
                <w:color w:val="auto"/>
              </w:rPr>
              <w:t>Earn-Out I – Performance of Company Group</w:t>
            </w:r>
          </w:p>
        </w:tc>
        <w:tc>
          <w:tcPr>
            <w:tcW w:w="340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3.11</w:t>
            </w:r>
          </w:p>
        </w:tc>
        <w:tc>
          <w:tcPr>
            <w:tcW w:w="5960" w:type="dxa"/>
            <w:vAlign w:val="bottom"/>
          </w:tcPr>
          <w:p>
            <w:pPr>
              <w:ind w:left="240"/>
              <w:spacing w:after="0"/>
              <w:rPr>
                <w:sz w:val="20"/>
                <w:szCs w:val="20"/>
                <w:color w:val="auto"/>
              </w:rPr>
            </w:pPr>
            <w:r>
              <w:rPr>
                <w:rFonts w:ascii="Arial" w:cs="Arial" w:eastAsia="Arial" w:hAnsi="Arial"/>
                <w:sz w:val="18"/>
                <w:szCs w:val="18"/>
                <w:color w:val="auto"/>
              </w:rPr>
              <w:t>Earn Out II – Lockman Oustanding</w:t>
            </w:r>
          </w:p>
        </w:tc>
        <w:tc>
          <w:tcPr>
            <w:tcW w:w="3400" w:type="dxa"/>
            <w:vAlign w:val="bottom"/>
          </w:tcPr>
          <w:p>
            <w:pPr>
              <w:ind w:left="820"/>
              <w:spacing w:after="0"/>
              <w:rPr>
                <w:sz w:val="20"/>
                <w:szCs w:val="20"/>
                <w:color w:val="auto"/>
              </w:rPr>
            </w:pPr>
            <w:r>
              <w:rPr>
                <w:rFonts w:ascii="Arial" w:cs="Arial" w:eastAsia="Arial" w:hAnsi="Arial"/>
                <w:sz w:val="18"/>
                <w:szCs w:val="18"/>
                <w:color w:val="auto"/>
              </w:rPr>
              <w:t>23</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3.12</w:t>
            </w:r>
          </w:p>
        </w:tc>
        <w:tc>
          <w:tcPr>
            <w:tcW w:w="5960" w:type="dxa"/>
            <w:vAlign w:val="bottom"/>
          </w:tcPr>
          <w:p>
            <w:pPr>
              <w:ind w:left="240"/>
              <w:spacing w:after="0"/>
              <w:rPr>
                <w:sz w:val="20"/>
                <w:szCs w:val="20"/>
                <w:color w:val="auto"/>
              </w:rPr>
            </w:pPr>
            <w:r>
              <w:rPr>
                <w:rFonts w:ascii="Arial" w:cs="Arial" w:eastAsia="Arial" w:hAnsi="Arial"/>
                <w:sz w:val="18"/>
                <w:szCs w:val="18"/>
                <w:color w:val="auto"/>
              </w:rPr>
              <w:t>Value Added Tax</w:t>
            </w:r>
          </w:p>
        </w:tc>
        <w:tc>
          <w:tcPr>
            <w:tcW w:w="3400" w:type="dxa"/>
            <w:vAlign w:val="bottom"/>
          </w:tcPr>
          <w:p>
            <w:pPr>
              <w:ind w:left="820"/>
              <w:spacing w:after="0"/>
              <w:rPr>
                <w:sz w:val="20"/>
                <w:szCs w:val="20"/>
                <w:color w:val="auto"/>
              </w:rPr>
            </w:pPr>
            <w:r>
              <w:rPr>
                <w:rFonts w:ascii="Arial" w:cs="Arial" w:eastAsia="Arial" w:hAnsi="Arial"/>
                <w:sz w:val="18"/>
                <w:szCs w:val="18"/>
                <w:color w:val="auto"/>
              </w:rPr>
              <w:t>24</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WARRANTIES OF THE SELLER</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24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5960" w:type="dxa"/>
            <w:vAlign w:val="bottom"/>
          </w:tcPr>
          <w:p>
            <w:pPr>
              <w:ind w:left="240"/>
              <w:spacing w:after="0"/>
              <w:rPr>
                <w:sz w:val="20"/>
                <w:szCs w:val="20"/>
                <w:color w:val="auto"/>
              </w:rPr>
            </w:pPr>
            <w:r>
              <w:rPr>
                <w:rFonts w:ascii="Arial" w:cs="Arial" w:eastAsia="Arial" w:hAnsi="Arial"/>
                <w:sz w:val="18"/>
                <w:szCs w:val="18"/>
                <w:color w:val="auto"/>
              </w:rPr>
              <w:t>Warranties</w:t>
            </w:r>
          </w:p>
        </w:tc>
        <w:tc>
          <w:tcPr>
            <w:tcW w:w="3400" w:type="dxa"/>
            <w:vAlign w:val="bottom"/>
          </w:tcPr>
          <w:p>
            <w:pPr>
              <w:ind w:left="820"/>
              <w:spacing w:after="0"/>
              <w:rPr>
                <w:sz w:val="20"/>
                <w:szCs w:val="20"/>
                <w:color w:val="auto"/>
              </w:rPr>
            </w:pPr>
            <w:r>
              <w:rPr>
                <w:rFonts w:ascii="Arial" w:cs="Arial" w:eastAsia="Arial" w:hAnsi="Arial"/>
                <w:sz w:val="18"/>
                <w:szCs w:val="18"/>
                <w:color w:val="auto"/>
              </w:rPr>
              <w:t>24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5960" w:type="dxa"/>
            <w:vAlign w:val="bottom"/>
          </w:tcPr>
          <w:p>
            <w:pPr>
              <w:ind w:left="240"/>
              <w:spacing w:after="0"/>
              <w:rPr>
                <w:sz w:val="20"/>
                <w:szCs w:val="20"/>
                <w:color w:val="auto"/>
              </w:rPr>
            </w:pPr>
            <w:r>
              <w:rPr>
                <w:rFonts w:ascii="Arial" w:cs="Arial" w:eastAsia="Arial" w:hAnsi="Arial"/>
                <w:sz w:val="18"/>
                <w:szCs w:val="18"/>
                <w:color w:val="auto"/>
              </w:rPr>
              <w:t>Warranties not Affected by Completion</w:t>
            </w:r>
          </w:p>
        </w:tc>
        <w:tc>
          <w:tcPr>
            <w:tcW w:w="3400" w:type="dxa"/>
            <w:vAlign w:val="bottom"/>
          </w:tcPr>
          <w:p>
            <w:pPr>
              <w:ind w:left="820"/>
              <w:spacing w:after="0"/>
              <w:rPr>
                <w:sz w:val="20"/>
                <w:szCs w:val="20"/>
                <w:color w:val="auto"/>
              </w:rPr>
            </w:pPr>
            <w:r>
              <w:rPr>
                <w:rFonts w:ascii="Arial" w:cs="Arial" w:eastAsia="Arial" w:hAnsi="Arial"/>
                <w:sz w:val="18"/>
                <w:szCs w:val="18"/>
                <w:color w:val="auto"/>
              </w:rPr>
              <w:t>24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5960" w:type="dxa"/>
            <w:vAlign w:val="bottom"/>
          </w:tcPr>
          <w:p>
            <w:pPr>
              <w:ind w:left="240"/>
              <w:spacing w:after="0"/>
              <w:rPr>
                <w:sz w:val="20"/>
                <w:szCs w:val="20"/>
                <w:color w:val="auto"/>
              </w:rPr>
            </w:pPr>
            <w:r>
              <w:rPr>
                <w:rFonts w:ascii="Arial" w:cs="Arial" w:eastAsia="Arial" w:hAnsi="Arial"/>
                <w:sz w:val="18"/>
                <w:szCs w:val="18"/>
                <w:color w:val="auto"/>
              </w:rPr>
              <w:t>Separate and Independent Warranty</w:t>
            </w:r>
          </w:p>
        </w:tc>
        <w:tc>
          <w:tcPr>
            <w:tcW w:w="3400" w:type="dxa"/>
            <w:vAlign w:val="bottom"/>
          </w:tcPr>
          <w:p>
            <w:pPr>
              <w:ind w:left="820"/>
              <w:spacing w:after="0"/>
              <w:rPr>
                <w:sz w:val="20"/>
                <w:szCs w:val="20"/>
                <w:color w:val="auto"/>
              </w:rPr>
            </w:pPr>
            <w:r>
              <w:rPr>
                <w:rFonts w:ascii="Arial" w:cs="Arial" w:eastAsia="Arial" w:hAnsi="Arial"/>
                <w:sz w:val="18"/>
                <w:szCs w:val="18"/>
                <w:color w:val="auto"/>
              </w:rPr>
              <w:t>24</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5960" w:type="dxa"/>
            <w:vAlign w:val="bottom"/>
          </w:tcPr>
          <w:p>
            <w:pPr>
              <w:ind w:left="240"/>
              <w:spacing w:after="0"/>
              <w:rPr>
                <w:sz w:val="20"/>
                <w:szCs w:val="20"/>
                <w:color w:val="auto"/>
              </w:rPr>
            </w:pPr>
            <w:r>
              <w:rPr>
                <w:rFonts w:ascii="Arial" w:cs="Arial" w:eastAsia="Arial" w:hAnsi="Arial"/>
                <w:sz w:val="18"/>
                <w:szCs w:val="18"/>
                <w:color w:val="auto"/>
              </w:rPr>
              <w:t>Seller’s Liability in Case of a Breach of Seller’s Warranties</w:t>
            </w:r>
          </w:p>
        </w:tc>
        <w:tc>
          <w:tcPr>
            <w:tcW w:w="3400" w:type="dxa"/>
            <w:vAlign w:val="bottom"/>
          </w:tcPr>
          <w:p>
            <w:pPr>
              <w:ind w:left="820"/>
              <w:spacing w:after="0"/>
              <w:rPr>
                <w:sz w:val="20"/>
                <w:szCs w:val="20"/>
                <w:color w:val="auto"/>
              </w:rPr>
            </w:pPr>
            <w:r>
              <w:rPr>
                <w:rFonts w:ascii="Arial" w:cs="Arial" w:eastAsia="Arial" w:hAnsi="Arial"/>
                <w:sz w:val="18"/>
                <w:szCs w:val="18"/>
                <w:color w:val="auto"/>
              </w:rPr>
              <w:t>25</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5.</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WARRANTIES OF THE PURCHASER</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25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5960" w:type="dxa"/>
            <w:vAlign w:val="bottom"/>
          </w:tcPr>
          <w:p>
            <w:pPr>
              <w:ind w:left="240"/>
              <w:spacing w:after="0"/>
              <w:rPr>
                <w:sz w:val="20"/>
                <w:szCs w:val="20"/>
                <w:color w:val="auto"/>
              </w:rPr>
            </w:pPr>
            <w:r>
              <w:rPr>
                <w:rFonts w:ascii="Arial" w:cs="Arial" w:eastAsia="Arial" w:hAnsi="Arial"/>
                <w:sz w:val="18"/>
                <w:szCs w:val="18"/>
                <w:color w:val="auto"/>
              </w:rPr>
              <w:t>Warranties</w:t>
            </w:r>
          </w:p>
        </w:tc>
        <w:tc>
          <w:tcPr>
            <w:tcW w:w="3400" w:type="dxa"/>
            <w:vAlign w:val="bottom"/>
          </w:tcPr>
          <w:p>
            <w:pPr>
              <w:ind w:left="820"/>
              <w:spacing w:after="0"/>
              <w:rPr>
                <w:sz w:val="20"/>
                <w:szCs w:val="20"/>
                <w:color w:val="auto"/>
              </w:rPr>
            </w:pPr>
            <w:r>
              <w:rPr>
                <w:rFonts w:ascii="Arial" w:cs="Arial" w:eastAsia="Arial" w:hAnsi="Arial"/>
                <w:sz w:val="18"/>
                <w:szCs w:val="18"/>
                <w:color w:val="auto"/>
              </w:rPr>
              <w:t>25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5960" w:type="dxa"/>
            <w:vAlign w:val="bottom"/>
          </w:tcPr>
          <w:p>
            <w:pPr>
              <w:ind w:left="240"/>
              <w:spacing w:after="0"/>
              <w:rPr>
                <w:sz w:val="20"/>
                <w:szCs w:val="20"/>
                <w:color w:val="auto"/>
              </w:rPr>
            </w:pPr>
            <w:r>
              <w:rPr>
                <w:rFonts w:ascii="Arial" w:cs="Arial" w:eastAsia="Arial" w:hAnsi="Arial"/>
                <w:sz w:val="18"/>
                <w:szCs w:val="18"/>
                <w:color w:val="auto"/>
              </w:rPr>
              <w:t>Warranties not Affected by Completion</w:t>
            </w:r>
          </w:p>
        </w:tc>
        <w:tc>
          <w:tcPr>
            <w:tcW w:w="3400" w:type="dxa"/>
            <w:vAlign w:val="bottom"/>
          </w:tcPr>
          <w:p>
            <w:pPr>
              <w:ind w:left="820"/>
              <w:spacing w:after="0"/>
              <w:rPr>
                <w:sz w:val="20"/>
                <w:szCs w:val="20"/>
                <w:color w:val="auto"/>
              </w:rPr>
            </w:pPr>
            <w:r>
              <w:rPr>
                <w:rFonts w:ascii="Arial" w:cs="Arial" w:eastAsia="Arial" w:hAnsi="Arial"/>
                <w:sz w:val="18"/>
                <w:szCs w:val="18"/>
                <w:color w:val="auto"/>
              </w:rPr>
              <w:t>25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5.3</w:t>
            </w:r>
          </w:p>
        </w:tc>
        <w:tc>
          <w:tcPr>
            <w:tcW w:w="5960" w:type="dxa"/>
            <w:vAlign w:val="bottom"/>
          </w:tcPr>
          <w:p>
            <w:pPr>
              <w:ind w:left="240"/>
              <w:spacing w:after="0"/>
              <w:rPr>
                <w:sz w:val="20"/>
                <w:szCs w:val="20"/>
                <w:color w:val="auto"/>
              </w:rPr>
            </w:pPr>
            <w:r>
              <w:rPr>
                <w:rFonts w:ascii="Arial" w:cs="Arial" w:eastAsia="Arial" w:hAnsi="Arial"/>
                <w:sz w:val="18"/>
                <w:szCs w:val="18"/>
                <w:color w:val="auto"/>
              </w:rPr>
              <w:t>Separate and Independent Warranty</w:t>
            </w:r>
          </w:p>
        </w:tc>
        <w:tc>
          <w:tcPr>
            <w:tcW w:w="3400" w:type="dxa"/>
            <w:vAlign w:val="bottom"/>
          </w:tcPr>
          <w:p>
            <w:pPr>
              <w:ind w:left="820"/>
              <w:spacing w:after="0"/>
              <w:rPr>
                <w:sz w:val="20"/>
                <w:szCs w:val="20"/>
                <w:color w:val="auto"/>
              </w:rPr>
            </w:pPr>
            <w:r>
              <w:rPr>
                <w:rFonts w:ascii="Arial" w:cs="Arial" w:eastAsia="Arial" w:hAnsi="Arial"/>
                <w:sz w:val="18"/>
                <w:szCs w:val="18"/>
                <w:color w:val="auto"/>
              </w:rPr>
              <w:t>25</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5.4</w:t>
            </w:r>
          </w:p>
        </w:tc>
        <w:tc>
          <w:tcPr>
            <w:tcW w:w="5960" w:type="dxa"/>
            <w:vAlign w:val="bottom"/>
          </w:tcPr>
          <w:p>
            <w:pPr>
              <w:ind w:left="240"/>
              <w:spacing w:after="0"/>
              <w:rPr>
                <w:sz w:val="20"/>
                <w:szCs w:val="20"/>
                <w:color w:val="auto"/>
              </w:rPr>
            </w:pPr>
            <w:r>
              <w:rPr>
                <w:rFonts w:ascii="Arial" w:cs="Arial" w:eastAsia="Arial" w:hAnsi="Arial"/>
                <w:sz w:val="18"/>
                <w:szCs w:val="18"/>
                <w:color w:val="auto"/>
              </w:rPr>
              <w:t>Purchaser’s Liability in Case of a Breach of Purchaser’s Warranties</w:t>
            </w:r>
          </w:p>
        </w:tc>
        <w:tc>
          <w:tcPr>
            <w:tcW w:w="3400" w:type="dxa"/>
            <w:vAlign w:val="bottom"/>
          </w:tcPr>
          <w:p>
            <w:pPr>
              <w:ind w:left="820"/>
              <w:spacing w:after="0"/>
              <w:rPr>
                <w:sz w:val="20"/>
                <w:szCs w:val="20"/>
                <w:color w:val="auto"/>
              </w:rPr>
            </w:pPr>
            <w:r>
              <w:rPr>
                <w:rFonts w:ascii="Arial" w:cs="Arial" w:eastAsia="Arial" w:hAnsi="Arial"/>
                <w:sz w:val="18"/>
                <w:szCs w:val="18"/>
                <w:color w:val="auto"/>
              </w:rPr>
              <w:t>25</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BETWEEN SIGNING AND CLOSING</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26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5960" w:type="dxa"/>
            <w:vAlign w:val="bottom"/>
          </w:tcPr>
          <w:p>
            <w:pPr>
              <w:ind w:left="240"/>
              <w:spacing w:after="0"/>
              <w:rPr>
                <w:sz w:val="20"/>
                <w:szCs w:val="20"/>
                <w:color w:val="auto"/>
              </w:rPr>
            </w:pPr>
            <w:r>
              <w:rPr>
                <w:rFonts w:ascii="Arial" w:cs="Arial" w:eastAsia="Arial" w:hAnsi="Arial"/>
                <w:sz w:val="18"/>
                <w:szCs w:val="18"/>
                <w:color w:val="auto"/>
              </w:rPr>
              <w:t>Conduct of Business by the Company Group</w:t>
            </w:r>
          </w:p>
        </w:tc>
        <w:tc>
          <w:tcPr>
            <w:tcW w:w="3400" w:type="dxa"/>
            <w:vAlign w:val="bottom"/>
          </w:tcPr>
          <w:p>
            <w:pPr>
              <w:ind w:left="820"/>
              <w:spacing w:after="0"/>
              <w:rPr>
                <w:sz w:val="20"/>
                <w:szCs w:val="20"/>
                <w:color w:val="auto"/>
              </w:rPr>
            </w:pPr>
            <w:r>
              <w:rPr>
                <w:rFonts w:ascii="Arial" w:cs="Arial" w:eastAsia="Arial" w:hAnsi="Arial"/>
                <w:sz w:val="18"/>
                <w:szCs w:val="18"/>
                <w:color w:val="auto"/>
              </w:rPr>
              <w:t>26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5960" w:type="dxa"/>
            <w:vAlign w:val="bottom"/>
          </w:tcPr>
          <w:p>
            <w:pPr>
              <w:ind w:left="240"/>
              <w:spacing w:after="0"/>
              <w:rPr>
                <w:sz w:val="20"/>
                <w:szCs w:val="20"/>
                <w:color w:val="auto"/>
              </w:rPr>
            </w:pPr>
            <w:r>
              <w:rPr>
                <w:rFonts w:ascii="Arial" w:cs="Arial" w:eastAsia="Arial" w:hAnsi="Arial"/>
                <w:sz w:val="18"/>
                <w:szCs w:val="18"/>
                <w:color w:val="auto"/>
              </w:rPr>
              <w:t>Inspection and Access to Information</w:t>
            </w:r>
          </w:p>
        </w:tc>
        <w:tc>
          <w:tcPr>
            <w:tcW w:w="3400" w:type="dxa"/>
            <w:vAlign w:val="bottom"/>
          </w:tcPr>
          <w:p>
            <w:pPr>
              <w:ind w:left="820"/>
              <w:spacing w:after="0"/>
              <w:rPr>
                <w:sz w:val="20"/>
                <w:szCs w:val="20"/>
                <w:color w:val="auto"/>
              </w:rPr>
            </w:pPr>
            <w:r>
              <w:rPr>
                <w:rFonts w:ascii="Arial" w:cs="Arial" w:eastAsia="Arial" w:hAnsi="Arial"/>
                <w:sz w:val="18"/>
                <w:szCs w:val="18"/>
                <w:color w:val="auto"/>
              </w:rPr>
              <w:t>29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6.3</w:t>
            </w:r>
          </w:p>
        </w:tc>
        <w:tc>
          <w:tcPr>
            <w:tcW w:w="5960" w:type="dxa"/>
            <w:vAlign w:val="bottom"/>
          </w:tcPr>
          <w:p>
            <w:pPr>
              <w:ind w:left="240"/>
              <w:spacing w:after="0"/>
              <w:rPr>
                <w:sz w:val="20"/>
                <w:szCs w:val="20"/>
                <w:color w:val="auto"/>
              </w:rPr>
            </w:pPr>
            <w:r>
              <w:rPr>
                <w:rFonts w:ascii="Arial" w:cs="Arial" w:eastAsia="Arial" w:hAnsi="Arial"/>
                <w:sz w:val="18"/>
                <w:szCs w:val="18"/>
                <w:color w:val="auto"/>
              </w:rPr>
              <w:t>Notices of Certain Events</w:t>
            </w:r>
          </w:p>
        </w:tc>
        <w:tc>
          <w:tcPr>
            <w:tcW w:w="3400" w:type="dxa"/>
            <w:vAlign w:val="bottom"/>
          </w:tcPr>
          <w:p>
            <w:pPr>
              <w:ind w:left="820"/>
              <w:spacing w:after="0"/>
              <w:rPr>
                <w:sz w:val="20"/>
                <w:szCs w:val="20"/>
                <w:color w:val="auto"/>
              </w:rPr>
            </w:pPr>
            <w:r>
              <w:rPr>
                <w:rFonts w:ascii="Arial" w:cs="Arial" w:eastAsia="Arial" w:hAnsi="Arial"/>
                <w:sz w:val="18"/>
                <w:szCs w:val="18"/>
                <w:color w:val="auto"/>
              </w:rPr>
              <w:t>29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6.4</w:t>
            </w:r>
          </w:p>
        </w:tc>
        <w:tc>
          <w:tcPr>
            <w:tcW w:w="5960" w:type="dxa"/>
            <w:vAlign w:val="bottom"/>
          </w:tcPr>
          <w:p>
            <w:pPr>
              <w:ind w:left="240"/>
              <w:spacing w:after="0"/>
              <w:rPr>
                <w:sz w:val="20"/>
                <w:szCs w:val="20"/>
                <w:color w:val="auto"/>
              </w:rPr>
            </w:pPr>
            <w:r>
              <w:rPr>
                <w:rFonts w:ascii="Arial" w:cs="Arial" w:eastAsia="Arial" w:hAnsi="Arial"/>
                <w:sz w:val="18"/>
                <w:szCs w:val="18"/>
                <w:color w:val="auto"/>
              </w:rPr>
              <w:t>Interim Unaudited Financials</w:t>
            </w:r>
          </w:p>
        </w:tc>
        <w:tc>
          <w:tcPr>
            <w:tcW w:w="3400" w:type="dxa"/>
            <w:vAlign w:val="bottom"/>
          </w:tcPr>
          <w:p>
            <w:pPr>
              <w:ind w:left="820"/>
              <w:spacing w:after="0"/>
              <w:rPr>
                <w:sz w:val="20"/>
                <w:szCs w:val="20"/>
                <w:color w:val="auto"/>
              </w:rPr>
            </w:pPr>
            <w:r>
              <w:rPr>
                <w:rFonts w:ascii="Arial" w:cs="Arial" w:eastAsia="Arial" w:hAnsi="Arial"/>
                <w:sz w:val="18"/>
                <w:szCs w:val="18"/>
                <w:color w:val="auto"/>
              </w:rPr>
              <w:t>30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6.5</w:t>
            </w:r>
          </w:p>
        </w:tc>
        <w:tc>
          <w:tcPr>
            <w:tcW w:w="5960" w:type="dxa"/>
            <w:vAlign w:val="bottom"/>
          </w:tcPr>
          <w:p>
            <w:pPr>
              <w:ind w:left="240"/>
              <w:spacing w:after="0"/>
              <w:rPr>
                <w:sz w:val="20"/>
                <w:szCs w:val="20"/>
                <w:color w:val="auto"/>
              </w:rPr>
            </w:pPr>
            <w:r>
              <w:rPr>
                <w:rFonts w:ascii="Arial" w:cs="Arial" w:eastAsia="Arial" w:hAnsi="Arial"/>
                <w:sz w:val="18"/>
                <w:szCs w:val="18"/>
                <w:color w:val="auto"/>
              </w:rPr>
              <w:t>No Solicitation of Transactions</w:t>
            </w:r>
          </w:p>
        </w:tc>
        <w:tc>
          <w:tcPr>
            <w:tcW w:w="3400" w:type="dxa"/>
            <w:vAlign w:val="bottom"/>
          </w:tcPr>
          <w:p>
            <w:pPr>
              <w:ind w:left="820"/>
              <w:spacing w:after="0"/>
              <w:rPr>
                <w:sz w:val="20"/>
                <w:szCs w:val="20"/>
                <w:color w:val="auto"/>
              </w:rPr>
            </w:pPr>
            <w:r>
              <w:rPr>
                <w:rFonts w:ascii="Arial" w:cs="Arial" w:eastAsia="Arial" w:hAnsi="Arial"/>
                <w:sz w:val="18"/>
                <w:szCs w:val="18"/>
                <w:color w:val="auto"/>
              </w:rPr>
              <w:t>30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6.6</w:t>
            </w:r>
          </w:p>
        </w:tc>
        <w:tc>
          <w:tcPr>
            <w:tcW w:w="5960" w:type="dxa"/>
            <w:vAlign w:val="bottom"/>
          </w:tcPr>
          <w:p>
            <w:pPr>
              <w:ind w:left="240"/>
              <w:spacing w:after="0"/>
              <w:rPr>
                <w:sz w:val="20"/>
                <w:szCs w:val="20"/>
                <w:color w:val="auto"/>
              </w:rPr>
            </w:pPr>
            <w:r>
              <w:rPr>
                <w:rFonts w:ascii="Arial" w:cs="Arial" w:eastAsia="Arial" w:hAnsi="Arial"/>
                <w:sz w:val="18"/>
                <w:szCs w:val="18"/>
                <w:color w:val="auto"/>
              </w:rPr>
              <w:t>Reasonable Efforts; Further Assurances; Cooperation</w:t>
            </w:r>
          </w:p>
        </w:tc>
        <w:tc>
          <w:tcPr>
            <w:tcW w:w="3400" w:type="dxa"/>
            <w:vAlign w:val="bottom"/>
          </w:tcPr>
          <w:p>
            <w:pPr>
              <w:ind w:left="820"/>
              <w:spacing w:after="0"/>
              <w:rPr>
                <w:sz w:val="20"/>
                <w:szCs w:val="20"/>
                <w:color w:val="auto"/>
              </w:rPr>
            </w:pPr>
            <w:r>
              <w:rPr>
                <w:rFonts w:ascii="Arial" w:cs="Arial" w:eastAsia="Arial" w:hAnsi="Arial"/>
                <w:sz w:val="18"/>
                <w:szCs w:val="18"/>
                <w:color w:val="auto"/>
              </w:rPr>
              <w:t>30</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6.7</w:t>
            </w:r>
          </w:p>
        </w:tc>
        <w:tc>
          <w:tcPr>
            <w:tcW w:w="5960" w:type="dxa"/>
            <w:vAlign w:val="bottom"/>
          </w:tcPr>
          <w:p>
            <w:pPr>
              <w:ind w:left="240"/>
              <w:spacing w:after="0"/>
              <w:rPr>
                <w:sz w:val="20"/>
                <w:szCs w:val="20"/>
                <w:color w:val="auto"/>
              </w:rPr>
            </w:pPr>
            <w:r>
              <w:rPr>
                <w:rFonts w:ascii="Arial" w:cs="Arial" w:eastAsia="Arial" w:hAnsi="Arial"/>
                <w:sz w:val="18"/>
                <w:szCs w:val="18"/>
                <w:color w:val="auto"/>
              </w:rPr>
              <w:t>Supplements to Disclosure Schedules</w:t>
            </w:r>
          </w:p>
        </w:tc>
        <w:tc>
          <w:tcPr>
            <w:tcW w:w="3400" w:type="dxa"/>
            <w:vAlign w:val="bottom"/>
          </w:tcPr>
          <w:p>
            <w:pPr>
              <w:ind w:left="820"/>
              <w:spacing w:after="0"/>
              <w:rPr>
                <w:sz w:val="20"/>
                <w:szCs w:val="20"/>
                <w:color w:val="auto"/>
              </w:rPr>
            </w:pPr>
            <w:r>
              <w:rPr>
                <w:rFonts w:ascii="Arial" w:cs="Arial" w:eastAsia="Arial" w:hAnsi="Arial"/>
                <w:sz w:val="18"/>
                <w:szCs w:val="18"/>
                <w:color w:val="auto"/>
              </w:rPr>
              <w:t>33</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7.</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CONDITIONS TO CLOSING</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33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7.1</w:t>
            </w:r>
          </w:p>
        </w:tc>
        <w:tc>
          <w:tcPr>
            <w:tcW w:w="5960" w:type="dxa"/>
            <w:vAlign w:val="bottom"/>
          </w:tcPr>
          <w:p>
            <w:pPr>
              <w:ind w:left="240"/>
              <w:spacing w:after="0"/>
              <w:rPr>
                <w:sz w:val="20"/>
                <w:szCs w:val="20"/>
                <w:color w:val="auto"/>
              </w:rPr>
            </w:pPr>
            <w:r>
              <w:rPr>
                <w:rFonts w:ascii="Arial" w:cs="Arial" w:eastAsia="Arial" w:hAnsi="Arial"/>
                <w:sz w:val="18"/>
                <w:szCs w:val="18"/>
                <w:color w:val="auto"/>
              </w:rPr>
              <w:t>Conditions to Obligations of the Purchaser</w:t>
            </w:r>
          </w:p>
        </w:tc>
        <w:tc>
          <w:tcPr>
            <w:tcW w:w="3400" w:type="dxa"/>
            <w:vAlign w:val="bottom"/>
          </w:tcPr>
          <w:p>
            <w:pPr>
              <w:ind w:left="820"/>
              <w:spacing w:after="0"/>
              <w:rPr>
                <w:sz w:val="20"/>
                <w:szCs w:val="20"/>
                <w:color w:val="auto"/>
              </w:rPr>
            </w:pPr>
            <w:r>
              <w:rPr>
                <w:rFonts w:ascii="Arial" w:cs="Arial" w:eastAsia="Arial" w:hAnsi="Arial"/>
                <w:sz w:val="18"/>
                <w:szCs w:val="18"/>
                <w:color w:val="auto"/>
              </w:rPr>
              <w:t>33</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7.2</w:t>
            </w:r>
          </w:p>
        </w:tc>
        <w:tc>
          <w:tcPr>
            <w:tcW w:w="5960" w:type="dxa"/>
            <w:vAlign w:val="bottom"/>
          </w:tcPr>
          <w:p>
            <w:pPr>
              <w:ind w:left="240"/>
              <w:spacing w:after="0"/>
              <w:rPr>
                <w:sz w:val="20"/>
                <w:szCs w:val="20"/>
                <w:color w:val="auto"/>
              </w:rPr>
            </w:pPr>
            <w:r>
              <w:rPr>
                <w:rFonts w:ascii="Arial" w:cs="Arial" w:eastAsia="Arial" w:hAnsi="Arial"/>
                <w:sz w:val="18"/>
                <w:szCs w:val="18"/>
                <w:color w:val="auto"/>
              </w:rPr>
              <w:t>Conditions to Obligations of the Seller</w:t>
            </w:r>
          </w:p>
        </w:tc>
        <w:tc>
          <w:tcPr>
            <w:tcW w:w="3400" w:type="dxa"/>
            <w:vAlign w:val="bottom"/>
          </w:tcPr>
          <w:p>
            <w:pPr>
              <w:ind w:left="820"/>
              <w:spacing w:after="0"/>
              <w:rPr>
                <w:sz w:val="20"/>
                <w:szCs w:val="20"/>
                <w:color w:val="auto"/>
              </w:rPr>
            </w:pPr>
            <w:r>
              <w:rPr>
                <w:rFonts w:ascii="Arial" w:cs="Arial" w:eastAsia="Arial" w:hAnsi="Arial"/>
                <w:sz w:val="18"/>
                <w:szCs w:val="18"/>
                <w:color w:val="auto"/>
              </w:rPr>
              <w:t>34</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8.</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CLOSING</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35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8.1</w:t>
            </w:r>
          </w:p>
        </w:tc>
        <w:tc>
          <w:tcPr>
            <w:tcW w:w="5960" w:type="dxa"/>
            <w:vAlign w:val="bottom"/>
          </w:tcPr>
          <w:p>
            <w:pPr>
              <w:ind w:left="240"/>
              <w:spacing w:after="0"/>
              <w:rPr>
                <w:sz w:val="20"/>
                <w:szCs w:val="20"/>
                <w:color w:val="auto"/>
              </w:rPr>
            </w:pPr>
            <w:r>
              <w:rPr>
                <w:rFonts w:ascii="Arial" w:cs="Arial" w:eastAsia="Arial" w:hAnsi="Arial"/>
                <w:sz w:val="18"/>
                <w:szCs w:val="18"/>
                <w:color w:val="auto"/>
              </w:rPr>
              <w:t>Closing</w:t>
            </w:r>
          </w:p>
        </w:tc>
        <w:tc>
          <w:tcPr>
            <w:tcW w:w="3400" w:type="dxa"/>
            <w:vAlign w:val="bottom"/>
          </w:tcPr>
          <w:p>
            <w:pPr>
              <w:ind w:left="820"/>
              <w:spacing w:after="0"/>
              <w:rPr>
                <w:sz w:val="20"/>
                <w:szCs w:val="20"/>
                <w:color w:val="auto"/>
              </w:rPr>
            </w:pPr>
            <w:r>
              <w:rPr>
                <w:rFonts w:ascii="Arial" w:cs="Arial" w:eastAsia="Arial" w:hAnsi="Arial"/>
                <w:sz w:val="18"/>
                <w:szCs w:val="18"/>
                <w:color w:val="auto"/>
              </w:rPr>
              <w:t>35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8.2</w:t>
            </w:r>
          </w:p>
        </w:tc>
        <w:tc>
          <w:tcPr>
            <w:tcW w:w="5960" w:type="dxa"/>
            <w:vAlign w:val="bottom"/>
          </w:tcPr>
          <w:p>
            <w:pPr>
              <w:ind w:left="240"/>
              <w:spacing w:after="0"/>
              <w:rPr>
                <w:sz w:val="20"/>
                <w:szCs w:val="20"/>
                <w:color w:val="auto"/>
              </w:rPr>
            </w:pPr>
            <w:r>
              <w:rPr>
                <w:rFonts w:ascii="Arial" w:cs="Arial" w:eastAsia="Arial" w:hAnsi="Arial"/>
                <w:sz w:val="18"/>
                <w:szCs w:val="18"/>
                <w:color w:val="auto"/>
              </w:rPr>
              <w:t>Seller Closing Deliveries</w:t>
            </w:r>
          </w:p>
        </w:tc>
        <w:tc>
          <w:tcPr>
            <w:tcW w:w="3400" w:type="dxa"/>
            <w:vAlign w:val="bottom"/>
          </w:tcPr>
          <w:p>
            <w:pPr>
              <w:ind w:left="820"/>
              <w:spacing w:after="0"/>
              <w:rPr>
                <w:sz w:val="20"/>
                <w:szCs w:val="20"/>
                <w:color w:val="auto"/>
              </w:rPr>
            </w:pPr>
            <w:r>
              <w:rPr>
                <w:rFonts w:ascii="Arial" w:cs="Arial" w:eastAsia="Arial" w:hAnsi="Arial"/>
                <w:sz w:val="18"/>
                <w:szCs w:val="18"/>
                <w:color w:val="auto"/>
              </w:rPr>
              <w:t>35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8.3</w:t>
            </w:r>
          </w:p>
        </w:tc>
        <w:tc>
          <w:tcPr>
            <w:tcW w:w="5960" w:type="dxa"/>
            <w:vAlign w:val="bottom"/>
          </w:tcPr>
          <w:p>
            <w:pPr>
              <w:ind w:left="240"/>
              <w:spacing w:after="0"/>
              <w:rPr>
                <w:sz w:val="20"/>
                <w:szCs w:val="20"/>
                <w:color w:val="auto"/>
              </w:rPr>
            </w:pPr>
            <w:r>
              <w:rPr>
                <w:rFonts w:ascii="Arial" w:cs="Arial" w:eastAsia="Arial" w:hAnsi="Arial"/>
                <w:sz w:val="18"/>
                <w:szCs w:val="18"/>
                <w:color w:val="auto"/>
              </w:rPr>
              <w:t>Purchaser Closing Deliveries and Payments</w:t>
            </w:r>
          </w:p>
        </w:tc>
        <w:tc>
          <w:tcPr>
            <w:tcW w:w="3400" w:type="dxa"/>
            <w:vAlign w:val="bottom"/>
          </w:tcPr>
          <w:p>
            <w:pPr>
              <w:ind w:left="820"/>
              <w:spacing w:after="0"/>
              <w:rPr>
                <w:sz w:val="20"/>
                <w:szCs w:val="20"/>
                <w:color w:val="auto"/>
              </w:rPr>
            </w:pPr>
            <w:r>
              <w:rPr>
                <w:rFonts w:ascii="Arial" w:cs="Arial" w:eastAsia="Arial" w:hAnsi="Arial"/>
                <w:sz w:val="18"/>
                <w:szCs w:val="18"/>
                <w:color w:val="auto"/>
              </w:rPr>
              <w:t>35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8.4</w:t>
            </w:r>
          </w:p>
        </w:tc>
        <w:tc>
          <w:tcPr>
            <w:tcW w:w="5960" w:type="dxa"/>
            <w:vAlign w:val="bottom"/>
          </w:tcPr>
          <w:p>
            <w:pPr>
              <w:ind w:left="240"/>
              <w:spacing w:after="0"/>
              <w:rPr>
                <w:sz w:val="20"/>
                <w:szCs w:val="20"/>
                <w:color w:val="auto"/>
              </w:rPr>
            </w:pPr>
            <w:r>
              <w:rPr>
                <w:rFonts w:ascii="Arial" w:cs="Arial" w:eastAsia="Arial" w:hAnsi="Arial"/>
                <w:sz w:val="18"/>
                <w:szCs w:val="18"/>
                <w:color w:val="auto"/>
              </w:rPr>
              <w:t>Closing Protocol and registrations</w:t>
            </w:r>
          </w:p>
        </w:tc>
        <w:tc>
          <w:tcPr>
            <w:tcW w:w="3400" w:type="dxa"/>
            <w:vAlign w:val="bottom"/>
          </w:tcPr>
          <w:p>
            <w:pPr>
              <w:ind w:left="820"/>
              <w:spacing w:after="0"/>
              <w:rPr>
                <w:sz w:val="20"/>
                <w:szCs w:val="20"/>
                <w:color w:val="auto"/>
              </w:rPr>
            </w:pPr>
            <w:r>
              <w:rPr>
                <w:rFonts w:ascii="Arial" w:cs="Arial" w:eastAsia="Arial" w:hAnsi="Arial"/>
                <w:sz w:val="18"/>
                <w:szCs w:val="18"/>
                <w:color w:val="auto"/>
              </w:rPr>
              <w:t>36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8.5</w:t>
            </w:r>
          </w:p>
        </w:tc>
        <w:tc>
          <w:tcPr>
            <w:tcW w:w="5960" w:type="dxa"/>
            <w:vAlign w:val="bottom"/>
          </w:tcPr>
          <w:p>
            <w:pPr>
              <w:ind w:left="240"/>
              <w:spacing w:after="0"/>
              <w:rPr>
                <w:sz w:val="20"/>
                <w:szCs w:val="20"/>
                <w:color w:val="auto"/>
              </w:rPr>
            </w:pPr>
            <w:r>
              <w:rPr>
                <w:rFonts w:ascii="Arial" w:cs="Arial" w:eastAsia="Arial" w:hAnsi="Arial"/>
                <w:sz w:val="18"/>
                <w:szCs w:val="18"/>
                <w:color w:val="auto"/>
              </w:rPr>
              <w:t>Waiver of Closing Events</w:t>
            </w:r>
          </w:p>
        </w:tc>
        <w:tc>
          <w:tcPr>
            <w:tcW w:w="3400" w:type="dxa"/>
            <w:vAlign w:val="bottom"/>
          </w:tcPr>
          <w:p>
            <w:pPr>
              <w:ind w:left="820"/>
              <w:spacing w:after="0"/>
              <w:rPr>
                <w:sz w:val="20"/>
                <w:szCs w:val="20"/>
                <w:color w:val="auto"/>
              </w:rPr>
            </w:pPr>
            <w:r>
              <w:rPr>
                <w:rFonts w:ascii="Arial" w:cs="Arial" w:eastAsia="Arial" w:hAnsi="Arial"/>
                <w:sz w:val="18"/>
                <w:szCs w:val="18"/>
                <w:color w:val="auto"/>
              </w:rPr>
              <w:t>36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8.6</w:t>
            </w:r>
          </w:p>
        </w:tc>
        <w:tc>
          <w:tcPr>
            <w:tcW w:w="596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3400" w:type="dxa"/>
            <w:vAlign w:val="bottom"/>
          </w:tcPr>
          <w:p>
            <w:pPr>
              <w:ind w:left="820"/>
              <w:spacing w:after="0"/>
              <w:rPr>
                <w:sz w:val="20"/>
                <w:szCs w:val="20"/>
                <w:color w:val="auto"/>
              </w:rPr>
            </w:pPr>
            <w:r>
              <w:rPr>
                <w:rFonts w:ascii="Arial" w:cs="Arial" w:eastAsia="Arial" w:hAnsi="Arial"/>
                <w:sz w:val="18"/>
                <w:szCs w:val="18"/>
                <w:color w:val="auto"/>
              </w:rPr>
              <w:t>36</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8.7</w:t>
            </w:r>
          </w:p>
        </w:tc>
        <w:tc>
          <w:tcPr>
            <w:tcW w:w="5960" w:type="dxa"/>
            <w:vAlign w:val="bottom"/>
          </w:tcPr>
          <w:p>
            <w:pPr>
              <w:ind w:left="240"/>
              <w:spacing w:after="0"/>
              <w:rPr>
                <w:sz w:val="20"/>
                <w:szCs w:val="20"/>
                <w:color w:val="auto"/>
              </w:rPr>
            </w:pPr>
            <w:r>
              <w:rPr>
                <w:rFonts w:ascii="Arial" w:cs="Arial" w:eastAsia="Arial" w:hAnsi="Arial"/>
                <w:sz w:val="18"/>
                <w:szCs w:val="18"/>
                <w:color w:val="auto"/>
              </w:rPr>
              <w:t>Effect of Termination</w:t>
            </w:r>
          </w:p>
        </w:tc>
        <w:tc>
          <w:tcPr>
            <w:tcW w:w="3400" w:type="dxa"/>
            <w:vAlign w:val="bottom"/>
          </w:tcPr>
          <w:p>
            <w:pPr>
              <w:ind w:left="820"/>
              <w:spacing w:after="0"/>
              <w:rPr>
                <w:sz w:val="20"/>
                <w:szCs w:val="20"/>
                <w:color w:val="auto"/>
              </w:rPr>
            </w:pPr>
            <w:r>
              <w:rPr>
                <w:rFonts w:ascii="Arial" w:cs="Arial" w:eastAsia="Arial" w:hAnsi="Arial"/>
                <w:sz w:val="18"/>
                <w:szCs w:val="18"/>
                <w:color w:val="auto"/>
              </w:rPr>
              <w:t>37</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9.</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TAX MATTERS</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37</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INDEMNIFICATION</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40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960" w:type="dxa"/>
            <w:vAlign w:val="bottom"/>
          </w:tcPr>
          <w:p>
            <w:pPr>
              <w:ind w:left="240"/>
              <w:spacing w:after="0"/>
              <w:rPr>
                <w:sz w:val="20"/>
                <w:szCs w:val="20"/>
                <w:color w:val="auto"/>
              </w:rPr>
            </w:pPr>
            <w:r>
              <w:rPr>
                <w:rFonts w:ascii="Arial" w:cs="Arial" w:eastAsia="Arial" w:hAnsi="Arial"/>
                <w:sz w:val="18"/>
                <w:szCs w:val="18"/>
                <w:color w:val="auto"/>
              </w:rPr>
              <w:t>Indemnification Obligations of the Seller</w:t>
            </w:r>
          </w:p>
        </w:tc>
        <w:tc>
          <w:tcPr>
            <w:tcW w:w="3400" w:type="dxa"/>
            <w:vAlign w:val="bottom"/>
          </w:tcPr>
          <w:p>
            <w:pPr>
              <w:ind w:left="820"/>
              <w:spacing w:after="0"/>
              <w:rPr>
                <w:sz w:val="20"/>
                <w:szCs w:val="20"/>
                <w:color w:val="auto"/>
              </w:rPr>
            </w:pPr>
            <w:r>
              <w:rPr>
                <w:rFonts w:ascii="Arial" w:cs="Arial" w:eastAsia="Arial" w:hAnsi="Arial"/>
                <w:sz w:val="18"/>
                <w:szCs w:val="18"/>
                <w:color w:val="auto"/>
              </w:rPr>
              <w:t>40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960" w:type="dxa"/>
            <w:vAlign w:val="bottom"/>
          </w:tcPr>
          <w:p>
            <w:pPr>
              <w:ind w:left="240"/>
              <w:spacing w:after="0"/>
              <w:rPr>
                <w:sz w:val="20"/>
                <w:szCs w:val="20"/>
                <w:color w:val="auto"/>
              </w:rPr>
            </w:pPr>
            <w:r>
              <w:rPr>
                <w:rFonts w:ascii="Arial" w:cs="Arial" w:eastAsia="Arial" w:hAnsi="Arial"/>
                <w:sz w:val="18"/>
                <w:szCs w:val="18"/>
                <w:color w:val="auto"/>
              </w:rPr>
              <w:t>Indemnification Obligations of the Purchaser; Tax Refunds</w:t>
            </w:r>
          </w:p>
        </w:tc>
        <w:tc>
          <w:tcPr>
            <w:tcW w:w="3400" w:type="dxa"/>
            <w:vAlign w:val="bottom"/>
          </w:tcPr>
          <w:p>
            <w:pPr>
              <w:ind w:left="820"/>
              <w:spacing w:after="0"/>
              <w:rPr>
                <w:sz w:val="20"/>
                <w:szCs w:val="20"/>
                <w:color w:val="auto"/>
              </w:rPr>
            </w:pPr>
            <w:r>
              <w:rPr>
                <w:rFonts w:ascii="Arial" w:cs="Arial" w:eastAsia="Arial" w:hAnsi="Arial"/>
                <w:sz w:val="18"/>
                <w:szCs w:val="18"/>
                <w:color w:val="auto"/>
              </w:rPr>
              <w:t>41</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960" w:type="dxa"/>
            <w:vAlign w:val="bottom"/>
          </w:tcPr>
          <w:p>
            <w:pPr>
              <w:ind w:left="240"/>
              <w:spacing w:after="0"/>
              <w:rPr>
                <w:sz w:val="20"/>
                <w:szCs w:val="20"/>
                <w:color w:val="auto"/>
              </w:rPr>
            </w:pPr>
            <w:r>
              <w:rPr>
                <w:rFonts w:ascii="Arial" w:cs="Arial" w:eastAsia="Arial" w:hAnsi="Arial"/>
                <w:sz w:val="18"/>
                <w:szCs w:val="18"/>
                <w:color w:val="auto"/>
              </w:rPr>
              <w:t>Indemnification Procedure</w:t>
            </w:r>
          </w:p>
        </w:tc>
        <w:tc>
          <w:tcPr>
            <w:tcW w:w="3400" w:type="dxa"/>
            <w:vAlign w:val="bottom"/>
          </w:tcPr>
          <w:p>
            <w:pPr>
              <w:ind w:left="820"/>
              <w:spacing w:after="0"/>
              <w:rPr>
                <w:sz w:val="20"/>
                <w:szCs w:val="20"/>
                <w:color w:val="auto"/>
              </w:rPr>
            </w:pPr>
            <w:r>
              <w:rPr>
                <w:rFonts w:ascii="Arial" w:cs="Arial" w:eastAsia="Arial" w:hAnsi="Arial"/>
                <w:sz w:val="18"/>
                <w:szCs w:val="18"/>
                <w:color w:val="auto"/>
              </w:rPr>
              <w:t>41</w:t>
            </w:r>
          </w:p>
        </w:tc>
      </w:t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LIMITS ON LIABILITY</w:t>
            </w:r>
          </w:p>
        </w:tc>
        <w:tc>
          <w:tcPr>
            <w:tcW w:w="3400" w:type="dxa"/>
            <w:vAlign w:val="bottom"/>
          </w:tcPr>
          <w:p>
            <w:pPr>
              <w:ind w:left="820"/>
              <w:spacing w:after="0"/>
              <w:rPr>
                <w:sz w:val="20"/>
                <w:szCs w:val="20"/>
                <w:color w:val="auto"/>
              </w:rPr>
            </w:pPr>
            <w:r>
              <w:rPr>
                <w:rFonts w:ascii="Arial" w:cs="Arial" w:eastAsia="Arial" w:hAnsi="Arial"/>
                <w:sz w:val="18"/>
                <w:szCs w:val="18"/>
                <w:b w:val="1"/>
                <w:bCs w:val="1"/>
                <w:color w:val="auto"/>
              </w:rPr>
              <w:t>44</w:t>
            </w:r>
          </w:p>
        </w:tc>
      </w:tr>
      <w:tr>
        <w:trPr>
          <w:trHeight w:val="1425"/>
        </w:trPr>
        <w:tc>
          <w:tcPr>
            <w:tcW w:w="5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77" w:name="page478"/>
    <w:bookmarkEnd w:id="4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11.1</w:t>
            </w:r>
          </w:p>
        </w:tc>
        <w:tc>
          <w:tcPr>
            <w:tcW w:w="4980" w:type="dxa"/>
            <w:vAlign w:val="bottom"/>
          </w:tcPr>
          <w:p>
            <w:pPr>
              <w:ind w:left="220"/>
              <w:spacing w:after="0"/>
              <w:rPr>
                <w:sz w:val="20"/>
                <w:szCs w:val="20"/>
                <w:color w:val="auto"/>
              </w:rPr>
            </w:pPr>
            <w:r>
              <w:rPr>
                <w:rFonts w:ascii="Arial" w:cs="Arial" w:eastAsia="Arial" w:hAnsi="Arial"/>
                <w:sz w:val="18"/>
                <w:szCs w:val="18"/>
                <w:color w:val="auto"/>
              </w:rPr>
              <w:t>Limitation Periods</w:t>
            </w: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11.2</w:t>
            </w:r>
          </w:p>
        </w:tc>
        <w:tc>
          <w:tcPr>
            <w:tcW w:w="4980" w:type="dxa"/>
            <w:vAlign w:val="bottom"/>
          </w:tcPr>
          <w:p>
            <w:pPr>
              <w:ind w:left="220"/>
              <w:spacing w:after="0"/>
              <w:rPr>
                <w:sz w:val="20"/>
                <w:szCs w:val="20"/>
                <w:color w:val="auto"/>
              </w:rPr>
            </w:pPr>
            <w:r>
              <w:rPr>
                <w:rFonts w:ascii="Arial" w:cs="Arial" w:eastAsia="Arial" w:hAnsi="Arial"/>
                <w:sz w:val="18"/>
                <w:szCs w:val="18"/>
                <w:color w:val="auto"/>
              </w:rPr>
              <w:t>Liability Limits</w:t>
            </w: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11.3</w:t>
            </w:r>
          </w:p>
        </w:tc>
        <w:tc>
          <w:tcPr>
            <w:tcW w:w="4980" w:type="dxa"/>
            <w:vAlign w:val="bottom"/>
          </w:tcPr>
          <w:p>
            <w:pPr>
              <w:ind w:left="220"/>
              <w:spacing w:after="0"/>
              <w:rPr>
                <w:sz w:val="20"/>
                <w:szCs w:val="20"/>
                <w:color w:val="auto"/>
              </w:rPr>
            </w:pPr>
            <w:r>
              <w:rPr>
                <w:rFonts w:ascii="Arial" w:cs="Arial" w:eastAsia="Arial" w:hAnsi="Arial"/>
                <w:sz w:val="18"/>
                <w:szCs w:val="18"/>
                <w:color w:val="auto"/>
              </w:rPr>
              <w:t>Investigations</w:t>
            </w: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11.4</w:t>
            </w:r>
          </w:p>
        </w:tc>
        <w:tc>
          <w:tcPr>
            <w:tcW w:w="4980" w:type="dxa"/>
            <w:vAlign w:val="bottom"/>
          </w:tcPr>
          <w:p>
            <w:pPr>
              <w:ind w:left="220"/>
              <w:spacing w:after="0"/>
              <w:rPr>
                <w:sz w:val="20"/>
                <w:szCs w:val="20"/>
                <w:color w:val="auto"/>
              </w:rPr>
            </w:pPr>
            <w:r>
              <w:rPr>
                <w:rFonts w:ascii="Arial" w:cs="Arial" w:eastAsia="Arial" w:hAnsi="Arial"/>
                <w:sz w:val="18"/>
                <w:szCs w:val="18"/>
                <w:color w:val="auto"/>
              </w:rPr>
              <w:t>Exclusion of further Remedies</w:t>
            </w: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2"/>
        </w:trPr>
        <w:tc>
          <w:tcPr>
            <w:tcW w:w="620" w:type="dxa"/>
            <w:vAlign w:val="bottom"/>
          </w:tcPr>
          <w:p>
            <w:pPr>
              <w:spacing w:after="0"/>
              <w:rPr>
                <w:sz w:val="20"/>
                <w:szCs w:val="20"/>
                <w:color w:val="auto"/>
              </w:rPr>
            </w:pPr>
            <w:r>
              <w:rPr>
                <w:rFonts w:ascii="Arial" w:cs="Arial" w:eastAsia="Arial" w:hAnsi="Arial"/>
                <w:sz w:val="18"/>
                <w:szCs w:val="18"/>
                <w:color w:val="auto"/>
              </w:rPr>
              <w:t>11.5</w:t>
            </w:r>
          </w:p>
        </w:tc>
        <w:tc>
          <w:tcPr>
            <w:tcW w:w="4980" w:type="dxa"/>
            <w:vAlign w:val="bottom"/>
          </w:tcPr>
          <w:p>
            <w:pPr>
              <w:ind w:left="220"/>
              <w:spacing w:after="0"/>
              <w:rPr>
                <w:sz w:val="20"/>
                <w:szCs w:val="20"/>
                <w:color w:val="auto"/>
              </w:rPr>
            </w:pPr>
            <w:r>
              <w:rPr>
                <w:rFonts w:ascii="Arial" w:cs="Arial" w:eastAsia="Arial" w:hAnsi="Arial"/>
                <w:sz w:val="18"/>
                <w:szCs w:val="18"/>
                <w:color w:val="auto"/>
              </w:rPr>
              <w:t>No Limitation for Intentional Breach</w:t>
            </w: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NON-COMPETITION AGREEMENT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APPROVAL DECISIONS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MISCELLANEOUS PROVISIONS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14.1</w:t>
            </w:r>
          </w:p>
        </w:tc>
        <w:tc>
          <w:tcPr>
            <w:tcW w:w="4980" w:type="dxa"/>
            <w:vAlign w:val="bottom"/>
          </w:tcPr>
          <w:p>
            <w:pPr>
              <w:ind w:left="220"/>
              <w:spacing w:after="0"/>
              <w:rPr>
                <w:sz w:val="20"/>
                <w:szCs w:val="20"/>
                <w:color w:val="auto"/>
              </w:rPr>
            </w:pPr>
            <w:r>
              <w:rPr>
                <w:rFonts w:ascii="Arial" w:cs="Arial" w:eastAsia="Arial" w:hAnsi="Arial"/>
                <w:sz w:val="18"/>
                <w:szCs w:val="18"/>
                <w:color w:val="auto"/>
              </w:rPr>
              <w:t>Shareholder Guarantee</w:t>
            </w: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14.2</w:t>
            </w:r>
          </w:p>
        </w:tc>
        <w:tc>
          <w:tcPr>
            <w:tcW w:w="498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14.3</w:t>
            </w:r>
          </w:p>
        </w:tc>
        <w:tc>
          <w:tcPr>
            <w:tcW w:w="49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14.4</w:t>
            </w:r>
          </w:p>
        </w:tc>
        <w:tc>
          <w:tcPr>
            <w:tcW w:w="4980" w:type="dxa"/>
            <w:vAlign w:val="bottom"/>
          </w:tcPr>
          <w:p>
            <w:pPr>
              <w:ind w:left="220"/>
              <w:spacing w:after="0"/>
              <w:rPr>
                <w:sz w:val="20"/>
                <w:szCs w:val="20"/>
                <w:color w:val="auto"/>
              </w:rPr>
            </w:pPr>
            <w:r>
              <w:rPr>
                <w:rFonts w:ascii="Arial" w:cs="Arial" w:eastAsia="Arial" w:hAnsi="Arial"/>
                <w:sz w:val="18"/>
                <w:szCs w:val="18"/>
                <w:color w:val="auto"/>
              </w:rPr>
              <w:t>Schedules and Appendices</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14.5</w:t>
            </w:r>
          </w:p>
        </w:tc>
        <w:tc>
          <w:tcPr>
            <w:tcW w:w="4980" w:type="dxa"/>
            <w:vAlign w:val="bottom"/>
          </w:tcPr>
          <w:p>
            <w:pPr>
              <w:ind w:left="220"/>
              <w:spacing w:after="0"/>
              <w:rPr>
                <w:sz w:val="20"/>
                <w:szCs w:val="20"/>
                <w:color w:val="auto"/>
              </w:rPr>
            </w:pPr>
            <w:r>
              <w:rPr>
                <w:rFonts w:ascii="Arial" w:cs="Arial" w:eastAsia="Arial" w:hAnsi="Arial"/>
                <w:sz w:val="18"/>
                <w:szCs w:val="18"/>
                <w:color w:val="auto"/>
              </w:rPr>
              <w:t>Assignment; Successors in Interest</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14.6</w:t>
            </w:r>
          </w:p>
        </w:tc>
        <w:tc>
          <w:tcPr>
            <w:tcW w:w="4980" w:type="dxa"/>
            <w:vAlign w:val="bottom"/>
          </w:tcPr>
          <w:p>
            <w:pPr>
              <w:ind w:left="220"/>
              <w:spacing w:after="0"/>
              <w:rPr>
                <w:sz w:val="20"/>
                <w:szCs w:val="20"/>
                <w:color w:val="auto"/>
              </w:rPr>
            </w:pPr>
            <w:r>
              <w:rPr>
                <w:rFonts w:ascii="Arial" w:cs="Arial" w:eastAsia="Arial" w:hAnsi="Arial"/>
                <w:sz w:val="18"/>
                <w:szCs w:val="18"/>
                <w:color w:val="auto"/>
              </w:rPr>
              <w:t>Captions</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14.7</w:t>
            </w:r>
          </w:p>
        </w:tc>
        <w:tc>
          <w:tcPr>
            <w:tcW w:w="49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14.8</w:t>
            </w:r>
          </w:p>
        </w:tc>
        <w:tc>
          <w:tcPr>
            <w:tcW w:w="4980" w:type="dxa"/>
            <w:vAlign w:val="bottom"/>
          </w:tcPr>
          <w:p>
            <w:pPr>
              <w:ind w:left="220"/>
              <w:spacing w:after="0"/>
              <w:rPr>
                <w:sz w:val="20"/>
                <w:szCs w:val="20"/>
                <w:color w:val="auto"/>
              </w:rPr>
            </w:pPr>
            <w:r>
              <w:rPr>
                <w:rFonts w:ascii="Arial" w:cs="Arial" w:eastAsia="Arial" w:hAnsi="Arial"/>
                <w:sz w:val="18"/>
                <w:szCs w:val="18"/>
                <w:color w:val="auto"/>
              </w:rPr>
              <w:t>Dispute Resolution</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14.9</w:t>
            </w:r>
          </w:p>
        </w:tc>
        <w:tc>
          <w:tcPr>
            <w:tcW w:w="4980" w:type="dxa"/>
            <w:vAlign w:val="bottom"/>
          </w:tcPr>
          <w:p>
            <w:pPr>
              <w:ind w:left="220"/>
              <w:spacing w:after="0"/>
              <w:rPr>
                <w:sz w:val="20"/>
                <w:szCs w:val="20"/>
                <w:color w:val="auto"/>
              </w:rPr>
            </w:pPr>
            <w:r>
              <w:rPr>
                <w:rFonts w:ascii="Arial" w:cs="Arial" w:eastAsia="Arial" w:hAnsi="Arial"/>
                <w:sz w:val="18"/>
                <w:szCs w:val="18"/>
                <w:color w:val="auto"/>
              </w:rPr>
              <w:t>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14.10</w:t>
            </w:r>
          </w:p>
        </w:tc>
        <w:tc>
          <w:tcPr>
            <w:tcW w:w="49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14.11</w:t>
            </w:r>
          </w:p>
        </w:tc>
        <w:tc>
          <w:tcPr>
            <w:tcW w:w="4980" w:type="dxa"/>
            <w:vAlign w:val="bottom"/>
          </w:tcPr>
          <w:p>
            <w:pPr>
              <w:ind w:left="220"/>
              <w:spacing w:after="0"/>
              <w:rPr>
                <w:sz w:val="20"/>
                <w:szCs w:val="20"/>
                <w:color w:val="auto"/>
              </w:rPr>
            </w:pPr>
            <w:r>
              <w:rPr>
                <w:rFonts w:ascii="Arial" w:cs="Arial" w:eastAsia="Arial" w:hAnsi="Arial"/>
                <w:sz w:val="18"/>
                <w:szCs w:val="18"/>
                <w:color w:val="auto"/>
              </w:rPr>
              <w:t>Cooperation Following the Closing</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14.12</w:t>
            </w:r>
          </w:p>
        </w:tc>
        <w:tc>
          <w:tcPr>
            <w:tcW w:w="4980" w:type="dxa"/>
            <w:vAlign w:val="bottom"/>
          </w:tcPr>
          <w:p>
            <w:pPr>
              <w:ind w:left="220"/>
              <w:spacing w:after="0"/>
              <w:rPr>
                <w:sz w:val="20"/>
                <w:szCs w:val="20"/>
                <w:color w:val="auto"/>
              </w:rPr>
            </w:pPr>
            <w:r>
              <w:rPr>
                <w:rFonts w:ascii="Arial" w:cs="Arial" w:eastAsia="Arial" w:hAnsi="Arial"/>
                <w:sz w:val="18"/>
                <w:szCs w:val="18"/>
                <w:color w:val="auto"/>
              </w:rPr>
              <w:t>Transaction Costs</w:t>
            </w:r>
          </w:p>
        </w:tc>
        <w:tc>
          <w:tcPr>
            <w:tcW w:w="1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14.13</w:t>
            </w:r>
          </w:p>
        </w:tc>
        <w:tc>
          <w:tcPr>
            <w:tcW w:w="4980" w:type="dxa"/>
            <w:vAlign w:val="bottom"/>
          </w:tcPr>
          <w:p>
            <w:pPr>
              <w:ind w:left="220"/>
              <w:spacing w:after="0"/>
              <w:rPr>
                <w:sz w:val="20"/>
                <w:szCs w:val="20"/>
                <w:color w:val="auto"/>
              </w:rPr>
            </w:pPr>
            <w:r>
              <w:rPr>
                <w:rFonts w:ascii="Arial" w:cs="Arial" w:eastAsia="Arial" w:hAnsi="Arial"/>
                <w:sz w:val="18"/>
                <w:szCs w:val="18"/>
                <w:color w:val="auto"/>
              </w:rPr>
              <w:t>Language</w:t>
            </w:r>
          </w:p>
        </w:tc>
        <w:tc>
          <w:tcPr>
            <w:tcW w:w="1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14.14</w:t>
            </w:r>
          </w:p>
        </w:tc>
        <w:tc>
          <w:tcPr>
            <w:tcW w:w="4980" w:type="dxa"/>
            <w:vAlign w:val="bottom"/>
          </w:tcPr>
          <w:p>
            <w:pPr>
              <w:ind w:left="220"/>
              <w:spacing w:after="0"/>
              <w:rPr>
                <w:sz w:val="20"/>
                <w:szCs w:val="20"/>
                <w:color w:val="auto"/>
              </w:rPr>
            </w:pPr>
            <w:r>
              <w:rPr>
                <w:rFonts w:ascii="Arial" w:cs="Arial" w:eastAsia="Arial" w:hAnsi="Arial"/>
                <w:sz w:val="18"/>
                <w:szCs w:val="18"/>
                <w:color w:val="auto"/>
              </w:rPr>
              <w:t>Data Room</w:t>
            </w:r>
          </w:p>
        </w:tc>
        <w:tc>
          <w:tcPr>
            <w:tcW w:w="19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24" w:right="1440" w:bottom="1440" w:gutter="0" w:footer="0" w:header="0"/>
        </w:sectPr>
      </w:pPr>
    </w:p>
    <w:bookmarkStart w:id="478" w:name="page479"/>
    <w:bookmarkEnd w:id="478"/>
    <w:p>
      <w:pPr>
        <w:jc w:val="center"/>
        <w:ind w:right="-19"/>
        <w:spacing w:after="0"/>
        <w:rPr>
          <w:sz w:val="20"/>
          <w:szCs w:val="20"/>
          <w:color w:val="auto"/>
        </w:rPr>
      </w:pPr>
      <w:r>
        <w:rPr>
          <w:rFonts w:ascii="Arial" w:cs="Arial" w:eastAsia="Arial" w:hAnsi="Arial"/>
          <w:sz w:val="19"/>
          <w:szCs w:val="19"/>
          <w:b w:val="1"/>
          <w:bCs w:val="1"/>
          <w:color w:val="auto"/>
        </w:rPr>
        <w:t>LIST OF APPENDICES*</w:t>
      </w:r>
    </w:p>
    <w:p>
      <w:pPr>
        <w:sectPr>
          <w:pgSz w:w="11900" w:h="16838" w:orient="portrait"/>
          <w:cols w:equalWidth="0" w:num="1">
            <w:col w:w="9920"/>
          </w:cols>
          <w:pgMar w:left="980" w:top="872" w:right="999" w:bottom="1440" w:gutter="0" w:footer="0" w:header="0"/>
        </w:sectPr>
      </w:pPr>
    </w:p>
    <w:p>
      <w:pPr>
        <w:spacing w:after="0" w:line="245" w:lineRule="exact"/>
        <w:rPr>
          <w:sz w:val="20"/>
          <w:szCs w:val="20"/>
          <w:color w:val="auto"/>
        </w:rPr>
      </w:pPr>
    </w:p>
    <w:p>
      <w:pPr>
        <w:ind w:left="20"/>
        <w:spacing w:after="0" w:line="289" w:lineRule="auto"/>
        <w:rPr>
          <w:sz w:val="20"/>
          <w:szCs w:val="20"/>
          <w:color w:val="auto"/>
        </w:rPr>
      </w:pPr>
      <w:r>
        <w:rPr>
          <w:rFonts w:ascii="Arial" w:cs="Arial" w:eastAsia="Arial" w:hAnsi="Arial"/>
          <w:sz w:val="16"/>
          <w:szCs w:val="16"/>
          <w:b w:val="1"/>
          <w:bCs w:val="1"/>
          <w:color w:val="auto"/>
        </w:rPr>
        <w:t>Appendix 1.1(a) Appendix 1.1(b) Appendix 1.1(c) Appendix 1.1(d) Appendix 3.3 Appendix 3.11 Appendix 12 Appendix 13.1.1 Appendix 13.1.2</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Closing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Persons with 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Employment Agreements of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of the R&amp;W Insurance Policy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Payments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Lockman Repayment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 and Shareholder Non-Competition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Shareholder Resolution of the Seller approving the sale and assignment of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 Resolution of the Company approving the sale and assignment of the Shares</w:t>
      </w:r>
    </w:p>
    <w:p>
      <w:pPr>
        <w:spacing w:after="0" w:line="229" w:lineRule="exact"/>
        <w:rPr>
          <w:sz w:val="20"/>
          <w:szCs w:val="20"/>
          <w:color w:val="auto"/>
        </w:rPr>
      </w:pPr>
    </w:p>
    <w:p>
      <w:pPr>
        <w:sectPr>
          <w:pgSz w:w="11900" w:h="16838" w:orient="portrait"/>
          <w:cols w:equalWidth="0" w:num="2">
            <w:col w:w="1280" w:space="600"/>
            <w:col w:w="8040"/>
          </w:cols>
          <w:pgMar w:left="980" w:top="872" w:right="999" w:bottom="1440" w:gutter="0" w:footer="0" w:header="0"/>
          <w:type w:val="continuous"/>
        </w:sectPr>
      </w:pPr>
    </w:p>
    <w:p>
      <w:pPr>
        <w:jc w:val="both"/>
        <w:spacing w:after="0" w:line="266" w:lineRule="auto"/>
        <w:rPr>
          <w:sz w:val="20"/>
          <w:szCs w:val="20"/>
          <w:color w:val="auto"/>
        </w:rPr>
      </w:pPr>
      <w:r>
        <w:rPr>
          <w:rFonts w:ascii="Arial" w:cs="Arial" w:eastAsia="Arial" w:hAnsi="Arial"/>
          <w:sz w:val="18"/>
          <w:szCs w:val="18"/>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type w:val="continuous"/>
        </w:sectPr>
      </w:pPr>
    </w:p>
    <w:bookmarkStart w:id="479" w:name="page480"/>
    <w:bookmarkEnd w:id="479"/>
    <w:p>
      <w:pPr>
        <w:spacing w:after="0" w:line="282" w:lineRule="auto"/>
        <w:rPr>
          <w:sz w:val="20"/>
          <w:szCs w:val="20"/>
          <w:color w:val="auto"/>
        </w:rPr>
      </w:pPr>
      <w:r>
        <w:rPr>
          <w:rFonts w:ascii="Arial" w:cs="Arial" w:eastAsia="Arial" w:hAnsi="Arial"/>
          <w:sz w:val="18"/>
          <w:szCs w:val="18"/>
          <w:b w:val="1"/>
          <w:bCs w:val="1"/>
          <w:color w:val="auto"/>
        </w:rPr>
        <w:t>Pursuant to Item 601(a)(6) of Regulation S-K, certain personally identifiable information contained in this document, marked by brackets as [***], has been omitted.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PURCHASE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337" w:lineRule="exact"/>
        <w:rPr>
          <w:sz w:val="20"/>
          <w:szCs w:val="20"/>
          <w:color w:val="auto"/>
        </w:rPr>
      </w:pPr>
    </w:p>
    <w:p>
      <w:pPr>
        <w:ind w:left="660" w:hanging="328"/>
        <w:spacing w:after="0" w:line="267" w:lineRule="auto"/>
        <w:tabs>
          <w:tab w:leader="none" w:pos="660" w:val="left"/>
        </w:tabs>
        <w:numPr>
          <w:ilvl w:val="0"/>
          <w:numId w:val="504"/>
        </w:numPr>
        <w:rPr>
          <w:rFonts w:ascii="Arial" w:cs="Arial" w:eastAsia="Arial" w:hAnsi="Arial"/>
          <w:sz w:val="20"/>
          <w:szCs w:val="20"/>
          <w:color w:val="auto"/>
        </w:rPr>
      </w:pPr>
      <w:r>
        <w:rPr>
          <w:rFonts w:ascii="Arial" w:cs="Arial" w:eastAsia="Arial" w:hAnsi="Arial"/>
          <w:sz w:val="20"/>
          <w:szCs w:val="20"/>
          <w:b w:val="1"/>
          <w:bCs w:val="1"/>
          <w:color w:val="auto"/>
        </w:rPr>
        <w:t xml:space="preserve">AEROVIRONMENT, INC., </w:t>
      </w:r>
      <w:r>
        <w:rPr>
          <w:rFonts w:ascii="Arial" w:cs="Arial" w:eastAsia="Arial" w:hAnsi="Arial"/>
          <w:sz w:val="20"/>
          <w:szCs w:val="20"/>
          <w:color w:val="auto"/>
        </w:rPr>
        <w:t>a corporation incorporated under the laws of the State of Delaware, USA, with</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offices at 900 Innovators, Simi Valley, CA 93065, USA (the “</w:t>
      </w:r>
      <w:r>
        <w:rPr>
          <w:rFonts w:ascii="Arial" w:cs="Arial" w:eastAsia="Arial" w:hAnsi="Arial"/>
          <w:sz w:val="20"/>
          <w:szCs w:val="20"/>
          <w:b w:val="1"/>
          <w:bCs w:val="1"/>
          <w:color w:val="auto"/>
        </w:rPr>
        <w:t>Purchaser</w:t>
      </w:r>
      <w:r>
        <w:rPr>
          <w:rFonts w:ascii="Arial" w:cs="Arial" w:eastAsia="Arial" w:hAnsi="Arial"/>
          <w:sz w:val="20"/>
          <w:szCs w:val="20"/>
          <w:color w:val="auto"/>
        </w:rPr>
        <w:t>”);</w:t>
      </w:r>
    </w:p>
    <w:p>
      <w:pPr>
        <w:spacing w:after="0" w:line="55" w:lineRule="exact"/>
        <w:rPr>
          <w:rFonts w:ascii="Arial" w:cs="Arial" w:eastAsia="Arial" w:hAnsi="Arial"/>
          <w:sz w:val="20"/>
          <w:szCs w:val="20"/>
          <w:color w:val="auto"/>
        </w:rPr>
      </w:pPr>
    </w:p>
    <w:p>
      <w:pPr>
        <w:jc w:val="both"/>
        <w:ind w:left="660" w:right="20" w:hanging="328"/>
        <w:spacing w:after="0" w:line="294" w:lineRule="auto"/>
        <w:tabs>
          <w:tab w:leader="none" w:pos="66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UNMANNED SYSTEMS INVESTMENTS GMBH </w:t>
      </w:r>
      <w:r>
        <w:rPr>
          <w:rFonts w:ascii="Arial" w:cs="Arial" w:eastAsia="Arial" w:hAnsi="Arial"/>
          <w:sz w:val="18"/>
          <w:szCs w:val="18"/>
          <w:color w:val="auto"/>
        </w:rPr>
        <w:t>a limited liability company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Germany,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at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Stuttgart under HRB 757871, whose registered office is at Vogelsangstraße 8, 73760 Ostfildern, Germany (the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Norbert Gebbeken [***];</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Thomas Biehne [***];</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Adam Jaroh [***];</w:t>
      </w:r>
    </w:p>
    <w:p>
      <w:pPr>
        <w:spacing w:after="0" w:line="102" w:lineRule="exact"/>
        <w:rPr>
          <w:sz w:val="20"/>
          <w:szCs w:val="20"/>
          <w:color w:val="auto"/>
        </w:rPr>
      </w:pPr>
    </w:p>
    <w:p>
      <w:pPr>
        <w:jc w:val="both"/>
        <w:ind w:left="340"/>
        <w:spacing w:after="0" w:line="253" w:lineRule="auto"/>
        <w:rPr>
          <w:sz w:val="20"/>
          <w:szCs w:val="20"/>
          <w:color w:val="auto"/>
        </w:rPr>
      </w:pPr>
      <w:r>
        <w:rPr>
          <w:rFonts w:ascii="Arial" w:cs="Arial" w:eastAsia="Arial" w:hAnsi="Arial"/>
          <w:sz w:val="20"/>
          <w:szCs w:val="20"/>
          <w:color w:val="auto"/>
        </w:rPr>
        <w:t>Norbert Gebbeken, Thomas Biehne and Adam Jaroh together the “</w:t>
      </w:r>
      <w:r>
        <w:rPr>
          <w:rFonts w:ascii="Arial" w:cs="Arial" w:eastAsia="Arial" w:hAnsi="Arial"/>
          <w:sz w:val="20"/>
          <w:szCs w:val="20"/>
          <w:b w:val="1"/>
          <w:bCs w:val="1"/>
          <w:color w:val="auto"/>
        </w:rPr>
        <w:t>Shareholders</w:t>
      </w:r>
      <w:r>
        <w:rPr>
          <w:rFonts w:ascii="Arial" w:cs="Arial" w:eastAsia="Arial" w:hAnsi="Arial"/>
          <w:sz w:val="20"/>
          <w:szCs w:val="20"/>
          <w:color w:val="auto"/>
        </w:rPr>
        <w:t>” and each of them a “</w:t>
      </w:r>
      <w:r>
        <w:rPr>
          <w:rFonts w:ascii="Arial" w:cs="Arial" w:eastAsia="Arial" w:hAnsi="Arial"/>
          <w:sz w:val="20"/>
          <w:szCs w:val="20"/>
          <w:b w:val="1"/>
          <w:bCs w:val="1"/>
          <w:color w:val="auto"/>
        </w:rPr>
        <w:t>Shareholder</w:t>
      </w:r>
      <w:r>
        <w:rPr>
          <w:rFonts w:ascii="Arial" w:cs="Arial" w:eastAsia="Arial" w:hAnsi="Arial"/>
          <w:sz w:val="20"/>
          <w:szCs w:val="20"/>
          <w:color w:val="auto"/>
        </w:rPr>
        <w:t>”. The Purchaser and the Seller are sometimes individually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114" w:lineRule="exact"/>
        <w:rPr>
          <w:sz w:val="20"/>
          <w:szCs w:val="20"/>
          <w:color w:val="auto"/>
        </w:rPr>
      </w:pPr>
    </w:p>
    <w:p>
      <w:pPr>
        <w:ind w:left="660" w:hanging="652"/>
        <w:spacing w:after="0" w:line="316" w:lineRule="auto"/>
        <w:tabs>
          <w:tab w:leader="none" w:pos="6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Seller owns all of the Shares (</w:t>
      </w:r>
      <w:r>
        <w:rPr>
          <w:rFonts w:ascii="Arial" w:cs="Arial" w:eastAsia="Arial" w:hAnsi="Arial"/>
          <w:sz w:val="18"/>
          <w:szCs w:val="18"/>
          <w:i w:val="1"/>
          <w:iCs w:val="1"/>
          <w:color w:val="auto"/>
        </w:rPr>
        <w:t>Geschäftsanteile</w:t>
      </w:r>
      <w:r>
        <w:rPr>
          <w:rFonts w:ascii="Arial" w:cs="Arial" w:eastAsia="Arial" w:hAnsi="Arial"/>
          <w:sz w:val="18"/>
          <w:szCs w:val="18"/>
          <w:color w:val="auto"/>
        </w:rPr>
        <w:t>) of the Company, the Shareholders are the only shareholders of the Seller, and Norbert Gebbeken and Thomas Biehne are the only managing directors of the Company;</w:t>
      </w:r>
    </w:p>
    <w:p>
      <w:pPr>
        <w:spacing w:after="0" w:line="62"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505"/>
        </w:numPr>
        <w:rPr>
          <w:rFonts w:ascii="Arial" w:cs="Arial" w:eastAsia="Arial" w:hAnsi="Arial"/>
          <w:sz w:val="20"/>
          <w:szCs w:val="20"/>
          <w:color w:val="auto"/>
        </w:rPr>
      </w:pPr>
      <w:r>
        <w:rPr>
          <w:rFonts w:ascii="Arial" w:cs="Arial" w:eastAsia="Arial" w:hAnsi="Arial"/>
          <w:sz w:val="20"/>
          <w:szCs w:val="20"/>
          <w:color w:val="auto"/>
        </w:rPr>
        <w:t>The Company is in the business of developing, manufacturing and selling equipment and systems for the handling of dangerous tasks from a safe distance (the “</w:t>
      </w:r>
      <w:r>
        <w:rPr>
          <w:rFonts w:ascii="Arial" w:cs="Arial" w:eastAsia="Arial" w:hAnsi="Arial"/>
          <w:sz w:val="20"/>
          <w:szCs w:val="20"/>
          <w:b w:val="1"/>
          <w:bCs w:val="1"/>
          <w:color w:val="auto"/>
        </w:rPr>
        <w:t>Line of Business</w:t>
      </w:r>
      <w:r>
        <w:rPr>
          <w:rFonts w:ascii="Arial" w:cs="Arial" w:eastAsia="Arial" w:hAnsi="Arial"/>
          <w:sz w:val="20"/>
          <w:szCs w:val="20"/>
          <w:color w:val="auto"/>
        </w:rPr>
        <w:t>”);</w:t>
      </w:r>
    </w:p>
    <w:p>
      <w:pPr>
        <w:spacing w:after="0" w:line="10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505"/>
        </w:numPr>
        <w:rPr>
          <w:rFonts w:ascii="Arial" w:cs="Arial" w:eastAsia="Arial" w:hAnsi="Arial"/>
          <w:sz w:val="20"/>
          <w:szCs w:val="20"/>
          <w:color w:val="auto"/>
        </w:rPr>
      </w:pPr>
      <w:r>
        <w:rPr>
          <w:rFonts w:ascii="Arial" w:cs="Arial" w:eastAsia="Arial" w:hAnsi="Arial"/>
          <w:sz w:val="20"/>
          <w:szCs w:val="20"/>
          <w:color w:val="auto"/>
        </w:rPr>
        <w:t>The Parties and the Shareholders desire to enter into this Agreement pursuant to which the Seller proposes to sell to the Purchaser, and the Purchaser proposes to purchase from the Seller, all of the Shares on the terms and subject to the conditions set forth herein (the “</w:t>
      </w:r>
      <w:r>
        <w:rPr>
          <w:rFonts w:ascii="Arial" w:cs="Arial" w:eastAsia="Arial" w:hAnsi="Arial"/>
          <w:sz w:val="20"/>
          <w:szCs w:val="20"/>
          <w:b w:val="1"/>
          <w:bCs w:val="1"/>
          <w:color w:val="auto"/>
        </w:rPr>
        <w:t>Acquisition”</w:t>
      </w:r>
      <w:r>
        <w:rPr>
          <w:rFonts w:ascii="Arial" w:cs="Arial" w:eastAsia="Arial" w:hAnsi="Arial"/>
          <w:sz w:val="20"/>
          <w:szCs w:val="20"/>
          <w:color w:val="auto"/>
        </w:rPr>
        <w:t>).</w:t>
      </w:r>
    </w:p>
    <w:p>
      <w:pPr>
        <w:spacing w:after="0" w:line="112" w:lineRule="exact"/>
        <w:rPr>
          <w:sz w:val="20"/>
          <w:szCs w:val="20"/>
          <w:color w:val="auto"/>
        </w:rPr>
      </w:pPr>
    </w:p>
    <w:p>
      <w:pPr>
        <w:ind w:right="6240" w:firstLine="8"/>
        <w:spacing w:after="0" w:line="355" w:lineRule="auto"/>
        <w:tabs>
          <w:tab w:leader="none" w:pos="635" w:val="left"/>
        </w:tabs>
        <w:numPr>
          <w:ilvl w:val="0"/>
          <w:numId w:val="506"/>
        </w:numPr>
        <w:rPr>
          <w:rFonts w:ascii="Arial" w:cs="Arial" w:eastAsia="Arial" w:hAnsi="Arial"/>
          <w:sz w:val="20"/>
          <w:szCs w:val="20"/>
          <w:b w:val="1"/>
          <w:bCs w:val="1"/>
          <w:color w:val="auto"/>
        </w:rPr>
      </w:pPr>
      <w:r>
        <w:rPr>
          <w:rFonts w:ascii="Arial" w:cs="Arial" w:eastAsia="Arial" w:hAnsi="Arial"/>
          <w:sz w:val="20"/>
          <w:szCs w:val="20"/>
          <w:b w:val="1"/>
          <w:bCs w:val="1"/>
          <w:color w:val="auto"/>
        </w:rPr>
        <w:t>CONSTRUCTION; DEFINITIONS 1.1 Definitions</w:t>
      </w:r>
    </w:p>
    <w:p>
      <w:pPr>
        <w:spacing w:after="0"/>
        <w:rPr>
          <w:rFonts w:ascii="Arial" w:cs="Arial" w:eastAsia="Arial" w:hAnsi="Arial"/>
          <w:sz w:val="20"/>
          <w:szCs w:val="20"/>
          <w:b w:val="1"/>
          <w:bCs w:val="1"/>
          <w:color w:val="auto"/>
        </w:rPr>
      </w:pPr>
      <w:r>
        <w:rPr>
          <w:rFonts w:ascii="Arial" w:cs="Arial" w:eastAsia="Arial" w:hAnsi="Arial"/>
          <w:sz w:val="20"/>
          <w:szCs w:val="20"/>
          <w:color w:val="auto"/>
        </w:rPr>
        <w:t>The following terms, as used herein, have the following meanings:</w:t>
      </w:r>
    </w:p>
    <w:p>
      <w:pPr>
        <w:spacing w:after="0" w:line="331"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w:t>
      </w:r>
    </w:p>
    <w:p>
      <w:pPr>
        <w:spacing w:after="0" w:line="55" w:lineRule="exact"/>
        <w:rPr>
          <w:sz w:val="20"/>
          <w:szCs w:val="20"/>
          <w:color w:val="auto"/>
        </w:rPr>
      </w:pPr>
    </w:p>
    <w:p>
      <w:pPr>
        <w:jc w:val="both"/>
        <w:ind w:left="20"/>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Anti-Corruption Laws</w:t>
      </w:r>
      <w:r>
        <w:rPr>
          <w:rFonts w:ascii="Arial" w:cs="Arial" w:eastAsia="Arial" w:hAnsi="Arial"/>
          <w:sz w:val="19"/>
          <w:szCs w:val="19"/>
          <w:color w:val="auto"/>
        </w:rPr>
        <w:t>” means the national and directly effective legislation of any jurisdiction which governs the conduct of companies or individuals in relation to corruption, including the provisions of the 30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Section (§§ 331 ff.) of the German Penal Code (</w:t>
      </w:r>
      <w:r>
        <w:rPr>
          <w:rFonts w:ascii="Arial" w:cs="Arial" w:eastAsia="Arial" w:hAnsi="Arial"/>
          <w:sz w:val="19"/>
          <w:szCs w:val="19"/>
          <w:i w:val="1"/>
          <w:iCs w:val="1"/>
          <w:color w:val="auto"/>
        </w:rPr>
        <w:t>Strafgesetzbuch</w:t>
      </w:r>
      <w:r>
        <w:rPr>
          <w:rFonts w:ascii="Arial" w:cs="Arial" w:eastAsia="Arial" w:hAnsi="Arial"/>
          <w:sz w:val="19"/>
          <w:szCs w:val="19"/>
          <w:color w:val="auto"/>
        </w:rPr>
        <w:t>) and all other German Laws against corruption or corruptive practices, the Foreign Corrupt Practices Act (FCPA) of the USA and all US Laws against domestic corruption or corruptive practices, and all anti-corruption Laws applicable in any other jurisdiction or which would be applicable if such jurisdiction had implemented the United Nations Convention against Corruption of 31 October 2003.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0" w:name="page481"/>
    <w:bookmarkEnd w:id="480"/>
    <w:p>
      <w:pPr>
        <w:jc w:val="both"/>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Antitrust Laws</w:t>
      </w:r>
      <w:r>
        <w:rPr>
          <w:rFonts w:ascii="Arial" w:cs="Arial" w:eastAsia="Arial" w:hAnsi="Arial"/>
          <w:sz w:val="19"/>
          <w:szCs w:val="19"/>
          <w:color w:val="auto"/>
        </w:rPr>
        <w:t>” means the national and directly effective legislation of any jurisdiction which governs the conduct of companies or individuals in relation to restrictive or other anti-competitive agreements or practices (including cartels, pricing, resale pricing, market sharing, bid rigging, terms of trading, purchase or supply and joint ventures), dominant or monopoly market positions (whether held individually or collectively) and the control of acquisitions or mergers.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Jurisdiction</w:t>
      </w:r>
      <w:r>
        <w:rPr>
          <w:rFonts w:ascii="Arial" w:cs="Arial" w:eastAsia="Arial" w:hAnsi="Arial"/>
          <w:sz w:val="20"/>
          <w:szCs w:val="20"/>
          <w:color w:val="auto"/>
        </w:rPr>
        <w:t>” means Germany, the European Union, the United States or any other jurisdiction which is applicable to the matter to which the term relates in each case.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means all Laws which are applicable to the matter to which the term relates in each case.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AWV</w:t>
      </w:r>
      <w:r>
        <w:rPr>
          <w:rFonts w:ascii="Arial" w:cs="Arial" w:eastAsia="Arial" w:hAnsi="Arial"/>
          <w:sz w:val="20"/>
          <w:szCs w:val="20"/>
          <w:color w:val="auto"/>
        </w:rPr>
        <w:t>” means the German Foreign Trade Ordinance (</w:t>
      </w:r>
      <w:r>
        <w:rPr>
          <w:rFonts w:ascii="Arial" w:cs="Arial" w:eastAsia="Arial" w:hAnsi="Arial"/>
          <w:sz w:val="20"/>
          <w:szCs w:val="20"/>
          <w:i w:val="1"/>
          <w:iCs w:val="1"/>
          <w:color w:val="auto"/>
        </w:rPr>
        <w:t>Außenwirtschaftsverordnung</w:t>
      </w:r>
      <w:r>
        <w:rPr>
          <w:rFonts w:ascii="Arial" w:cs="Arial" w:eastAsia="Arial" w:hAnsi="Arial"/>
          <w:sz w:val="20"/>
          <w:szCs w:val="20"/>
          <w:color w:val="auto"/>
        </w:rPr>
        <w:t>).</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Balance Sheets</w:t>
      </w:r>
      <w:r>
        <w:rPr>
          <w:rFonts w:ascii="Arial" w:cs="Arial" w:eastAsia="Arial" w:hAnsi="Arial"/>
          <w:sz w:val="20"/>
          <w:szCs w:val="20"/>
          <w:color w:val="auto"/>
        </w:rPr>
        <w:t>” means the unaudited consolidated balance sheet of the Company, the audited balance sheet of the Company and the unaudited balance sheet of the Subsidiary, each as of December 31, 2019, and the unaudited balance sheets of the Company and of the Subsidiary as of the Locked Box Date, all as included in the Financial Statements, and “</w:t>
      </w:r>
      <w:r>
        <w:rPr>
          <w:rFonts w:ascii="Arial" w:cs="Arial" w:eastAsia="Arial" w:hAnsi="Arial"/>
          <w:sz w:val="20"/>
          <w:szCs w:val="20"/>
          <w:b w:val="1"/>
          <w:bCs w:val="1"/>
          <w:color w:val="auto"/>
        </w:rPr>
        <w:t>Balance</w:t>
      </w:r>
      <w:r>
        <w:rPr>
          <w:rFonts w:ascii="Arial" w:cs="Arial" w:eastAsia="Arial" w:hAnsi="Arial"/>
          <w:sz w:val="20"/>
          <w:szCs w:val="20"/>
          <w:color w:val="auto"/>
        </w:rPr>
        <w:t xml:space="preserve"> </w:t>
      </w:r>
      <w:r>
        <w:rPr>
          <w:rFonts w:ascii="Arial" w:cs="Arial" w:eastAsia="Arial" w:hAnsi="Arial"/>
          <w:sz w:val="20"/>
          <w:szCs w:val="20"/>
          <w:b w:val="1"/>
          <w:bCs w:val="1"/>
          <w:color w:val="auto"/>
        </w:rPr>
        <w:t>Sheet</w:t>
      </w:r>
      <w:r>
        <w:rPr>
          <w:rFonts w:ascii="Arial" w:cs="Arial" w:eastAsia="Arial" w:hAnsi="Arial"/>
          <w:sz w:val="20"/>
          <w:szCs w:val="20"/>
          <w:color w:val="auto"/>
        </w:rPr>
        <w:t>” means each of them.</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BBodSchG</w:t>
      </w:r>
      <w:r>
        <w:rPr>
          <w:rFonts w:ascii="Arial" w:cs="Arial" w:eastAsia="Arial" w:hAnsi="Arial"/>
          <w:sz w:val="20"/>
          <w:szCs w:val="20"/>
          <w:color w:val="auto"/>
        </w:rPr>
        <w:t>” means the German Federal Soil Protection Act (</w:t>
      </w:r>
      <w:r>
        <w:rPr>
          <w:rFonts w:ascii="Arial" w:cs="Arial" w:eastAsia="Arial" w:hAnsi="Arial"/>
          <w:sz w:val="20"/>
          <w:szCs w:val="20"/>
          <w:i w:val="1"/>
          <w:iCs w:val="1"/>
          <w:color w:val="auto"/>
        </w:rPr>
        <w:t>Bundes-Bodenschutzgesetz</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BGB</w:t>
      </w:r>
      <w:r>
        <w:rPr>
          <w:rFonts w:ascii="Arial" w:cs="Arial" w:eastAsia="Arial" w:hAnsi="Arial"/>
          <w:sz w:val="20"/>
          <w:szCs w:val="20"/>
          <w:color w:val="auto"/>
        </w:rPr>
        <w:t>” means the German Civil Code (</w:t>
      </w:r>
      <w:r>
        <w:rPr>
          <w:rFonts w:ascii="Arial" w:cs="Arial" w:eastAsia="Arial" w:hAnsi="Arial"/>
          <w:sz w:val="20"/>
          <w:szCs w:val="20"/>
          <w:i w:val="1"/>
          <w:iCs w:val="1"/>
          <w:color w:val="auto"/>
        </w:rPr>
        <w:t>Bürgerliches Gesetzbuch</w:t>
      </w:r>
      <w:r>
        <w:rPr>
          <w:rFonts w:ascii="Arial" w:cs="Arial" w:eastAsia="Arial" w:hAnsi="Arial"/>
          <w:sz w:val="20"/>
          <w:szCs w:val="20"/>
          <w:color w:val="auto"/>
        </w:rPr>
        <w:t>).</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operations of the Company Group conducted in the scope and manner as of the date hereof.</w:t>
      </w:r>
    </w:p>
    <w:p>
      <w:pPr>
        <w:spacing w:after="0" w:line="154"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except Saturday, Sunday or any day on which banks are generally not open for business in Frankfurt am Main or New York.</w:t>
      </w:r>
    </w:p>
    <w:p>
      <w:pPr>
        <w:spacing w:after="0" w:line="55"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 Payments</w:t>
      </w:r>
      <w:r>
        <w:rPr>
          <w:rFonts w:ascii="Arial" w:cs="Arial" w:eastAsia="Arial" w:hAnsi="Arial"/>
          <w:sz w:val="20"/>
          <w:szCs w:val="20"/>
          <w:color w:val="auto"/>
        </w:rPr>
        <w:t>” means the aggregate amount payable on any legal ground whatsoever as a result of the transactions contemplated by this Agreement (including, “success fees” or bonuses, or severance payments, and any Taxes which may be payable in relation thereto) by a Group Company to or for the benefit of current or former Officers and Directors or employees of a Group Company or to any other party, in each case to the extent not paid prior to the Locked Box Date.</w:t>
      </w:r>
    </w:p>
    <w:p>
      <w:pPr>
        <w:spacing w:after="0" w:line="77" w:lineRule="exact"/>
        <w:rPr>
          <w:sz w:val="20"/>
          <w:szCs w:val="20"/>
          <w:color w:val="auto"/>
        </w:rPr>
      </w:pPr>
    </w:p>
    <w:p>
      <w:pPr>
        <w:jc w:val="both"/>
        <w:ind w:left="2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means (i) a claim for indemnification by an Indemnified Party under Clause 10, (ii) a claim by the Purchaser for breach of a Seller Warranty or a claim by the Seller for breach of a Purchaser Warranty and (iii) a Leakage Claim.</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 Period</w:t>
      </w:r>
      <w:r>
        <w:rPr>
          <w:rFonts w:ascii="Arial" w:cs="Arial" w:eastAsia="Arial" w:hAnsi="Arial"/>
          <w:sz w:val="19"/>
          <w:szCs w:val="19"/>
          <w:color w:val="auto"/>
        </w:rPr>
        <w:t>” means the period during which a Claim can be made according to the provisions of this Agreement.</w:t>
      </w:r>
    </w:p>
    <w:p>
      <w:pPr>
        <w:spacing w:after="0" w:line="119"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w:t>
      </w:r>
      <w:r>
        <w:rPr>
          <w:rFonts w:ascii="Arial" w:cs="Arial" w:eastAsia="Arial" w:hAnsi="Arial"/>
          <w:sz w:val="20"/>
          <w:szCs w:val="20"/>
          <w:color w:val="auto"/>
        </w:rPr>
        <w:t>” means the consummation (</w:t>
      </w:r>
      <w:r>
        <w:rPr>
          <w:rFonts w:ascii="Arial" w:cs="Arial" w:eastAsia="Arial" w:hAnsi="Arial"/>
          <w:sz w:val="20"/>
          <w:szCs w:val="20"/>
          <w:i w:val="1"/>
          <w:iCs w:val="1"/>
          <w:color w:val="auto"/>
        </w:rPr>
        <w:t>Vollzug</w:t>
      </w:r>
      <w:r>
        <w:rPr>
          <w:rFonts w:ascii="Arial" w:cs="Arial" w:eastAsia="Arial" w:hAnsi="Arial"/>
          <w:sz w:val="20"/>
          <w:szCs w:val="20"/>
          <w:color w:val="auto"/>
        </w:rPr>
        <w:t>) of the transactions contemplated by this Agreement as set forth in Sub-Clause 8.1.</w:t>
      </w:r>
    </w:p>
    <w:p>
      <w:pPr>
        <w:spacing w:after="0" w:line="55"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Events</w:t>
      </w:r>
      <w:r>
        <w:rPr>
          <w:rFonts w:ascii="Arial" w:cs="Arial" w:eastAsia="Arial" w:hAnsi="Arial"/>
          <w:sz w:val="20"/>
          <w:szCs w:val="20"/>
          <w:color w:val="auto"/>
        </w:rPr>
        <w:t>” means the occuring of the actions to be taken at the Closing which are listed in Clauses 8.2 (Seller Closing Deliveries) and 8.3 (Purchaser Closing Deliveries).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on which the Closing occurs.</w:t>
      </w:r>
    </w:p>
    <w:p>
      <w:pPr>
        <w:spacing w:after="0" w:line="108" w:lineRule="exact"/>
        <w:rPr>
          <w:sz w:val="20"/>
          <w:szCs w:val="20"/>
          <w:color w:val="auto"/>
        </w:rPr>
      </w:pPr>
    </w:p>
    <w:p>
      <w:pPr>
        <w:jc w:val="both"/>
        <w:ind w:left="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Protocol</w:t>
      </w:r>
      <w:r>
        <w:rPr>
          <w:rFonts w:ascii="Arial" w:cs="Arial" w:eastAsia="Arial" w:hAnsi="Arial"/>
          <w:sz w:val="18"/>
          <w:szCs w:val="18"/>
          <w:color w:val="auto"/>
        </w:rPr>
        <w:t xml:space="preserve">” means a closing protocol in the form as attached as </w:t>
      </w:r>
      <w:r>
        <w:rPr>
          <w:rFonts w:ascii="Arial" w:cs="Arial" w:eastAsia="Arial" w:hAnsi="Arial"/>
          <w:sz w:val="18"/>
          <w:szCs w:val="18"/>
          <w:u w:val="single" w:color="auto"/>
          <w:color w:val="auto"/>
        </w:rPr>
        <w:t>Appendix 1.1(a)</w:t>
      </w:r>
      <w:r>
        <w:rPr>
          <w:rFonts w:ascii="Arial" w:cs="Arial" w:eastAsia="Arial" w:hAnsi="Arial"/>
          <w:sz w:val="18"/>
          <w:szCs w:val="18"/>
          <w:color w:val="auto"/>
        </w:rPr>
        <w:t xml:space="preserve"> in authenticated form (</w:t>
      </w:r>
      <w:r>
        <w:rPr>
          <w:rFonts w:ascii="Arial" w:cs="Arial" w:eastAsia="Arial" w:hAnsi="Arial"/>
          <w:sz w:val="18"/>
          <w:szCs w:val="18"/>
          <w:i w:val="1"/>
          <w:iCs w:val="1"/>
          <w:color w:val="auto"/>
        </w:rPr>
        <w:t>öffentlich</w:t>
      </w:r>
      <w:r>
        <w:rPr>
          <w:rFonts w:ascii="Arial" w:cs="Arial" w:eastAsia="Arial" w:hAnsi="Arial"/>
          <w:sz w:val="18"/>
          <w:szCs w:val="18"/>
          <w:color w:val="auto"/>
        </w:rPr>
        <w:t xml:space="preserve"> </w:t>
      </w:r>
      <w:r>
        <w:rPr>
          <w:rFonts w:ascii="Arial" w:cs="Arial" w:eastAsia="Arial" w:hAnsi="Arial"/>
          <w:sz w:val="18"/>
          <w:szCs w:val="18"/>
          <w:i w:val="1"/>
          <w:iCs w:val="1"/>
          <w:color w:val="auto"/>
        </w:rPr>
        <w:t>beglaubigt</w:t>
      </w:r>
      <w:r>
        <w:rPr>
          <w:rFonts w:ascii="Arial" w:cs="Arial" w:eastAsia="Arial" w:hAnsi="Arial"/>
          <w:sz w:val="18"/>
          <w:szCs w:val="18"/>
          <w:color w:val="auto"/>
        </w:rPr>
        <w:t>) executed by each of the Seller and the Purchaser by which the Seller and the Purchaser confirm that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has occurred, including a confirmation of the due fulfilment or waiver, as the case may be, of all conditions to Closing, the due performance or waiver, as the case may be, of all the obligations of the Seller and the Purchaser under Clauses 8.2 and 8.3 and effectiveness of the assignment and transfer of the Shares to Purchaser;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81" w:name="page482"/>
    <w:bookmarkEnd w:id="481"/>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xml:space="preserve">” means </w:t>
      </w:r>
      <w:r>
        <w:rPr>
          <w:rFonts w:ascii="Arial" w:cs="Arial" w:eastAsia="Arial" w:hAnsi="Arial"/>
          <w:sz w:val="20"/>
          <w:szCs w:val="20"/>
          <w:b w:val="1"/>
          <w:bCs w:val="1"/>
          <w:color w:val="auto"/>
        </w:rPr>
        <w:t>telerob Gesellschaft für Fernhantierungstechnik mbH</w:t>
      </w:r>
      <w:r>
        <w:rPr>
          <w:rFonts w:ascii="Arial" w:cs="Arial" w:eastAsia="Arial" w:hAnsi="Arial"/>
          <w:sz w:val="20"/>
          <w:szCs w:val="20"/>
          <w:color w:val="auto"/>
        </w:rPr>
        <w:t>, a company under German law, registered in the commercial register of the Local Court (</w:t>
      </w:r>
      <w:r>
        <w:rPr>
          <w:rFonts w:ascii="Arial" w:cs="Arial" w:eastAsia="Arial" w:hAnsi="Arial"/>
          <w:sz w:val="20"/>
          <w:szCs w:val="20"/>
          <w:i w:val="1"/>
          <w:iCs w:val="1"/>
          <w:color w:val="auto"/>
        </w:rPr>
        <w:t>Amtsgericht</w:t>
      </w:r>
      <w:r>
        <w:rPr>
          <w:rFonts w:ascii="Arial" w:cs="Arial" w:eastAsia="Arial" w:hAnsi="Arial"/>
          <w:sz w:val="20"/>
          <w:szCs w:val="20"/>
          <w:color w:val="auto"/>
        </w:rPr>
        <w:t>) in Stuttgart under registration number HRB 726381 with registered offices at Vogelsangstr. 8, 73760 Ostfildern, Germany.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Group</w:t>
      </w:r>
      <w:r>
        <w:rPr>
          <w:rFonts w:ascii="Arial" w:cs="Arial" w:eastAsia="Arial" w:hAnsi="Arial"/>
          <w:sz w:val="20"/>
          <w:szCs w:val="20"/>
          <w:color w:val="auto"/>
        </w:rPr>
        <w:t>” means the Company and the Subsidiary.</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Intellectual Property</w:t>
      </w:r>
      <w:r>
        <w:rPr>
          <w:rFonts w:ascii="Arial" w:cs="Arial" w:eastAsia="Arial" w:hAnsi="Arial"/>
          <w:sz w:val="20"/>
          <w:szCs w:val="20"/>
          <w:color w:val="auto"/>
        </w:rPr>
        <w:t>” means any Intellectual Property that is owned by or licensed to a Group Company, including the Company Software and Company Registered Intellectual Property.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Licensed Software</w:t>
      </w:r>
      <w:r>
        <w:rPr>
          <w:rFonts w:ascii="Arial" w:cs="Arial" w:eastAsia="Arial" w:hAnsi="Arial"/>
          <w:sz w:val="18"/>
          <w:szCs w:val="18"/>
          <w:color w:val="auto"/>
        </w:rPr>
        <w:t>” means all Software (other than Company Proprietary Software) used by a Group Company.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Proprietary Software</w:t>
      </w:r>
      <w:r>
        <w:rPr>
          <w:rFonts w:ascii="Arial" w:cs="Arial" w:eastAsia="Arial" w:hAnsi="Arial"/>
          <w:sz w:val="20"/>
          <w:szCs w:val="20"/>
          <w:color w:val="auto"/>
        </w:rPr>
        <w:t>” means all Software owned by a Group Company.</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Registered Intellectual Property</w:t>
      </w:r>
      <w:r>
        <w:rPr>
          <w:rFonts w:ascii="Arial" w:cs="Arial" w:eastAsia="Arial" w:hAnsi="Arial"/>
          <w:sz w:val="20"/>
          <w:szCs w:val="20"/>
          <w:color w:val="auto"/>
        </w:rPr>
        <w:t>” means all of the Registered Intellectual Property owned by, filed in the name of, or licensed to a Group Company.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Software</w:t>
      </w:r>
      <w:r>
        <w:rPr>
          <w:rFonts w:ascii="Arial" w:cs="Arial" w:eastAsia="Arial" w:hAnsi="Arial"/>
          <w:sz w:val="20"/>
          <w:szCs w:val="20"/>
          <w:color w:val="auto"/>
        </w:rPr>
        <w:t>” means the Company Licensed Software and the Company Proprietary Software.</w:t>
      </w:r>
    </w:p>
    <w:p>
      <w:pPr>
        <w:spacing w:after="0" w:line="108"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any data or information of a Group Company (including trade secrets) that is relevant to the operation of a Group Company's business and not generally known to the public or competitors.</w:t>
      </w:r>
    </w:p>
    <w:p>
      <w:pPr>
        <w:spacing w:after="0" w:line="55" w:lineRule="exact"/>
        <w:rPr>
          <w:sz w:val="20"/>
          <w:szCs w:val="20"/>
          <w:color w:val="auto"/>
        </w:rPr>
      </w:pPr>
    </w:p>
    <w:p>
      <w:pPr>
        <w:jc w:val="both"/>
        <w:ind w:left="2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when used with respect to any specified Person, the power to direct the management and policies of such Person, directly or indirectly, whether through the ownership of voting securities, by contract or otherwise.</w:t>
      </w:r>
    </w:p>
    <w:p>
      <w:pPr>
        <w:spacing w:after="0" w:line="34"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COVID-19 Pandemic</w:t>
      </w:r>
      <w:r>
        <w:rPr>
          <w:rFonts w:ascii="Arial" w:cs="Arial" w:eastAsia="Arial" w:hAnsi="Arial"/>
          <w:sz w:val="20"/>
          <w:szCs w:val="20"/>
          <w:color w:val="auto"/>
        </w:rPr>
        <w:t>” means the current pandemic with the SARS-CoV-2 virus including any furtherance thereto including a “second” or further “waves” or any other ongoing health emergency relating to that virus.</w:t>
      </w:r>
    </w:p>
    <w:p>
      <w:pPr>
        <w:spacing w:after="0" w:line="55" w:lineRule="exact"/>
        <w:rPr>
          <w:sz w:val="20"/>
          <w:szCs w:val="20"/>
          <w:color w:val="auto"/>
        </w:rPr>
      </w:pPr>
    </w:p>
    <w:p>
      <w:pPr>
        <w:jc w:val="both"/>
        <w:ind w:lef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Customer</w:t>
      </w:r>
      <w:r>
        <w:rPr>
          <w:rFonts w:ascii="Arial" w:cs="Arial" w:eastAsia="Arial" w:hAnsi="Arial"/>
          <w:sz w:val="20"/>
          <w:szCs w:val="20"/>
          <w:color w:val="auto"/>
        </w:rPr>
        <w:t>” means each customer that made an agreement with a Group Company at any time since January 1, 2018 and each customer that paid a Group Company in the aggregate more than € 100,000 during the 12-month period ended on the Locked Box Date.</w:t>
      </w:r>
    </w:p>
    <w:p>
      <w:pPr>
        <w:spacing w:after="0" w:line="69" w:lineRule="exact"/>
        <w:rPr>
          <w:sz w:val="20"/>
          <w:szCs w:val="20"/>
          <w:color w:val="auto"/>
        </w:rPr>
      </w:pPr>
    </w:p>
    <w:p>
      <w:pPr>
        <w:jc w:val="both"/>
        <w:ind w:left="2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Agreement</w:t>
      </w:r>
      <w:r>
        <w:rPr>
          <w:rFonts w:ascii="Arial" w:cs="Arial" w:eastAsia="Arial" w:hAnsi="Arial"/>
          <w:sz w:val="18"/>
          <w:szCs w:val="18"/>
          <w:color w:val="auto"/>
        </w:rPr>
        <w:t>” means any employment contract, consulting agreement, termination or severance agreement, salary continuation agreement, change of control agreement, non-compete agreement or any other agreement regarding the terms and conditions of employment or payment of compensation, or of a consulting or independent contractor relationship in respect to any current or former officer, employee, consultant or independent contractor.</w:t>
      </w:r>
    </w:p>
    <w:p>
      <w:pPr>
        <w:spacing w:after="0" w:line="43" w:lineRule="exact"/>
        <w:rPr>
          <w:sz w:val="20"/>
          <w:szCs w:val="20"/>
          <w:color w:val="auto"/>
        </w:rPr>
      </w:pPr>
    </w:p>
    <w:p>
      <w:pPr>
        <w:jc w:val="both"/>
        <w:ind w:left="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treaties, Laws, consent agreements, orders on consent, or guidance documents in effect on or prior to the Closing Date of any applicable Governmental Entity or other executive, legislative, judicial, regulatory, or administrative agency, board, tribunal, or authority or any associated judicial or administrative decision that relate in any manner to health, the environment, pollution, the emission, discharge, release, treatment, storage, disposal, management, or response to Materials of Environmental Concern, a community’s right to know, or worker protection.</w:t>
      </w:r>
    </w:p>
    <w:p>
      <w:pPr>
        <w:spacing w:after="0" w:line="48" w:lineRule="exact"/>
        <w:rPr>
          <w:sz w:val="20"/>
          <w:szCs w:val="20"/>
          <w:color w:val="auto"/>
        </w:rPr>
      </w:pPr>
    </w:p>
    <w:p>
      <w:pPr>
        <w:jc w:val="both"/>
        <w:ind w:lef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all Licenses, identification numbers, applications, consents, variances, notices of intent, and exemptions necessary for the ownership, use and/or operation of any Leased Real Property to comply with Environmental Laws.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Response</w:t>
      </w:r>
      <w:r>
        <w:rPr>
          <w:rFonts w:ascii="Arial" w:cs="Arial" w:eastAsia="Arial" w:hAnsi="Arial"/>
          <w:sz w:val="20"/>
          <w:szCs w:val="20"/>
          <w:color w:val="auto"/>
        </w:rPr>
        <w:t>” means</w:t>
      </w:r>
    </w:p>
    <w:p>
      <w:pPr>
        <w:spacing w:after="0" w:line="114" w:lineRule="exact"/>
        <w:rPr>
          <w:sz w:val="20"/>
          <w:szCs w:val="20"/>
          <w:color w:val="auto"/>
        </w:rPr>
      </w:pPr>
    </w:p>
    <w:p>
      <w:pPr>
        <w:ind w:left="1140" w:hanging="497"/>
        <w:spacing w:after="0"/>
        <w:tabs>
          <w:tab w:leader="none" w:pos="1140" w:val="left"/>
        </w:tabs>
        <w:numPr>
          <w:ilvl w:val="0"/>
          <w:numId w:val="507"/>
        </w:numPr>
        <w:rPr>
          <w:rFonts w:ascii="Arial" w:cs="Arial" w:eastAsia="Arial" w:hAnsi="Arial"/>
          <w:sz w:val="20"/>
          <w:szCs w:val="20"/>
          <w:color w:val="auto"/>
        </w:rPr>
      </w:pPr>
      <w:r>
        <w:rPr>
          <w:rFonts w:ascii="Arial" w:cs="Arial" w:eastAsia="Arial" w:hAnsi="Arial"/>
          <w:sz w:val="20"/>
          <w:szCs w:val="20"/>
          <w:color w:val="auto"/>
        </w:rPr>
        <w:t>any action necessary to comply with and ensure compliance with Environmental Laws; and/or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1" w:lineRule="exact"/>
        <w:rPr>
          <w:rFonts w:ascii="Arial" w:cs="Arial" w:eastAsia="Arial" w:hAnsi="Arial"/>
          <w:sz w:val="20"/>
          <w:szCs w:val="20"/>
          <w:color w:val="auto"/>
        </w:rPr>
      </w:pPr>
    </w:p>
    <w:p>
      <w:pPr>
        <w:ind w:left="4920" w:hanging="106"/>
        <w:spacing w:after="0"/>
        <w:tabs>
          <w:tab w:leader="none" w:pos="492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82" w:name="page483"/>
    <w:bookmarkEnd w:id="482"/>
    <w:p>
      <w:pPr>
        <w:jc w:val="both"/>
        <w:ind w:left="1000" w:hanging="497"/>
        <w:spacing w:after="0" w:line="250" w:lineRule="auto"/>
        <w:tabs>
          <w:tab w:leader="none" w:pos="100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taking all actions to protect against and/or respond to, remove, remediate, investigate or monitor the release or threatened release of Materials of Environmental Concern at, on, in, about, under, within or near the air, soil, surface water, groundwater, or soil vapour,</w:t>
      </w:r>
    </w:p>
    <w:p>
      <w:pPr>
        <w:spacing w:after="0" w:line="78" w:lineRule="exact"/>
        <w:rPr>
          <w:sz w:val="20"/>
          <w:szCs w:val="20"/>
          <w:color w:val="auto"/>
        </w:rPr>
      </w:pPr>
    </w:p>
    <w:p>
      <w:pPr>
        <w:jc w:val="both"/>
        <w:ind w:left="500"/>
        <w:spacing w:after="0" w:line="246" w:lineRule="auto"/>
        <w:rPr>
          <w:sz w:val="20"/>
          <w:szCs w:val="20"/>
          <w:color w:val="auto"/>
        </w:rPr>
      </w:pPr>
      <w:r>
        <w:rPr>
          <w:rFonts w:ascii="Arial" w:cs="Arial" w:eastAsia="Arial" w:hAnsi="Arial"/>
          <w:sz w:val="20"/>
          <w:szCs w:val="20"/>
          <w:color w:val="auto"/>
        </w:rPr>
        <w:t xml:space="preserve">including a clean-up </w:t>
      </w:r>
      <w:r>
        <w:rPr>
          <w:rFonts w:ascii="Arial" w:cs="Arial" w:eastAsia="Arial" w:hAnsi="Arial"/>
          <w:sz w:val="20"/>
          <w:szCs w:val="20"/>
          <w:i w:val="1"/>
          <w:iCs w:val="1"/>
          <w:color w:val="auto"/>
        </w:rPr>
        <w:t>(Sanierung)</w:t>
      </w:r>
      <w:r>
        <w:rPr>
          <w:rFonts w:ascii="Arial" w:cs="Arial" w:eastAsia="Arial" w:hAnsi="Arial"/>
          <w:sz w:val="20"/>
          <w:szCs w:val="20"/>
          <w:color w:val="auto"/>
        </w:rPr>
        <w:t xml:space="preserve"> within the meaning of Section 2 (7) BBodSchG, protective containment measures (</w:t>
      </w:r>
      <w:r>
        <w:rPr>
          <w:rFonts w:ascii="Arial" w:cs="Arial" w:eastAsia="Arial" w:hAnsi="Arial"/>
          <w:sz w:val="20"/>
          <w:szCs w:val="20"/>
          <w:i w:val="1"/>
          <w:iCs w:val="1"/>
          <w:color w:val="auto"/>
        </w:rPr>
        <w:t>Schutz- und Beschränkungsmaßnahmen</w:t>
      </w:r>
      <w:r>
        <w:rPr>
          <w:rFonts w:ascii="Arial" w:cs="Arial" w:eastAsia="Arial" w:hAnsi="Arial"/>
          <w:sz w:val="20"/>
          <w:szCs w:val="20"/>
          <w:color w:val="auto"/>
        </w:rPr>
        <w:t>) pursuant to Section 2 (8) BBodSchG and measures to eliminate, reduce or otherwise remedy an imminent endangerment of health or life (</w:t>
      </w:r>
      <w:r>
        <w:rPr>
          <w:rFonts w:ascii="Arial" w:cs="Arial" w:eastAsia="Arial" w:hAnsi="Arial"/>
          <w:sz w:val="20"/>
          <w:szCs w:val="20"/>
          <w:i w:val="1"/>
          <w:iCs w:val="1"/>
          <w:color w:val="auto"/>
        </w:rPr>
        <w:t>Maßnahmen zur Abwehr von unmittelbaren Gefahren</w:t>
      </w:r>
      <w:r>
        <w:rPr>
          <w:rFonts w:ascii="Arial" w:cs="Arial" w:eastAsia="Arial" w:hAnsi="Arial"/>
          <w:sz w:val="20"/>
          <w:szCs w:val="20"/>
          <w:color w:val="auto"/>
        </w:rPr>
        <w:t xml:space="preserve"> </w:t>
      </w:r>
      <w:r>
        <w:rPr>
          <w:rFonts w:ascii="Arial" w:cs="Arial" w:eastAsia="Arial" w:hAnsi="Arial"/>
          <w:sz w:val="20"/>
          <w:szCs w:val="20"/>
          <w:i w:val="1"/>
          <w:iCs w:val="1"/>
          <w:color w:val="auto"/>
        </w:rPr>
        <w:t>für Leib und Leben</w:t>
      </w:r>
      <w:r>
        <w:rPr>
          <w:rFonts w:ascii="Arial" w:cs="Arial" w:eastAsia="Arial" w:hAnsi="Arial"/>
          <w:sz w:val="20"/>
          <w:szCs w:val="20"/>
          <w:color w:val="auto"/>
        </w:rPr>
        <w:t>).</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Responsibility</w:t>
      </w:r>
      <w:r>
        <w:rPr>
          <w:rFonts w:ascii="Arial" w:cs="Arial" w:eastAsia="Arial" w:hAnsi="Arial"/>
          <w:sz w:val="20"/>
          <w:szCs w:val="20"/>
          <w:color w:val="auto"/>
        </w:rPr>
        <w:t>” means any claim, demand, litigation, proceeding, action, cause of action, suit, loss, judgment, cost, expense (including attorneys’ and experts’ fees), damage, punitive damage, fine, penalty, liability, criminal liability, strict liability, governmental or private investigation, notification of status of being potentially responsible for Environmental Response, consent or administrative order, agreement, or decree, Lien, personal injury or death of any person, or property damage, (including diminution in value) whether threatened, sought, brought or imposed, that is related to:</w:t>
      </w:r>
    </w:p>
    <w:p>
      <w:pPr>
        <w:spacing w:after="0" w:line="82" w:lineRule="exact"/>
        <w:rPr>
          <w:sz w:val="20"/>
          <w:szCs w:val="20"/>
          <w:color w:val="auto"/>
        </w:rPr>
      </w:pPr>
    </w:p>
    <w:p>
      <w:pPr>
        <w:ind w:left="1000" w:hanging="497"/>
        <w:spacing w:after="0" w:line="260" w:lineRule="auto"/>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any violation, potential violation of, actual or potential liability under, or non-compliance with, any Environmental Law,</w:t>
      </w:r>
    </w:p>
    <w:p>
      <w:pPr>
        <w:spacing w:after="0" w:line="68" w:lineRule="exact"/>
        <w:rPr>
          <w:rFonts w:ascii="Arial" w:cs="Arial" w:eastAsia="Arial" w:hAnsi="Arial"/>
          <w:sz w:val="20"/>
          <w:szCs w:val="20"/>
          <w:color w:val="auto"/>
        </w:rPr>
      </w:pPr>
    </w:p>
    <w:p>
      <w:pPr>
        <w:ind w:left="1000" w:hanging="497"/>
        <w:spacing w:after="0"/>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improper use or treatment of wetlands or other protected land or wildlife,</w:t>
      </w:r>
    </w:p>
    <w:p>
      <w:pPr>
        <w:spacing w:after="0" w:line="107" w:lineRule="exact"/>
        <w:rPr>
          <w:rFonts w:ascii="Arial" w:cs="Arial" w:eastAsia="Arial" w:hAnsi="Arial"/>
          <w:sz w:val="20"/>
          <w:szCs w:val="20"/>
          <w:color w:val="auto"/>
        </w:rPr>
      </w:pPr>
    </w:p>
    <w:p>
      <w:pPr>
        <w:ind w:left="1000" w:hanging="497"/>
        <w:spacing w:after="0"/>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noise,</w:t>
      </w:r>
    </w:p>
    <w:p>
      <w:pPr>
        <w:spacing w:after="0" w:line="107" w:lineRule="exact"/>
        <w:rPr>
          <w:rFonts w:ascii="Arial" w:cs="Arial" w:eastAsia="Arial" w:hAnsi="Arial"/>
          <w:sz w:val="20"/>
          <w:szCs w:val="20"/>
          <w:color w:val="auto"/>
        </w:rPr>
      </w:pPr>
    </w:p>
    <w:p>
      <w:pPr>
        <w:ind w:left="1000" w:hanging="497"/>
        <w:spacing w:after="0"/>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radioactive materials (including naturally occurring radioactive materials),</w:t>
      </w:r>
    </w:p>
    <w:p>
      <w:pPr>
        <w:spacing w:after="0" w:line="107" w:lineRule="exact"/>
        <w:rPr>
          <w:rFonts w:ascii="Arial" w:cs="Arial" w:eastAsia="Arial" w:hAnsi="Arial"/>
          <w:sz w:val="20"/>
          <w:szCs w:val="20"/>
          <w:color w:val="auto"/>
        </w:rPr>
      </w:pPr>
    </w:p>
    <w:p>
      <w:pPr>
        <w:ind w:left="1000" w:hanging="497"/>
        <w:spacing w:after="0"/>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explosives,</w:t>
      </w:r>
    </w:p>
    <w:p>
      <w:pPr>
        <w:spacing w:after="0" w:line="107" w:lineRule="exact"/>
        <w:rPr>
          <w:rFonts w:ascii="Arial" w:cs="Arial" w:eastAsia="Arial" w:hAnsi="Arial"/>
          <w:sz w:val="20"/>
          <w:szCs w:val="20"/>
          <w:color w:val="auto"/>
        </w:rPr>
      </w:pPr>
    </w:p>
    <w:p>
      <w:pPr>
        <w:ind w:left="1000" w:right="20" w:hanging="497"/>
        <w:spacing w:after="0" w:line="260" w:lineRule="auto"/>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pollution, contamination, preservation, protection, decontamination, or clean-up of, or Environmental Response to, the air, surface water, groundwater, soil or protected lands,</w:t>
      </w:r>
    </w:p>
    <w:p>
      <w:pPr>
        <w:spacing w:after="0" w:line="68" w:lineRule="exact"/>
        <w:rPr>
          <w:rFonts w:ascii="Arial" w:cs="Arial" w:eastAsia="Arial" w:hAnsi="Arial"/>
          <w:sz w:val="20"/>
          <w:szCs w:val="20"/>
          <w:color w:val="auto"/>
        </w:rPr>
      </w:pPr>
    </w:p>
    <w:p>
      <w:pPr>
        <w:ind w:left="1000" w:hanging="497"/>
        <w:spacing w:after="0" w:line="260" w:lineRule="auto"/>
        <w:tabs>
          <w:tab w:leader="none" w:pos="10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the generation, handling, discharge, release, threatened release, treatment, storage, disposal or transportation of Materials of Environmental Concern,</w:t>
      </w:r>
    </w:p>
    <w:p>
      <w:pPr>
        <w:spacing w:after="0" w:line="69" w:lineRule="exact"/>
        <w:rPr>
          <w:sz w:val="20"/>
          <w:szCs w:val="20"/>
          <w:color w:val="auto"/>
        </w:rPr>
      </w:pPr>
    </w:p>
    <w:p>
      <w:pPr>
        <w:jc w:val="both"/>
        <w:ind w:left="1000" w:hanging="499"/>
        <w:spacing w:after="0" w:line="263" w:lineRule="auto"/>
        <w:tabs>
          <w:tab w:leader="none" w:pos="980" w:val="left"/>
        </w:tabs>
        <w:rPr>
          <w:sz w:val="20"/>
          <w:szCs w:val="20"/>
          <w:color w:val="auto"/>
        </w:rPr>
      </w:pPr>
      <w:r>
        <w:rPr>
          <w:rFonts w:ascii="Arial" w:cs="Arial" w:eastAsia="Arial" w:hAnsi="Arial"/>
          <w:sz w:val="19"/>
          <w:szCs w:val="19"/>
          <w:color w:val="auto"/>
        </w:rPr>
        <w:t>(h)</w:t>
        <w:tab/>
        <w:t>exposure of persons or property to Materials of Environmental Concern and the effects thereof, (i) the release or threatened release (into the indoor or outdoor environment), generation, extraction, mining, beneficiating, manufacture, processing, distribution in commerce, use, transfer, transportation, treatment, storage, or disposal of, or Environmental Response to, Materials of Environmental Concern,</w:t>
      </w:r>
    </w:p>
    <w:p>
      <w:pPr>
        <w:spacing w:after="0" w:line="68" w:lineRule="exact"/>
        <w:rPr>
          <w:sz w:val="20"/>
          <w:szCs w:val="20"/>
          <w:color w:val="auto"/>
        </w:rPr>
      </w:pPr>
    </w:p>
    <w:p>
      <w:pPr>
        <w:ind w:left="1000" w:hanging="497"/>
        <w:spacing w:after="0" w:line="260" w:lineRule="auto"/>
        <w:tabs>
          <w:tab w:leader="none" w:pos="1000" w:val="left"/>
        </w:tabs>
        <w:numPr>
          <w:ilvl w:val="0"/>
          <w:numId w:val="510"/>
        </w:numPr>
        <w:rPr>
          <w:rFonts w:ascii="Arial" w:cs="Arial" w:eastAsia="Arial" w:hAnsi="Arial"/>
          <w:sz w:val="20"/>
          <w:szCs w:val="20"/>
          <w:color w:val="auto"/>
        </w:rPr>
      </w:pPr>
      <w:r>
        <w:rPr>
          <w:rFonts w:ascii="Arial" w:cs="Arial" w:eastAsia="Arial" w:hAnsi="Arial"/>
          <w:sz w:val="20"/>
          <w:szCs w:val="20"/>
          <w:color w:val="auto"/>
        </w:rPr>
        <w:t>injury to, death of or threat to the health or safety of, any person or persons caused directly or indirectly by Materials of Environmental Concern,</w:t>
      </w:r>
    </w:p>
    <w:p>
      <w:pPr>
        <w:spacing w:after="0" w:line="68" w:lineRule="exact"/>
        <w:rPr>
          <w:rFonts w:ascii="Arial" w:cs="Arial" w:eastAsia="Arial" w:hAnsi="Arial"/>
          <w:sz w:val="20"/>
          <w:szCs w:val="20"/>
          <w:color w:val="auto"/>
        </w:rPr>
      </w:pPr>
    </w:p>
    <w:p>
      <w:pPr>
        <w:ind w:left="1000" w:right="20" w:hanging="497"/>
        <w:spacing w:after="0" w:line="287" w:lineRule="auto"/>
        <w:tabs>
          <w:tab w:leader="none" w:pos="1000" w:val="left"/>
        </w:tabs>
        <w:numPr>
          <w:ilvl w:val="0"/>
          <w:numId w:val="510"/>
        </w:numPr>
        <w:rPr>
          <w:rFonts w:ascii="Arial" w:cs="Arial" w:eastAsia="Arial" w:hAnsi="Arial"/>
          <w:sz w:val="19"/>
          <w:szCs w:val="19"/>
          <w:color w:val="auto"/>
        </w:rPr>
      </w:pPr>
      <w:r>
        <w:rPr>
          <w:rFonts w:ascii="Arial" w:cs="Arial" w:eastAsia="Arial" w:hAnsi="Arial"/>
          <w:sz w:val="19"/>
          <w:szCs w:val="19"/>
          <w:color w:val="auto"/>
        </w:rPr>
        <w:t>damage or destruction to real or personal property caused directly or indirectly by Materials of Environmental Concern or the release or threatened release of any Materials of Environmental Concern,</w:t>
      </w:r>
    </w:p>
    <w:p>
      <w:pPr>
        <w:spacing w:after="0" w:line="44" w:lineRule="exact"/>
        <w:rPr>
          <w:rFonts w:ascii="Arial" w:cs="Arial" w:eastAsia="Arial" w:hAnsi="Arial"/>
          <w:sz w:val="19"/>
          <w:szCs w:val="19"/>
          <w:color w:val="auto"/>
        </w:rPr>
      </w:pPr>
    </w:p>
    <w:p>
      <w:pPr>
        <w:ind w:left="1000" w:right="20" w:hanging="497"/>
        <w:spacing w:after="0" w:line="260" w:lineRule="auto"/>
        <w:tabs>
          <w:tab w:leader="none" w:pos="1000" w:val="left"/>
        </w:tabs>
        <w:numPr>
          <w:ilvl w:val="0"/>
          <w:numId w:val="510"/>
        </w:numPr>
        <w:rPr>
          <w:rFonts w:ascii="Arial" w:cs="Arial" w:eastAsia="Arial" w:hAnsi="Arial"/>
          <w:sz w:val="20"/>
          <w:szCs w:val="20"/>
          <w:color w:val="auto"/>
        </w:rPr>
      </w:pPr>
      <w:r>
        <w:rPr>
          <w:rFonts w:ascii="Arial" w:cs="Arial" w:eastAsia="Arial" w:hAnsi="Arial"/>
          <w:sz w:val="20"/>
          <w:szCs w:val="20"/>
          <w:color w:val="auto"/>
        </w:rPr>
        <w:t>community right-to-know and other disclosure laws relating to Materials of Environmental Concern or Environmental Laws, or</w:t>
      </w:r>
    </w:p>
    <w:p>
      <w:pPr>
        <w:spacing w:after="0" w:line="68" w:lineRule="exact"/>
        <w:rPr>
          <w:rFonts w:ascii="Arial" w:cs="Arial" w:eastAsia="Arial" w:hAnsi="Arial"/>
          <w:sz w:val="20"/>
          <w:szCs w:val="20"/>
          <w:color w:val="auto"/>
        </w:rPr>
      </w:pPr>
    </w:p>
    <w:p>
      <w:pPr>
        <w:jc w:val="both"/>
        <w:ind w:left="1000" w:hanging="497"/>
        <w:spacing w:after="0" w:line="243" w:lineRule="auto"/>
        <w:tabs>
          <w:tab w:leader="none" w:pos="1000" w:val="left"/>
        </w:tabs>
        <w:numPr>
          <w:ilvl w:val="0"/>
          <w:numId w:val="510"/>
        </w:numPr>
        <w:rPr>
          <w:rFonts w:ascii="Arial" w:cs="Arial" w:eastAsia="Arial" w:hAnsi="Arial"/>
          <w:sz w:val="20"/>
          <w:szCs w:val="20"/>
          <w:color w:val="auto"/>
        </w:rPr>
      </w:pPr>
      <w:r>
        <w:rPr>
          <w:rFonts w:ascii="Arial" w:cs="Arial" w:eastAsia="Arial" w:hAnsi="Arial"/>
          <w:sz w:val="20"/>
          <w:szCs w:val="20"/>
          <w:color w:val="auto"/>
        </w:rPr>
        <w:t>maintaining, disclosing, or reporting information to Governmental Entities or any other third person under any Environmental Law. Further, the term, “Environmental Responsibility,” also includes any liability incurred in connection with any investigation to determine whether Environmental Response is required or for breach or violation of any requirements of Environmental Laws, monitoring or responding to efforts to require Environmental Response, and any claim based upon any asserted or actual breach or violation of any Environmental Law.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ind w:left="4780" w:hanging="106"/>
        <w:spacing w:after="0"/>
        <w:tabs>
          <w:tab w:leader="none" w:pos="478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878" w:right="999" w:bottom="1440" w:gutter="0" w:footer="0" w:header="0"/>
        </w:sectPr>
      </w:pPr>
    </w:p>
    <w:bookmarkStart w:id="483" w:name="page484"/>
    <w:bookmarkEnd w:id="483"/>
    <w:p>
      <w:pPr>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w:t>
      </w:r>
      <w:r>
        <w:rPr>
          <w:rFonts w:ascii="Arial" w:cs="Arial" w:eastAsia="Arial" w:hAnsi="Arial"/>
          <w:sz w:val="20"/>
          <w:szCs w:val="20"/>
          <w:color w:val="auto"/>
        </w:rPr>
        <w:t>”, “</w:t>
      </w:r>
      <w:r>
        <w:rPr>
          <w:rFonts w:ascii="Arial" w:cs="Arial" w:eastAsia="Arial" w:hAnsi="Arial"/>
          <w:sz w:val="20"/>
          <w:szCs w:val="20"/>
          <w:b w:val="1"/>
          <w:bCs w:val="1"/>
          <w:color w:val="auto"/>
        </w:rPr>
        <w:t>EUR</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member states of the European Union that have adopted the single currency.</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Statements</w:t>
      </w:r>
      <w:r>
        <w:rPr>
          <w:rFonts w:ascii="Arial" w:cs="Arial" w:eastAsia="Arial" w:hAnsi="Arial"/>
          <w:sz w:val="20"/>
          <w:szCs w:val="20"/>
          <w:color w:val="auto"/>
        </w:rPr>
        <w:t>” means all of the following and each of them:</w:t>
      </w:r>
    </w:p>
    <w:p>
      <w:pPr>
        <w:spacing w:after="0" w:line="114" w:lineRule="exact"/>
        <w:rPr>
          <w:sz w:val="20"/>
          <w:szCs w:val="20"/>
          <w:color w:val="auto"/>
        </w:rPr>
      </w:pPr>
    </w:p>
    <w:p>
      <w:pPr>
        <w:ind w:left="1140" w:hanging="497"/>
        <w:spacing w:after="0" w:line="260" w:lineRule="auto"/>
        <w:tabs>
          <w:tab w:leader="none" w:pos="114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the unaudited consolidated annual accounts (</w:t>
      </w:r>
      <w:r>
        <w:rPr>
          <w:rFonts w:ascii="Arial" w:cs="Arial" w:eastAsia="Arial" w:hAnsi="Arial"/>
          <w:sz w:val="20"/>
          <w:szCs w:val="20"/>
          <w:i w:val="1"/>
          <w:iCs w:val="1"/>
          <w:color w:val="auto"/>
        </w:rPr>
        <w:t>Konzernbilanz, Konzern-Gewinn- und Verlustrechnung,</w:t>
      </w:r>
      <w:r>
        <w:rPr>
          <w:rFonts w:ascii="Arial" w:cs="Arial" w:eastAsia="Arial" w:hAnsi="Arial"/>
          <w:sz w:val="20"/>
          <w:szCs w:val="20"/>
          <w:color w:val="auto"/>
        </w:rPr>
        <w:t xml:space="preserve"> </w:t>
      </w:r>
      <w:r>
        <w:rPr>
          <w:rFonts w:ascii="Arial" w:cs="Arial" w:eastAsia="Arial" w:hAnsi="Arial"/>
          <w:sz w:val="20"/>
          <w:szCs w:val="20"/>
          <w:i w:val="1"/>
          <w:iCs w:val="1"/>
          <w:color w:val="auto"/>
        </w:rPr>
        <w:t>Konzernkapitalflussrechnung</w:t>
      </w:r>
      <w:r>
        <w:rPr>
          <w:rFonts w:ascii="Arial" w:cs="Arial" w:eastAsia="Arial" w:hAnsi="Arial"/>
          <w:sz w:val="20"/>
          <w:szCs w:val="20"/>
          <w:color w:val="auto"/>
        </w:rPr>
        <w:t>) of the Company Group as of December 31, 2019;</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the audited annual accounts (</w:t>
      </w:r>
      <w:r>
        <w:rPr>
          <w:rFonts w:ascii="Arial" w:cs="Arial" w:eastAsia="Arial" w:hAnsi="Arial"/>
          <w:sz w:val="20"/>
          <w:szCs w:val="20"/>
          <w:i w:val="1"/>
          <w:iCs w:val="1"/>
          <w:color w:val="auto"/>
        </w:rPr>
        <w:t>Jahresabschluss</w:t>
      </w:r>
      <w:r>
        <w:rPr>
          <w:rFonts w:ascii="Arial" w:cs="Arial" w:eastAsia="Arial" w:hAnsi="Arial"/>
          <w:sz w:val="20"/>
          <w:szCs w:val="20"/>
          <w:color w:val="auto"/>
        </w:rPr>
        <w:t>) of the Company as of December 31, 2019;</w:t>
      </w:r>
    </w:p>
    <w:p>
      <w:pPr>
        <w:spacing w:after="0" w:line="107"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for the Subsidiary, the unaudited balance sheet as of December 31, 2019, and statements of income and cash flows for the 12-month period then ended;</w:t>
      </w:r>
    </w:p>
    <w:p>
      <w:pPr>
        <w:spacing w:after="0" w:line="68" w:lineRule="exact"/>
        <w:rPr>
          <w:rFonts w:ascii="Arial" w:cs="Arial" w:eastAsia="Arial" w:hAnsi="Arial"/>
          <w:sz w:val="20"/>
          <w:szCs w:val="20"/>
          <w:color w:val="auto"/>
        </w:rPr>
      </w:pPr>
    </w:p>
    <w:p>
      <w:pPr>
        <w:jc w:val="both"/>
        <w:ind w:left="1140" w:hanging="497"/>
        <w:spacing w:after="0" w:line="250" w:lineRule="auto"/>
        <w:tabs>
          <w:tab w:leader="none" w:pos="114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the consolidated interim accounts (</w:t>
      </w:r>
      <w:r>
        <w:rPr>
          <w:rFonts w:ascii="Arial" w:cs="Arial" w:eastAsia="Arial" w:hAnsi="Arial"/>
          <w:sz w:val="20"/>
          <w:szCs w:val="20"/>
          <w:i w:val="1"/>
          <w:iCs w:val="1"/>
          <w:color w:val="auto"/>
        </w:rPr>
        <w:t>Konzernzwischenbilanz, Konzern-Zwischengewinn- und Verlustrechnung,</w:t>
      </w:r>
      <w:r>
        <w:rPr>
          <w:rFonts w:ascii="Arial" w:cs="Arial" w:eastAsia="Arial" w:hAnsi="Arial"/>
          <w:sz w:val="20"/>
          <w:szCs w:val="20"/>
          <w:color w:val="auto"/>
        </w:rPr>
        <w:t xml:space="preserve"> </w:t>
      </w:r>
      <w:r>
        <w:rPr>
          <w:rFonts w:ascii="Arial" w:cs="Arial" w:eastAsia="Arial" w:hAnsi="Arial"/>
          <w:sz w:val="20"/>
          <w:szCs w:val="20"/>
          <w:i w:val="1"/>
          <w:iCs w:val="1"/>
          <w:color w:val="auto"/>
        </w:rPr>
        <w:t>Konzernzwischenkapitalflussrechnung</w:t>
      </w:r>
      <w:r>
        <w:rPr>
          <w:rFonts w:ascii="Arial" w:cs="Arial" w:eastAsia="Arial" w:hAnsi="Arial"/>
          <w:sz w:val="20"/>
          <w:szCs w:val="20"/>
          <w:color w:val="auto"/>
        </w:rPr>
        <w:t>) of the Company Group prepared under Locked Box Date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but without notes (</w:t>
      </w:r>
      <w:r>
        <w:rPr>
          <w:rFonts w:ascii="Arial" w:cs="Arial" w:eastAsia="Arial" w:hAnsi="Arial"/>
          <w:sz w:val="20"/>
          <w:szCs w:val="20"/>
          <w:i w:val="1"/>
          <w:iCs w:val="1"/>
          <w:color w:val="auto"/>
        </w:rPr>
        <w:t>Anhang</w:t>
      </w:r>
      <w:r>
        <w:rPr>
          <w:rFonts w:ascii="Arial" w:cs="Arial" w:eastAsia="Arial" w:hAnsi="Arial"/>
          <w:sz w:val="20"/>
          <w:szCs w:val="20"/>
          <w:color w:val="auto"/>
        </w:rPr>
        <w:t>) to such accounts;</w:t>
      </w:r>
    </w:p>
    <w:p>
      <w:pPr>
        <w:spacing w:after="0" w:line="77"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the interim accounts of the Company prepared under Locked Box Date Accounts Principles and reviewed in accordance with International Standards on Review Engagements No 2400/2410; and</w:t>
      </w:r>
    </w:p>
    <w:p>
      <w:pPr>
        <w:spacing w:after="0" w:line="68" w:lineRule="exact"/>
        <w:rPr>
          <w:rFonts w:ascii="Arial" w:cs="Arial" w:eastAsia="Arial" w:hAnsi="Arial"/>
          <w:sz w:val="20"/>
          <w:szCs w:val="20"/>
          <w:color w:val="auto"/>
        </w:rPr>
      </w:pPr>
    </w:p>
    <w:p>
      <w:pPr>
        <w:jc w:val="both"/>
        <w:ind w:left="1140" w:hanging="497"/>
        <w:spacing w:after="0" w:line="269" w:lineRule="auto"/>
        <w:tabs>
          <w:tab w:leader="none" w:pos="1140" w:val="left"/>
        </w:tabs>
        <w:numPr>
          <w:ilvl w:val="0"/>
          <w:numId w:val="511"/>
        </w:numPr>
        <w:rPr>
          <w:rFonts w:ascii="Arial" w:cs="Arial" w:eastAsia="Arial" w:hAnsi="Arial"/>
          <w:sz w:val="19"/>
          <w:szCs w:val="19"/>
          <w:color w:val="auto"/>
        </w:rPr>
      </w:pPr>
      <w:r>
        <w:rPr>
          <w:rFonts w:ascii="Arial" w:cs="Arial" w:eastAsia="Arial" w:hAnsi="Arial"/>
          <w:sz w:val="19"/>
          <w:szCs w:val="19"/>
          <w:color w:val="auto"/>
        </w:rPr>
        <w:t>for the Subsidiary, the unaudited balance sheet as of the Locked Box Date and statements of income and cash flows for the period beginning on January 1, 2020 and ending on the Locked Box Date (the financial statements as defined in lit. (d), (e) and (f) together the “</w:t>
      </w:r>
      <w:r>
        <w:rPr>
          <w:rFonts w:ascii="Arial" w:cs="Arial" w:eastAsia="Arial" w:hAnsi="Arial"/>
          <w:sz w:val="19"/>
          <w:szCs w:val="19"/>
          <w:b w:val="1"/>
          <w:bCs w:val="1"/>
          <w:color w:val="auto"/>
        </w:rPr>
        <w:t>Locked Box Accounts</w:t>
      </w:r>
      <w:r>
        <w:rPr>
          <w:rFonts w:ascii="Arial" w:cs="Arial" w:eastAsia="Arial" w:hAnsi="Arial"/>
          <w:sz w:val="19"/>
          <w:szCs w:val="19"/>
          <w:color w:val="auto"/>
        </w:rPr>
        <w:t>”).</w:t>
      </w:r>
    </w:p>
    <w:p>
      <w:pPr>
        <w:spacing w:after="0" w:line="62"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For the avoidance of doubt, the Locked Box Accounts shall reflect as a liability or provision any Taxes of the Group Companies with respect to any Tax period or portion thereof ending on or before the Lockbox Date (or for any Tax period beginning before and ending after the Lockbox Date to the extent allocable to the portion of such period beginning before and ending on the Lockbox Date), or which Taxes relate to an event or transaction occurring on or before the Lockbox Date; unpaid Taxes of any Person (other than a Group Company) for which any Group Company, the Purchaser or its Affiliates is or becomes liable; and unpaid Taxes of any Person (other than a Group Company) as a transferee or successor, by contract, or otherwise, which Taxes relate to an event or transaction occurring on or before the Lockbox Date.</w:t>
      </w:r>
    </w:p>
    <w:p>
      <w:pPr>
        <w:spacing w:after="0" w:line="66"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Seller Warranties</w:t>
      </w:r>
      <w:r>
        <w:rPr>
          <w:rFonts w:ascii="Arial" w:cs="Arial" w:eastAsia="Arial" w:hAnsi="Arial"/>
          <w:sz w:val="20"/>
          <w:szCs w:val="20"/>
          <w:color w:val="auto"/>
        </w:rPr>
        <w:t>” means the Seller Warranties given under Clauses 1 (Organisation), 2 (Capital Share), 3 (Subsidiaries), 32 (Authorisation), and 34 (Ownership of Equity) of Schedule 1.</w:t>
      </w:r>
    </w:p>
    <w:p>
      <w:pPr>
        <w:spacing w:after="0" w:line="55"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(i) with respect to a Group Company which is subject to German law the accounting rules under HGB and the German principles of proper accounting (</w:t>
      </w:r>
      <w:r>
        <w:rPr>
          <w:rFonts w:ascii="Arial" w:cs="Arial" w:eastAsia="Arial" w:hAnsi="Arial"/>
          <w:sz w:val="20"/>
          <w:szCs w:val="20"/>
          <w:i w:val="1"/>
          <w:iCs w:val="1"/>
          <w:color w:val="auto"/>
        </w:rPr>
        <w:t>Grundsätze ordnungsmäßiger Buchführung</w:t>
      </w:r>
      <w:r>
        <w:rPr>
          <w:rFonts w:ascii="Arial" w:cs="Arial" w:eastAsia="Arial" w:hAnsi="Arial"/>
          <w:sz w:val="20"/>
          <w:szCs w:val="20"/>
          <w:color w:val="auto"/>
        </w:rPr>
        <w:t>); (ii) with respect to a Group Company which is subject to other than German law, those generally accepted accounting principles of the country to the laws of which it is subject; in the case of both (i) and (ii) as of the point in time of the accounts to which the term relates in each case.</w:t>
      </w:r>
    </w:p>
    <w:p>
      <w:pPr>
        <w:spacing w:after="0" w:line="77" w:lineRule="exact"/>
        <w:rPr>
          <w:sz w:val="20"/>
          <w:szCs w:val="20"/>
          <w:color w:val="auto"/>
        </w:rPr>
      </w:pPr>
    </w:p>
    <w:p>
      <w:pPr>
        <w:jc w:val="both"/>
        <w:ind w:left="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any federal, state, local, district government of the Applicable Jurisdiction, any political subdivision thereof, or any court, administrative or regulatory agency, department, institute, instrumentality, body or commission or other governmental authority or agency (whether executive, legislative or judicial).</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 means a company, regardless of its legal form, of the Company Group.</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Debt</w:t>
      </w:r>
      <w:r>
        <w:rPr>
          <w:rFonts w:ascii="Arial" w:cs="Arial" w:eastAsia="Arial" w:hAnsi="Arial"/>
          <w:sz w:val="20"/>
          <w:szCs w:val="20"/>
          <w:color w:val="auto"/>
        </w:rPr>
        <w:t>” means all indebtedness of the Group Companies with respect to borrowed money, including loans (including, for the avoidance of doubt, the Lockman Outstanding), deferred consideration, debts, 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84" w:name="page485"/>
    <w:bookmarkEnd w:id="484"/>
    <w:p>
      <w:pPr>
        <w:jc w:val="both"/>
        <w:spacing w:after="0" w:line="257" w:lineRule="auto"/>
        <w:rPr>
          <w:sz w:val="20"/>
          <w:szCs w:val="20"/>
          <w:color w:val="auto"/>
        </w:rPr>
      </w:pPr>
      <w:r>
        <w:rPr>
          <w:rFonts w:ascii="Arial" w:cs="Arial" w:eastAsia="Arial" w:hAnsi="Arial"/>
          <w:sz w:val="19"/>
          <w:szCs w:val="19"/>
          <w:color w:val="auto"/>
        </w:rPr>
        <w:t>liabilities under acceptances, credit cards, monies due under capitalized leases or financial leases (but excluding operating leases) as defined in GAAP, or for the deferred purchase price of property or services for which the Group Companies are liable, contingently or otherwise as obligor, guarantor, or otherwise, or in respect of which a Group Company otherwise assures against loss, including but not limited to bank debt, bank fees, Seller debt (including declared but unpaid dividends) and vendor debt, including, in each case above, any interest accrued thereon and prepayment or similar penalties and expenses which would be payable if such liability were paid in full as of the Closing Date. For the avoidance of doubt, pension liabilities are not included in Group Debt.</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Revenues</w:t>
      </w:r>
      <w:r>
        <w:rPr>
          <w:rFonts w:ascii="Arial" w:cs="Arial" w:eastAsia="Arial" w:hAnsi="Arial"/>
          <w:sz w:val="18"/>
          <w:szCs w:val="18"/>
          <w:color w:val="auto"/>
        </w:rPr>
        <w:t>” means the revenues from operations (</w:t>
      </w:r>
      <w:r>
        <w:rPr>
          <w:rFonts w:ascii="Arial" w:cs="Arial" w:eastAsia="Arial" w:hAnsi="Arial"/>
          <w:sz w:val="18"/>
          <w:szCs w:val="18"/>
          <w:i w:val="1"/>
          <w:iCs w:val="1"/>
          <w:color w:val="auto"/>
        </w:rPr>
        <w:t>Umsatzerlöse</w:t>
      </w:r>
      <w:r>
        <w:rPr>
          <w:rFonts w:ascii="Arial" w:cs="Arial" w:eastAsia="Arial" w:hAnsi="Arial"/>
          <w:sz w:val="18"/>
          <w:szCs w:val="18"/>
          <w:color w:val="auto"/>
        </w:rPr>
        <w:t>) of the Company Group within the meaning of Section 275 para. 2 no. 1 HGB. In the event that any products or services of the Company should be sold to customers through the Purchaser or an Affililate of the Purchaser other than a Group Company (also in case the Subsidiary should be merged into the Purchaser or such Affiliate) (a “</w:t>
      </w:r>
      <w:r>
        <w:rPr>
          <w:rFonts w:ascii="Arial" w:cs="Arial" w:eastAsia="Arial" w:hAnsi="Arial"/>
          <w:sz w:val="18"/>
          <w:szCs w:val="18"/>
          <w:b w:val="1"/>
          <w:bCs w:val="1"/>
          <w:color w:val="auto"/>
        </w:rPr>
        <w:t>selling AV entity</w:t>
      </w:r>
      <w:r>
        <w:rPr>
          <w:rFonts w:ascii="Arial" w:cs="Arial" w:eastAsia="Arial" w:hAnsi="Arial"/>
          <w:sz w:val="18"/>
          <w:szCs w:val="18"/>
          <w:color w:val="auto"/>
        </w:rPr>
        <w:t>”), the amount of the relevant revenues shall be calculated for purposes of determining Group Revenues by the amount payable by the customer to such selling AV entity in application of the bookkeeping rules which would apply if the sale had been made by the Company itself.</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US Military Orders</w:t>
      </w:r>
      <w:r>
        <w:rPr>
          <w:rFonts w:ascii="Arial" w:cs="Arial" w:eastAsia="Arial" w:hAnsi="Arial"/>
          <w:sz w:val="19"/>
          <w:szCs w:val="19"/>
          <w:color w:val="auto"/>
        </w:rPr>
        <w:t>” means the funded value of production or delivery orders issued and not cancelled (i) during the Earn Out Period; or (ii) resulting from a bid on the U.S. Air Force Solicitation after the Signing Date until the end of the Earn Out Period; in all cases to a Group Company by the Department of Defense of the U.S. Government or any of its agencies (the “</w:t>
      </w:r>
      <w:r>
        <w:rPr>
          <w:rFonts w:ascii="Arial" w:cs="Arial" w:eastAsia="Arial" w:hAnsi="Arial"/>
          <w:sz w:val="19"/>
          <w:szCs w:val="19"/>
          <w:b w:val="1"/>
          <w:bCs w:val="1"/>
          <w:color w:val="auto"/>
        </w:rPr>
        <w:t>DoD</w:t>
      </w:r>
      <w:r>
        <w:rPr>
          <w:rFonts w:ascii="Arial" w:cs="Arial" w:eastAsia="Arial" w:hAnsi="Arial"/>
          <w:sz w:val="19"/>
          <w:szCs w:val="19"/>
          <w:color w:val="auto"/>
        </w:rPr>
        <w:t xml:space="preserve">”) or by a higher-tier contractor with which any of the Group Companies has entered into a subcontract and the ultimate end user under such subcontract is the DoD, in each case irrespective of the time of delivery or payment therefor but reduced by (i) sales taxes and (ii) custom duties, where funded means the contracting officer has issued contractually binding documents making funds available on the contract for performance during the Earn Out Period. The last sentence of the definition of Group Revenues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65" w:lineRule="exact"/>
        <w:rPr>
          <w:sz w:val="20"/>
          <w:szCs w:val="20"/>
          <w:color w:val="auto"/>
        </w:rPr>
      </w:pPr>
    </w:p>
    <w:p>
      <w:pPr>
        <w:jc w:val="both"/>
        <w:ind w:lef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waste, pollutant, contaminant, hazardous substance, toxic, ignitable, reactive or corrosive substance, hazardous waste, special waste, industrial substance, by-product, process intermediate product or waste, asbestos or asbestos-containing materials, polychlorinated biphenyls, lead-based paint, mould that would require remediation under Environmental Laws, radon, petroleum or petroleum-derived substance or waste, chemical liquids or solids, liquid or gaseous products, or any constituent of any such substance or waste, the management, use, handling or disposal of which is in any way governed by or subject to any applicable Environmental Law, including dangerous substances as defined in Article 2 (1) and (2) of the European Community Council Directive 67/548 EEC.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HGB</w:t>
      </w:r>
      <w:r>
        <w:rPr>
          <w:rFonts w:ascii="Arial" w:cs="Arial" w:eastAsia="Arial" w:hAnsi="Arial"/>
          <w:sz w:val="20"/>
          <w:szCs w:val="20"/>
          <w:color w:val="auto"/>
        </w:rPr>
        <w:t>” means the German Commercial Code (</w:t>
      </w:r>
      <w:r>
        <w:rPr>
          <w:rFonts w:ascii="Arial" w:cs="Arial" w:eastAsia="Arial" w:hAnsi="Arial"/>
          <w:sz w:val="20"/>
          <w:szCs w:val="20"/>
          <w:i w:val="1"/>
          <w:iCs w:val="1"/>
          <w:color w:val="auto"/>
        </w:rPr>
        <w:t>Handelsgesetzbuch</w:t>
      </w:r>
      <w:r>
        <w:rPr>
          <w:rFonts w:ascii="Arial" w:cs="Arial" w:eastAsia="Arial" w:hAnsi="Arial"/>
          <w:sz w:val="20"/>
          <w:szCs w:val="20"/>
          <w:color w:val="auto"/>
        </w:rPr>
        <w:t>).</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Party</w:t>
      </w:r>
      <w:r>
        <w:rPr>
          <w:rFonts w:ascii="Arial" w:cs="Arial" w:eastAsia="Arial" w:hAnsi="Arial"/>
          <w:sz w:val="20"/>
          <w:szCs w:val="20"/>
          <w:color w:val="auto"/>
        </w:rPr>
        <w:t>” means a Purchaser Indemnified Party or a Seller Indemnified Party, as applicable.</w:t>
      </w:r>
    </w:p>
    <w:p>
      <w:pPr>
        <w:spacing w:after="0" w:line="108" w:lineRule="exact"/>
        <w:rPr>
          <w:sz w:val="20"/>
          <w:szCs w:val="20"/>
          <w:color w:val="auto"/>
        </w:rPr>
      </w:pPr>
    </w:p>
    <w:p>
      <w:pPr>
        <w:ind w:left="1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any or all of the following and all intellectual property and proprietary rights, registered or unregistered, arising out of or associated therewith:</w:t>
      </w:r>
    </w:p>
    <w:p>
      <w:pPr>
        <w:spacing w:after="0" w:line="61" w:lineRule="exact"/>
        <w:rPr>
          <w:sz w:val="20"/>
          <w:szCs w:val="20"/>
          <w:color w:val="auto"/>
        </w:rPr>
      </w:pPr>
    </w:p>
    <w:p>
      <w:pPr>
        <w:ind w:left="1140" w:hanging="497"/>
        <w:spacing w:after="0" w:line="287" w:lineRule="auto"/>
        <w:tabs>
          <w:tab w:leader="none" w:pos="1140" w:val="left"/>
        </w:tabs>
        <w:numPr>
          <w:ilvl w:val="0"/>
          <w:numId w:val="512"/>
        </w:numPr>
        <w:rPr>
          <w:rFonts w:ascii="Arial" w:cs="Arial" w:eastAsia="Arial" w:hAnsi="Arial"/>
          <w:sz w:val="19"/>
          <w:szCs w:val="19"/>
          <w:color w:val="auto"/>
        </w:rPr>
      </w:pPr>
      <w:r>
        <w:rPr>
          <w:rFonts w:ascii="Arial" w:cs="Arial" w:eastAsia="Arial" w:hAnsi="Arial"/>
          <w:sz w:val="19"/>
          <w:szCs w:val="19"/>
          <w:color w:val="auto"/>
        </w:rPr>
        <w:t>all patents and applications therefor and all reissues, divisions, renewals, extensions, re-examinations, revisions, provisionals, continuations and continuations-in-part thereof, and other patent rights;</w:t>
      </w:r>
    </w:p>
    <w:p>
      <w:pPr>
        <w:spacing w:after="0" w:line="44" w:lineRule="exact"/>
        <w:rPr>
          <w:rFonts w:ascii="Arial" w:cs="Arial" w:eastAsia="Arial" w:hAnsi="Arial"/>
          <w:sz w:val="19"/>
          <w:szCs w:val="19"/>
          <w:color w:val="auto"/>
        </w:rPr>
      </w:pPr>
    </w:p>
    <w:p>
      <w:pPr>
        <w:jc w:val="both"/>
        <w:ind w:left="1140" w:hanging="497"/>
        <w:spacing w:after="0" w:line="243" w:lineRule="auto"/>
        <w:tabs>
          <w:tab w:leader="none" w:pos="1140" w:val="left"/>
        </w:tabs>
        <w:numPr>
          <w:ilvl w:val="0"/>
          <w:numId w:val="512"/>
        </w:numPr>
        <w:rPr>
          <w:rFonts w:ascii="Arial" w:cs="Arial" w:eastAsia="Arial" w:hAnsi="Arial"/>
          <w:sz w:val="20"/>
          <w:szCs w:val="20"/>
          <w:color w:val="auto"/>
        </w:rPr>
      </w:pPr>
      <w:r>
        <w:rPr>
          <w:rFonts w:ascii="Arial" w:cs="Arial" w:eastAsia="Arial" w:hAnsi="Arial"/>
          <w:sz w:val="20"/>
          <w:szCs w:val="20"/>
          <w:color w:val="auto"/>
        </w:rPr>
        <w:t>all inventions (whether patentable or not and whether or not reduced to practice), invention disclosures, improvements, mask works, trade secrets, proprietary information, confidential business information (including ideas, research and development, know-how, technology, technical data and customer lists, inventor notebooks, formulas, compositions, manufacturing and production processes and techniques, technical data, designs, drawings, software, specifications, customer and supplier lists, pricing and cost information, business and marketing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ind w:left="4920" w:hanging="106"/>
        <w:spacing w:after="0"/>
        <w:tabs>
          <w:tab w:leader="none" w:pos="492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485" w:name="page486"/>
    <w:bookmarkEnd w:id="485"/>
    <w:p>
      <w:pPr>
        <w:jc w:val="center"/>
        <w:ind w:right="-89"/>
        <w:spacing w:after="0"/>
        <w:rPr>
          <w:sz w:val="20"/>
          <w:szCs w:val="20"/>
          <w:color w:val="auto"/>
        </w:rPr>
      </w:pPr>
      <w:r>
        <w:rPr>
          <w:rFonts w:ascii="Arial" w:cs="Arial" w:eastAsia="Arial" w:hAnsi="Arial"/>
          <w:sz w:val="20"/>
          <w:szCs w:val="20"/>
          <w:color w:val="auto"/>
        </w:rPr>
        <w:t>plans and proposals), and all documentation relating to any of the foregoing throughout the world;</w:t>
      </w:r>
    </w:p>
    <w:p>
      <w:pPr>
        <w:spacing w:after="0" w:line="108" w:lineRule="exact"/>
        <w:rPr>
          <w:sz w:val="20"/>
          <w:szCs w:val="20"/>
          <w:color w:val="auto"/>
        </w:rPr>
      </w:pPr>
    </w:p>
    <w:p>
      <w:pPr>
        <w:ind w:left="1150" w:right="20" w:hanging="497"/>
        <w:spacing w:after="0" w:line="260" w:lineRule="auto"/>
        <w:tabs>
          <w:tab w:leader="none" w:pos="115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all works of authorship (whether copyrightable or not), all copyrights, copyright registrations and applications therefor, and all other rights corresponding thereto throughout the world;</w:t>
      </w:r>
    </w:p>
    <w:p>
      <w:pPr>
        <w:spacing w:after="0" w:line="68" w:lineRule="exact"/>
        <w:rPr>
          <w:rFonts w:ascii="Arial" w:cs="Arial" w:eastAsia="Arial" w:hAnsi="Arial"/>
          <w:sz w:val="20"/>
          <w:szCs w:val="20"/>
          <w:color w:val="auto"/>
        </w:rPr>
      </w:pPr>
    </w:p>
    <w:p>
      <w:pPr>
        <w:ind w:left="1150" w:hanging="497"/>
        <w:spacing w:after="0"/>
        <w:tabs>
          <w:tab w:leader="none" w:pos="115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all industrial designs and any registrations and applications therefor throughout the world;</w:t>
      </w:r>
    </w:p>
    <w:p>
      <w:pPr>
        <w:spacing w:after="0" w:line="107" w:lineRule="exact"/>
        <w:rPr>
          <w:rFonts w:ascii="Arial" w:cs="Arial" w:eastAsia="Arial" w:hAnsi="Arial"/>
          <w:sz w:val="20"/>
          <w:szCs w:val="20"/>
          <w:color w:val="auto"/>
        </w:rPr>
      </w:pPr>
    </w:p>
    <w:p>
      <w:pPr>
        <w:jc w:val="both"/>
        <w:ind w:left="1150" w:right="20" w:hanging="497"/>
        <w:spacing w:after="0" w:line="250" w:lineRule="auto"/>
        <w:tabs>
          <w:tab w:leader="none" w:pos="115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all internet uniform resource locators, domain names, trade names, logos, slogans, designs, trade dress, common law trademarks and service marks, trademark and service mark and trade dress registrations and applications therefor throughout the world;</w:t>
      </w:r>
    </w:p>
    <w:p>
      <w:pPr>
        <w:spacing w:after="0" w:line="77" w:lineRule="exact"/>
        <w:rPr>
          <w:rFonts w:ascii="Arial" w:cs="Arial" w:eastAsia="Arial" w:hAnsi="Arial"/>
          <w:sz w:val="20"/>
          <w:szCs w:val="20"/>
          <w:color w:val="auto"/>
        </w:rPr>
      </w:pPr>
    </w:p>
    <w:p>
      <w:pPr>
        <w:ind w:left="1150" w:hanging="497"/>
        <w:spacing w:after="0"/>
        <w:tabs>
          <w:tab w:leader="none" w:pos="115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all databases and data collections and all rights therein throughout the world;</w:t>
      </w:r>
    </w:p>
    <w:p>
      <w:pPr>
        <w:spacing w:after="0" w:line="107" w:lineRule="exact"/>
        <w:rPr>
          <w:rFonts w:ascii="Arial" w:cs="Arial" w:eastAsia="Arial" w:hAnsi="Arial"/>
          <w:sz w:val="20"/>
          <w:szCs w:val="20"/>
          <w:color w:val="auto"/>
        </w:rPr>
      </w:pPr>
    </w:p>
    <w:p>
      <w:pPr>
        <w:ind w:left="1150" w:hanging="497"/>
        <w:spacing w:after="0"/>
        <w:tabs>
          <w:tab w:leader="none" w:pos="115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all moral and economic rights of authors and inventors, however denominated, throughout the world; and</w:t>
      </w:r>
    </w:p>
    <w:p>
      <w:pPr>
        <w:spacing w:after="0" w:line="130" w:lineRule="exact"/>
        <w:rPr>
          <w:rFonts w:ascii="Arial" w:cs="Arial" w:eastAsia="Arial" w:hAnsi="Arial"/>
          <w:sz w:val="18"/>
          <w:szCs w:val="18"/>
          <w:color w:val="auto"/>
        </w:rPr>
      </w:pPr>
    </w:p>
    <w:p>
      <w:pPr>
        <w:ind w:left="1150" w:hanging="497"/>
        <w:spacing w:after="0"/>
        <w:tabs>
          <w:tab w:leader="none" w:pos="115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any similar or equivalent rights to any of the foregoing anywhere in the world.</w:t>
      </w:r>
    </w:p>
    <w:p>
      <w:pPr>
        <w:spacing w:after="0" w:line="102" w:lineRule="exact"/>
        <w:rPr>
          <w:sz w:val="20"/>
          <w:szCs w:val="20"/>
          <w:color w:val="auto"/>
        </w:rPr>
      </w:pPr>
    </w:p>
    <w:p>
      <w:pPr>
        <w:ind w:left="15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with respect to the Company Group and the Seller means</w:t>
      </w:r>
    </w:p>
    <w:p>
      <w:pPr>
        <w:spacing w:after="0" w:line="114" w:lineRule="exact"/>
        <w:rPr>
          <w:sz w:val="20"/>
          <w:szCs w:val="20"/>
          <w:color w:val="auto"/>
        </w:rPr>
      </w:pPr>
    </w:p>
    <w:p>
      <w:pPr>
        <w:jc w:val="both"/>
        <w:ind w:left="1150" w:hanging="497"/>
        <w:spacing w:after="0" w:line="250" w:lineRule="auto"/>
        <w:tabs>
          <w:tab w:leader="none" w:pos="115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all facts that are positively known (</w:t>
      </w:r>
      <w:r>
        <w:rPr>
          <w:rFonts w:ascii="Arial" w:cs="Arial" w:eastAsia="Arial" w:hAnsi="Arial"/>
          <w:sz w:val="20"/>
          <w:szCs w:val="20"/>
          <w:i w:val="1"/>
          <w:iCs w:val="1"/>
          <w:color w:val="auto"/>
        </w:rPr>
        <w:t>positive Kenntnis</w:t>
      </w:r>
      <w:r>
        <w:rPr>
          <w:rFonts w:ascii="Arial" w:cs="Arial" w:eastAsia="Arial" w:hAnsi="Arial"/>
          <w:sz w:val="20"/>
          <w:szCs w:val="20"/>
          <w:color w:val="auto"/>
        </w:rPr>
        <w:t xml:space="preserve">) by any Officer or Director of a Group Company or of the Seller or by any Shareholder or by those additional individuals listed on </w:t>
      </w:r>
      <w:r>
        <w:rPr>
          <w:rFonts w:ascii="Arial" w:cs="Arial" w:eastAsia="Arial" w:hAnsi="Arial"/>
          <w:sz w:val="20"/>
          <w:szCs w:val="20"/>
          <w:u w:val="single" w:color="auto"/>
          <w:color w:val="auto"/>
        </w:rPr>
        <w:t>Appendix 1.1(b)</w:t>
      </w:r>
      <w:r>
        <w:rPr>
          <w:rFonts w:ascii="Arial" w:cs="Arial" w:eastAsia="Arial" w:hAnsi="Arial"/>
          <w:sz w:val="20"/>
          <w:szCs w:val="20"/>
          <w:color w:val="auto"/>
        </w:rPr>
        <w:t xml:space="preserve"> on the date hereof with respect to the matters at hand; and</w:t>
      </w:r>
    </w:p>
    <w:p>
      <w:pPr>
        <w:spacing w:after="0" w:line="77" w:lineRule="exact"/>
        <w:rPr>
          <w:rFonts w:ascii="Arial" w:cs="Arial" w:eastAsia="Arial" w:hAnsi="Arial"/>
          <w:sz w:val="20"/>
          <w:szCs w:val="20"/>
          <w:color w:val="auto"/>
        </w:rPr>
      </w:pPr>
    </w:p>
    <w:p>
      <w:pPr>
        <w:ind w:left="1150" w:right="20" w:hanging="497"/>
        <w:spacing w:after="0" w:line="260" w:lineRule="auto"/>
        <w:tabs>
          <w:tab w:leader="none" w:pos="115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all facts that any of the foregoing Persons should have known on the date hereof with respect to the matters at hand if such Person had made due inquiry and exercised reasonable diligence.</w:t>
      </w:r>
    </w:p>
    <w:p>
      <w:pPr>
        <w:spacing w:after="0" w:line="63" w:lineRule="exact"/>
        <w:rPr>
          <w:sz w:val="20"/>
          <w:szCs w:val="20"/>
          <w:color w:val="auto"/>
        </w:rPr>
      </w:pPr>
    </w:p>
    <w:p>
      <w:pPr>
        <w:jc w:val="both"/>
        <w:ind w:left="3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Labour Laws</w:t>
      </w:r>
      <w:r>
        <w:rPr>
          <w:rFonts w:ascii="Arial" w:cs="Arial" w:eastAsia="Arial" w:hAnsi="Arial"/>
          <w:sz w:val="20"/>
          <w:szCs w:val="20"/>
          <w:color w:val="auto"/>
        </w:rPr>
        <w:t>” means all labour law rules (</w:t>
      </w:r>
      <w:r>
        <w:rPr>
          <w:rFonts w:ascii="Arial" w:cs="Arial" w:eastAsia="Arial" w:hAnsi="Arial"/>
          <w:sz w:val="20"/>
          <w:szCs w:val="20"/>
          <w:i w:val="1"/>
          <w:iCs w:val="1"/>
          <w:color w:val="auto"/>
        </w:rPr>
        <w:t>arbeitsrechtliche Normen</w:t>
      </w:r>
      <w:r>
        <w:rPr>
          <w:rFonts w:ascii="Arial" w:cs="Arial" w:eastAsia="Arial" w:hAnsi="Arial"/>
          <w:sz w:val="20"/>
          <w:szCs w:val="20"/>
          <w:color w:val="auto"/>
        </w:rPr>
        <w:t>) and all Laws and contracts, works council agreements (</w:t>
      </w:r>
      <w:r>
        <w:rPr>
          <w:rFonts w:ascii="Arial" w:cs="Arial" w:eastAsia="Arial" w:hAnsi="Arial"/>
          <w:sz w:val="20"/>
          <w:szCs w:val="20"/>
          <w:i w:val="1"/>
          <w:iCs w:val="1"/>
          <w:color w:val="auto"/>
        </w:rPr>
        <w:t>Betriebsvereinbarungen</w:t>
      </w:r>
      <w:r>
        <w:rPr>
          <w:rFonts w:ascii="Arial" w:cs="Arial" w:eastAsia="Arial" w:hAnsi="Arial"/>
          <w:sz w:val="20"/>
          <w:szCs w:val="20"/>
          <w:color w:val="auto"/>
        </w:rPr>
        <w:t>), collective labour agreements (</w:t>
      </w:r>
      <w:r>
        <w:rPr>
          <w:rFonts w:ascii="Arial" w:cs="Arial" w:eastAsia="Arial" w:hAnsi="Arial"/>
          <w:sz w:val="20"/>
          <w:szCs w:val="20"/>
          <w:i w:val="1"/>
          <w:iCs w:val="1"/>
          <w:color w:val="auto"/>
        </w:rPr>
        <w:t>Tarifvereinbarungen</w:t>
      </w:r>
      <w:r>
        <w:rPr>
          <w:rFonts w:ascii="Arial" w:cs="Arial" w:eastAsia="Arial" w:hAnsi="Arial"/>
          <w:sz w:val="20"/>
          <w:szCs w:val="20"/>
          <w:color w:val="auto"/>
        </w:rPr>
        <w:t>) or collective bargaining agreements governing or concerning the legal relations between employer and employees, works constitution (</w:t>
      </w:r>
      <w:r>
        <w:rPr>
          <w:rFonts w:ascii="Arial" w:cs="Arial" w:eastAsia="Arial" w:hAnsi="Arial"/>
          <w:sz w:val="20"/>
          <w:szCs w:val="20"/>
          <w:i w:val="1"/>
          <w:iCs w:val="1"/>
          <w:color w:val="auto"/>
        </w:rPr>
        <w:t>Betriebsverfassung</w:t>
      </w:r>
      <w:r>
        <w:rPr>
          <w:rFonts w:ascii="Arial" w:cs="Arial" w:eastAsia="Arial" w:hAnsi="Arial"/>
          <w:sz w:val="20"/>
          <w:szCs w:val="20"/>
          <w:color w:val="auto"/>
        </w:rPr>
        <w:t>), labour relations, unions and collective bargaining, conditions of employment, employment discrimination and harassment, wages, hours or occupational safety and health.</w:t>
      </w:r>
    </w:p>
    <w:p>
      <w:pPr>
        <w:spacing w:after="0" w:line="77" w:lineRule="exact"/>
        <w:rPr>
          <w:sz w:val="20"/>
          <w:szCs w:val="20"/>
          <w:color w:val="auto"/>
        </w:rPr>
      </w:pPr>
    </w:p>
    <w:p>
      <w:pPr>
        <w:jc w:val="both"/>
        <w:ind w:left="3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all statutes, rules, codes, regulations, restrictions, ordinances, orders, decrees, approvals, directives, judgments, injunctions, writs, awards and decrees of, or issued by, any Governmental Entity, including Anti-Corruption Laws, Environmental Laws and Labour Laws.</w:t>
      </w:r>
    </w:p>
    <w:p>
      <w:pPr>
        <w:spacing w:after="0" w:line="6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Leakage</w:t>
      </w:r>
      <w:r>
        <w:rPr>
          <w:rFonts w:ascii="Arial" w:cs="Arial" w:eastAsia="Arial" w:hAnsi="Arial"/>
          <w:sz w:val="18"/>
          <w:szCs w:val="18"/>
          <w:color w:val="auto"/>
        </w:rPr>
        <w:t xml:space="preserve">” means: (a) any dividend (in cash or in kind) or distribution declared, paid or made (whether actual or deemed) by any Group Company to, or at the direction of, the Seller or any Seller Connected Person; (b) any payments made by any Group Company (or future benefits granted) to (or assets transferred to, or liabilities assumed, indemnified, guaranteed, secured or incurred for the benefit of) the Seller or any Seller Connected Person except for the payment of fixed salary and bonus for 2019 and 2020 up to the agreed maximum amount to each of the Shareholders in his respective capacity as managing director of the Company or President of the Subsidiary as provided for in the relevant existing employment agreement attached in </w:t>
      </w:r>
      <w:r>
        <w:rPr>
          <w:rFonts w:ascii="Arial" w:cs="Arial" w:eastAsia="Arial" w:hAnsi="Arial"/>
          <w:sz w:val="18"/>
          <w:szCs w:val="18"/>
          <w:u w:val="single" w:color="auto"/>
          <w:color w:val="auto"/>
        </w:rPr>
        <w:t>Appendix 1.1.(c)</w:t>
      </w:r>
      <w:r>
        <w:rPr>
          <w:rFonts w:ascii="Arial" w:cs="Arial" w:eastAsia="Arial" w:hAnsi="Arial"/>
          <w:sz w:val="18"/>
          <w:szCs w:val="18"/>
          <w:color w:val="auto"/>
        </w:rPr>
        <w:t>; (c) any payments made or agreed to be made by any Group Company to, or at the direction of or for the benefit of, the Seller or any Seller Connected Person, in respect of any equity securities of any Group Company being issued, redeemed, purchased or repaid, or any other return of capital; (d) the waiver or discount by any Group Company of any amount or obligation owed to any Group Company by the Seller or any Seller Connected Person; (e) the transfer by any Group Company to the Seller or any Seller Connected Person of any assets to the extent that such transfer is at less than fair market value; (f) the payment, or incurrence of any payment obligation therefor, of any bonus or discretionary payment by any Group Company to the Officers or Directors or employees of any Group Company other than</w:t>
      </w:r>
    </w:p>
    <w:p>
      <w:pPr>
        <w:spacing w:after="0" w:line="1" w:lineRule="exact"/>
        <w:rPr>
          <w:sz w:val="20"/>
          <w:szCs w:val="20"/>
          <w:color w:val="auto"/>
        </w:rPr>
      </w:pPr>
    </w:p>
    <w:p>
      <w:pPr>
        <w:jc w:val="both"/>
        <w:ind w:left="10" w:right="20" w:hanging="10"/>
        <w:spacing w:after="0" w:line="260" w:lineRule="auto"/>
        <w:tabs>
          <w:tab w:leader="none" w:pos="314" w:val="left"/>
        </w:tabs>
        <w:numPr>
          <w:ilvl w:val="0"/>
          <w:numId w:val="515"/>
        </w:numPr>
        <w:rPr>
          <w:rFonts w:ascii="Arial" w:cs="Arial" w:eastAsia="Arial" w:hAnsi="Arial"/>
          <w:sz w:val="19"/>
          <w:szCs w:val="19"/>
          <w:color w:val="auto"/>
        </w:rPr>
      </w:pPr>
      <w:r>
        <w:rPr>
          <w:rFonts w:ascii="Arial" w:cs="Arial" w:eastAsia="Arial" w:hAnsi="Arial"/>
          <w:sz w:val="19"/>
          <w:szCs w:val="19"/>
          <w:color w:val="auto"/>
        </w:rPr>
        <w:t>in the Ordinary Course and not in excess of €50,000 in the aggregate to any Person other than the Seller or a Seller Connected Person or (y) to the extent otherwise included in the definition of Change of Control Payments; (g) any increase in the compensation or other benefits payable or provided to any Seller Connected Person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4" w:lineRule="exact"/>
        <w:rPr>
          <w:rFonts w:ascii="Arial" w:cs="Arial" w:eastAsia="Arial" w:hAnsi="Arial"/>
          <w:sz w:val="19"/>
          <w:szCs w:val="19"/>
          <w:color w:val="auto"/>
        </w:rPr>
      </w:pPr>
    </w:p>
    <w:p>
      <w:pPr>
        <w:ind w:left="4890" w:hanging="111"/>
        <w:spacing w:after="0"/>
        <w:tabs>
          <w:tab w:leader="none" w:pos="489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357505</wp:posOffset>
            </wp:positionV>
            <wp:extent cx="629221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30"/>
          </w:cols>
          <w:pgMar w:left="970" w:top="878" w:right="999" w:bottom="1440" w:gutter="0" w:footer="0" w:header="0"/>
        </w:sectPr>
      </w:pPr>
    </w:p>
    <w:bookmarkStart w:id="486" w:name="page487"/>
    <w:bookmarkEnd w:id="486"/>
    <w:p>
      <w:pPr>
        <w:jc w:val="both"/>
        <w:spacing w:after="0" w:line="259" w:lineRule="auto"/>
        <w:rPr>
          <w:sz w:val="20"/>
          <w:szCs w:val="20"/>
          <w:color w:val="auto"/>
        </w:rPr>
      </w:pPr>
      <w:r>
        <w:rPr>
          <w:rFonts w:ascii="Arial" w:cs="Arial" w:eastAsia="Arial" w:hAnsi="Arial"/>
          <w:sz w:val="19"/>
          <w:szCs w:val="19"/>
          <w:color w:val="auto"/>
        </w:rPr>
        <w:t xml:space="preserve">in its capacity (if applicable) as an Officer or Director or employee of a Group Company; (h) any costs incurred by the Company in connection with the negotiation and implementation of the Lockman Repayment Agreement; (i) any agreement or arrangement made or entered into by any Group Company to do or give effect to any matter referred to in (a) to (h) above; or (k) any Taxes which arise by reference to any of the matters in subparagraphs (a) to (i) above, it being understood that with regard to any Tax benefits which arise by reference to any of the matters in subparagraphs (a) to (i) above, Sub-Clause 9.1.1 sentence 3 ii applies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Real Property</w:t>
      </w:r>
      <w:r>
        <w:rPr>
          <w:rFonts w:ascii="Arial" w:cs="Arial" w:eastAsia="Arial" w:hAnsi="Arial"/>
          <w:sz w:val="20"/>
          <w:szCs w:val="20"/>
          <w:color w:val="auto"/>
        </w:rPr>
        <w:t>” means the parcels of real property or parts thereof of which a Group Company is the lessee (together with all fixtures and improvements thereon).</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Legal Dispute</w:t>
      </w:r>
      <w:r>
        <w:rPr>
          <w:rFonts w:ascii="Arial" w:cs="Arial" w:eastAsia="Arial" w:hAnsi="Arial"/>
          <w:sz w:val="20"/>
          <w:szCs w:val="20"/>
          <w:color w:val="auto"/>
        </w:rPr>
        <w:t>” means any action, suit, arbitration or proceeding between or among the Parties and their respective Affiliates arising in connection with any disagreement, dispute, controversy or claim arising out of or relating to this Agreement or any related document.</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Licenses</w:t>
      </w:r>
      <w:r>
        <w:rPr>
          <w:rFonts w:ascii="Arial" w:cs="Arial" w:eastAsia="Arial" w:hAnsi="Arial"/>
          <w:sz w:val="20"/>
          <w:szCs w:val="20"/>
          <w:color w:val="auto"/>
        </w:rPr>
        <w:t>” means all notifications, licenses, permits (including environmental, construction and operation permits), qualifications, franchises, certificates, approvals, exemptions, classifications, registrations and other similar documents and authorisations issued by any Governmental Entity, and applications therefor.</w:t>
      </w:r>
    </w:p>
    <w:p>
      <w:pPr>
        <w:spacing w:after="0" w:line="69"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Liens</w:t>
      </w:r>
      <w:r>
        <w:rPr>
          <w:rFonts w:ascii="Arial" w:cs="Arial" w:eastAsia="Arial" w:hAnsi="Arial"/>
          <w:sz w:val="20"/>
          <w:szCs w:val="20"/>
          <w:color w:val="auto"/>
        </w:rPr>
        <w:t>” mean all mortgages, liens, pledges, security interests, charges, claims, restrictions and encumbrances of any nature whatsoever.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color w:val="auto"/>
        </w:rPr>
        <w:t>Locked Box Date</w:t>
      </w:r>
      <w:r>
        <w:rPr>
          <w:rFonts w:ascii="Arial" w:cs="Arial" w:eastAsia="Arial" w:hAnsi="Arial"/>
          <w:sz w:val="20"/>
          <w:szCs w:val="20"/>
          <w:i w:val="1"/>
          <w:iCs w:val="1"/>
          <w:color w:val="auto"/>
        </w:rPr>
        <w:t xml:space="preserve">” </w:t>
      </w:r>
      <w:r>
        <w:rPr>
          <w:rFonts w:ascii="Arial" w:cs="Arial" w:eastAsia="Arial" w:hAnsi="Arial"/>
          <w:sz w:val="20"/>
          <w:szCs w:val="20"/>
          <w:color w:val="auto"/>
        </w:rPr>
        <w:t>means September 30, 2020</w:t>
      </w:r>
      <w:r>
        <w:rPr>
          <w:rFonts w:ascii="Arial" w:cs="Arial" w:eastAsia="Arial" w:hAnsi="Arial"/>
          <w:sz w:val="20"/>
          <w:szCs w:val="20"/>
          <w:i w:val="1"/>
          <w:iCs w:val="1"/>
          <w:color w:val="auto"/>
        </w:rPr>
        <w:t>.</w:t>
      </w:r>
    </w:p>
    <w:p>
      <w:pPr>
        <w:spacing w:after="0" w:line="108" w:lineRule="exact"/>
        <w:rPr>
          <w:sz w:val="20"/>
          <w:szCs w:val="20"/>
          <w:color w:val="auto"/>
        </w:rPr>
      </w:pPr>
    </w:p>
    <w:p>
      <w:pPr>
        <w:jc w:val="both"/>
        <w:ind w:left="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Locked Box Date Accounts Principles</w:t>
      </w:r>
      <w:r>
        <w:rPr>
          <w:rFonts w:ascii="Arial" w:cs="Arial" w:eastAsia="Arial" w:hAnsi="Arial"/>
          <w:sz w:val="18"/>
          <w:szCs w:val="18"/>
          <w:color w:val="auto"/>
        </w:rPr>
        <w:t>” means all rules and principles of GAAP applicable to consolidated or not consolidated, as the case may be, annual accounts (</w:t>
      </w:r>
      <w:r>
        <w:rPr>
          <w:rFonts w:ascii="Arial" w:cs="Arial" w:eastAsia="Arial" w:hAnsi="Arial"/>
          <w:sz w:val="18"/>
          <w:szCs w:val="18"/>
          <w:i w:val="1"/>
          <w:iCs w:val="1"/>
          <w:color w:val="auto"/>
        </w:rPr>
        <w:t>Konzernjahresabschluss</w:t>
      </w:r>
      <w:r>
        <w:rPr>
          <w:rFonts w:ascii="Arial" w:cs="Arial" w:eastAsia="Arial" w:hAnsi="Arial"/>
          <w:sz w:val="18"/>
          <w:szCs w:val="18"/>
          <w:color w:val="auto"/>
        </w:rPr>
        <w:t xml:space="preserve"> or </w:t>
      </w:r>
      <w:r>
        <w:rPr>
          <w:rFonts w:ascii="Arial" w:cs="Arial" w:eastAsia="Arial" w:hAnsi="Arial"/>
          <w:sz w:val="18"/>
          <w:szCs w:val="18"/>
          <w:i w:val="1"/>
          <w:iCs w:val="1"/>
          <w:color w:val="auto"/>
        </w:rPr>
        <w:t>Jahresabschluss</w:t>
      </w:r>
      <w:r>
        <w:rPr>
          <w:rFonts w:ascii="Arial" w:cs="Arial" w:eastAsia="Arial" w:hAnsi="Arial"/>
          <w:sz w:val="18"/>
          <w:szCs w:val="18"/>
          <w:color w:val="auto"/>
        </w:rPr>
        <w:t xml:space="preserve">) applied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t>
      </w:r>
      <w:r>
        <w:rPr>
          <w:rFonts w:ascii="Arial" w:cs="Arial" w:eastAsia="Arial" w:hAnsi="Arial"/>
          <w:sz w:val="18"/>
          <w:szCs w:val="18"/>
          <w:i w:val="1"/>
          <w:iCs w:val="1"/>
          <w:color w:val="auto"/>
        </w:rPr>
        <w:t>entsprechend angewendet</w:t>
      </w:r>
      <w:r>
        <w:rPr>
          <w:rFonts w:ascii="Arial" w:cs="Arial" w:eastAsia="Arial" w:hAnsi="Arial"/>
          <w:sz w:val="18"/>
          <w:szCs w:val="18"/>
          <w:color w:val="auto"/>
        </w:rPr>
        <w:t>) to interim accounts as of the Locked Box Date, provided that (i) the period covered shall be the period from January 1, 2020 to the Locked Box Date, and (ii) such accounts shall, unless indicated otherwise, include notes (</w:t>
      </w:r>
      <w:r>
        <w:rPr>
          <w:rFonts w:ascii="Arial" w:cs="Arial" w:eastAsia="Arial" w:hAnsi="Arial"/>
          <w:sz w:val="18"/>
          <w:szCs w:val="18"/>
          <w:i w:val="1"/>
          <w:iCs w:val="1"/>
          <w:color w:val="auto"/>
        </w:rPr>
        <w:t>Anhang</w:t>
      </w:r>
      <w:r>
        <w:rPr>
          <w:rFonts w:ascii="Arial" w:cs="Arial" w:eastAsia="Arial" w:hAnsi="Arial"/>
          <w:sz w:val="18"/>
          <w:szCs w:val="18"/>
          <w:color w:val="auto"/>
        </w:rPr>
        <w:t>) to the accounts but no report on the situation of the Company (</w:t>
      </w:r>
      <w:r>
        <w:rPr>
          <w:rFonts w:ascii="Arial" w:cs="Arial" w:eastAsia="Arial" w:hAnsi="Arial"/>
          <w:sz w:val="18"/>
          <w:szCs w:val="18"/>
          <w:i w:val="1"/>
          <w:iCs w:val="1"/>
          <w:color w:val="auto"/>
        </w:rPr>
        <w:t>Lagebericht</w:t>
      </w:r>
      <w:r>
        <w:rPr>
          <w:rFonts w:ascii="Arial" w:cs="Arial" w:eastAsia="Arial" w:hAnsi="Arial"/>
          <w:sz w:val="18"/>
          <w:szCs w:val="18"/>
          <w:color w:val="auto"/>
        </w:rPr>
        <w: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Lockman</w:t>
      </w:r>
      <w:r>
        <w:rPr>
          <w:rFonts w:ascii="Arial" w:cs="Arial" w:eastAsia="Arial" w:hAnsi="Arial"/>
          <w:sz w:val="20"/>
          <w:szCs w:val="20"/>
          <w:color w:val="auto"/>
        </w:rPr>
        <w:t>” means Lockman Electronic Holdings Ltd. of Wimborne, Dorset, United Kingdom.</w:t>
      </w:r>
    </w:p>
    <w:p>
      <w:pPr>
        <w:spacing w:after="0" w:line="108"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Lockman Loan Agreement</w:t>
      </w:r>
      <w:r>
        <w:rPr>
          <w:rFonts w:ascii="Arial" w:cs="Arial" w:eastAsia="Arial" w:hAnsi="Arial"/>
          <w:sz w:val="20"/>
          <w:szCs w:val="20"/>
          <w:color w:val="auto"/>
        </w:rPr>
        <w:t>” means the Loan Agreement between the Company as borrower and Lockman as lender dated October 6, 2016 as it may have been amended or novated subsequently.</w:t>
      </w:r>
    </w:p>
    <w:p>
      <w:pPr>
        <w:spacing w:after="0" w:line="55"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Lockman Outstanding</w:t>
      </w:r>
      <w:r>
        <w:rPr>
          <w:rFonts w:ascii="Arial" w:cs="Arial" w:eastAsia="Arial" w:hAnsi="Arial"/>
          <w:sz w:val="20"/>
          <w:szCs w:val="20"/>
          <w:color w:val="auto"/>
        </w:rPr>
        <w:t>” means an amount of 7,810,705.58 Euros owed by the Company under the Lockman Loan Agreement.</w:t>
      </w:r>
    </w:p>
    <w:p>
      <w:pPr>
        <w:spacing w:after="0" w:line="5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state of facts, change, event, effect or occurrence (when taken together with all other states of fact, changes, events, effects or occurrences) that is or may be reasonably likely to be materially adverse to the financial condition, results of operations, prospects, properties, assets or liabilities (including contingent liabilities) of a Group Company, or the real or personal property of a Group Company taken as a whole with the exception of such due to (i) any change of laws after the date hereof, (ii) general market developments that comparably affect other companies in the Business of the Company Group and (iii) actions or omissions by the Purchaser. A Material Adverse Effect shall also include any state of facts, change, event or occurrence that shall have occurred or been threatened that (when taken together with all other states of facts, changes, events, effects or occurrences that have occurred or been threatened) is or could be reasonably likely to prevent or materially delay the performance by the Seller of its obligations hereunder or the consummation of the transactions contemplated hereby. Facts, changes, events, effects or occurrences arising out of, related to or resulting from the COVID-19 Pandemic do not constitute a Material Adverse Effect; that includes general market and economic developments resulting out of or related to the COVID-19 Pandemic. However, any of the circumstances described in Sentences 1 and 2 shall only be considered a Material Adverse Effect if it causes or is likely to cause a loss (including lost earnings; for the avoidance of doubt, the result of a bid on the U.S. Air Force Solicitation shall not be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487" w:name="page488"/>
    <w:bookmarkEnd w:id="487"/>
    <w:p>
      <w:pPr>
        <w:jc w:val="both"/>
        <w:spacing w:after="0" w:line="266" w:lineRule="auto"/>
        <w:rPr>
          <w:sz w:val="20"/>
          <w:szCs w:val="20"/>
          <w:color w:val="auto"/>
        </w:rPr>
      </w:pPr>
      <w:r>
        <w:rPr>
          <w:rFonts w:ascii="Arial" w:cs="Arial" w:eastAsia="Arial" w:hAnsi="Arial"/>
          <w:sz w:val="18"/>
          <w:szCs w:val="18"/>
          <w:b w:val="1"/>
          <w:bCs w:val="1"/>
          <w:color w:val="auto"/>
        </w:rPr>
        <w:t>Pursuant to Item 601(b)(10)(iv) of Regulation S-K, certain information contained in this document, marked by brackets as [**], has been omitted because it is both (i) not material and (ii) would likely cause competitive harm to the registrant if publically disclosed.</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calculating lost earnings) or damage (including claims, liabilities, obligations, costs, expenses, penalties, fines and judgments) to the Company Group of [**] or more.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Materials of Environmental Concern</w:t>
      </w:r>
      <w:r>
        <w:rPr>
          <w:rFonts w:ascii="Arial" w:cs="Arial" w:eastAsia="Arial" w:hAnsi="Arial"/>
          <w:sz w:val="20"/>
          <w:szCs w:val="20"/>
          <w:color w:val="auto"/>
        </w:rPr>
        <w:t>” means:</w:t>
      </w:r>
    </w:p>
    <w:p>
      <w:pPr>
        <w:spacing w:after="0" w:line="114" w:lineRule="exact"/>
        <w:rPr>
          <w:sz w:val="20"/>
          <w:szCs w:val="20"/>
          <w:color w:val="auto"/>
        </w:rPr>
      </w:pPr>
    </w:p>
    <w:p>
      <w:pPr>
        <w:ind w:left="1140" w:hanging="497"/>
        <w:spacing w:after="0"/>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substances, materials, or wastes that are classified or regulated under any applicable Environmental Law;</w:t>
      </w:r>
    </w:p>
    <w:p>
      <w:pPr>
        <w:spacing w:after="0" w:line="130" w:lineRule="exact"/>
        <w:rPr>
          <w:rFonts w:ascii="Arial" w:cs="Arial" w:eastAsia="Arial" w:hAnsi="Arial"/>
          <w:sz w:val="18"/>
          <w:szCs w:val="18"/>
          <w:color w:val="auto"/>
        </w:rPr>
      </w:pPr>
    </w:p>
    <w:p>
      <w:pPr>
        <w:jc w:val="both"/>
        <w:ind w:left="1140" w:hanging="497"/>
        <w:spacing w:after="0" w:line="263" w:lineRule="auto"/>
        <w:tabs>
          <w:tab w:leader="none" w:pos="1140" w:val="left"/>
        </w:tabs>
        <w:numPr>
          <w:ilvl w:val="0"/>
          <w:numId w:val="516"/>
        </w:numPr>
        <w:rPr>
          <w:rFonts w:ascii="Arial" w:cs="Arial" w:eastAsia="Arial" w:hAnsi="Arial"/>
          <w:sz w:val="19"/>
          <w:szCs w:val="19"/>
          <w:color w:val="auto"/>
        </w:rPr>
      </w:pPr>
      <w:r>
        <w:rPr>
          <w:rFonts w:ascii="Arial" w:cs="Arial" w:eastAsia="Arial" w:hAnsi="Arial"/>
          <w:sz w:val="19"/>
          <w:szCs w:val="19"/>
          <w:color w:val="auto"/>
        </w:rPr>
        <w:t>those substances, materials, or wastes included within statutory and/or regulatory definitions or listings designated as hazardous substance, special waste, hazardous waste, extremely hazardous substance, solid waste, medical waste, regulated substance, Hazardous Materials, toxic substances, or air contaminant or any similar term of any language under any Environmental Law; and/or</w:t>
      </w:r>
    </w:p>
    <w:p>
      <w:pPr>
        <w:spacing w:after="0" w:line="68" w:lineRule="exact"/>
        <w:rPr>
          <w:rFonts w:ascii="Arial" w:cs="Arial" w:eastAsia="Arial" w:hAnsi="Arial"/>
          <w:sz w:val="19"/>
          <w:szCs w:val="19"/>
          <w:color w:val="auto"/>
        </w:rPr>
      </w:pPr>
    </w:p>
    <w:p>
      <w:pPr>
        <w:ind w:left="1140" w:hanging="497"/>
        <w:spacing w:after="0"/>
        <w:tabs>
          <w:tab w:leader="none" w:pos="1140" w:val="left"/>
        </w:tabs>
        <w:numPr>
          <w:ilvl w:val="0"/>
          <w:numId w:val="516"/>
        </w:numPr>
        <w:rPr>
          <w:rFonts w:ascii="Arial" w:cs="Arial" w:eastAsia="Arial" w:hAnsi="Arial"/>
          <w:sz w:val="20"/>
          <w:szCs w:val="20"/>
          <w:color w:val="auto"/>
        </w:rPr>
      </w:pPr>
      <w:r>
        <w:rPr>
          <w:rFonts w:ascii="Arial" w:cs="Arial" w:eastAsia="Arial" w:hAnsi="Arial"/>
          <w:sz w:val="20"/>
          <w:szCs w:val="20"/>
          <w:color w:val="auto"/>
        </w:rPr>
        <w:t>any substance, material, or waste which is or contains:</w:t>
      </w:r>
    </w:p>
    <w:p>
      <w:pPr>
        <w:spacing w:after="0" w:line="107" w:lineRule="exact"/>
        <w:rPr>
          <w:rFonts w:ascii="Arial" w:cs="Arial" w:eastAsia="Arial" w:hAnsi="Arial"/>
          <w:sz w:val="20"/>
          <w:szCs w:val="20"/>
          <w:color w:val="auto"/>
        </w:rPr>
      </w:pPr>
    </w:p>
    <w:p>
      <w:pPr>
        <w:ind w:left="1600" w:hanging="444"/>
        <w:spacing w:after="0"/>
        <w:tabs>
          <w:tab w:leader="none" w:pos="1600" w:val="left"/>
        </w:tabs>
        <w:numPr>
          <w:ilvl w:val="1"/>
          <w:numId w:val="516"/>
        </w:numPr>
        <w:rPr>
          <w:rFonts w:ascii="Arial" w:cs="Arial" w:eastAsia="Arial" w:hAnsi="Arial"/>
          <w:sz w:val="18"/>
          <w:szCs w:val="18"/>
          <w:color w:val="auto"/>
        </w:rPr>
      </w:pPr>
      <w:r>
        <w:rPr>
          <w:rFonts w:ascii="Arial" w:cs="Arial" w:eastAsia="Arial" w:hAnsi="Arial"/>
          <w:sz w:val="20"/>
          <w:szCs w:val="20"/>
          <w:color w:val="auto"/>
        </w:rPr>
        <w:t>petroleum, oil or any fraction thereof,</w:t>
      </w:r>
    </w:p>
    <w:p>
      <w:pPr>
        <w:spacing w:after="0" w:line="107" w:lineRule="exact"/>
        <w:rPr>
          <w:rFonts w:ascii="Arial" w:cs="Arial" w:eastAsia="Arial" w:hAnsi="Arial"/>
          <w:sz w:val="18"/>
          <w:szCs w:val="18"/>
          <w:color w:val="auto"/>
        </w:rPr>
      </w:pPr>
    </w:p>
    <w:p>
      <w:pPr>
        <w:ind w:left="1600" w:hanging="444"/>
        <w:spacing w:after="0"/>
        <w:tabs>
          <w:tab w:leader="none" w:pos="1600" w:val="left"/>
        </w:tabs>
        <w:numPr>
          <w:ilvl w:val="1"/>
          <w:numId w:val="516"/>
        </w:numPr>
        <w:rPr>
          <w:rFonts w:ascii="Arial" w:cs="Arial" w:eastAsia="Arial" w:hAnsi="Arial"/>
          <w:sz w:val="18"/>
          <w:szCs w:val="18"/>
          <w:color w:val="auto"/>
        </w:rPr>
      </w:pPr>
      <w:r>
        <w:rPr>
          <w:rFonts w:ascii="Arial" w:cs="Arial" w:eastAsia="Arial" w:hAnsi="Arial"/>
          <w:sz w:val="20"/>
          <w:szCs w:val="20"/>
          <w:color w:val="auto"/>
        </w:rPr>
        <w:t>explosives, or</w:t>
      </w:r>
    </w:p>
    <w:p>
      <w:pPr>
        <w:spacing w:after="0" w:line="107" w:lineRule="exact"/>
        <w:rPr>
          <w:rFonts w:ascii="Arial" w:cs="Arial" w:eastAsia="Arial" w:hAnsi="Arial"/>
          <w:sz w:val="18"/>
          <w:szCs w:val="18"/>
          <w:color w:val="auto"/>
        </w:rPr>
      </w:pPr>
    </w:p>
    <w:p>
      <w:pPr>
        <w:ind w:left="1600" w:hanging="444"/>
        <w:spacing w:after="0"/>
        <w:tabs>
          <w:tab w:leader="none" w:pos="1600" w:val="left"/>
        </w:tabs>
        <w:numPr>
          <w:ilvl w:val="1"/>
          <w:numId w:val="516"/>
        </w:numPr>
        <w:rPr>
          <w:rFonts w:ascii="Arial" w:cs="Arial" w:eastAsia="Arial" w:hAnsi="Arial"/>
          <w:sz w:val="18"/>
          <w:szCs w:val="18"/>
          <w:color w:val="auto"/>
        </w:rPr>
      </w:pPr>
      <w:r>
        <w:rPr>
          <w:rFonts w:ascii="Arial" w:cs="Arial" w:eastAsia="Arial" w:hAnsi="Arial"/>
          <w:sz w:val="20"/>
          <w:szCs w:val="20"/>
          <w:color w:val="auto"/>
        </w:rPr>
        <w:t>radioactive materials (including naturally occurring radioactive materials).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Notary</w:t>
      </w:r>
      <w:r>
        <w:rPr>
          <w:rFonts w:ascii="Arial" w:cs="Arial" w:eastAsia="Arial" w:hAnsi="Arial"/>
          <w:sz w:val="20"/>
          <w:szCs w:val="20"/>
          <w:color w:val="auto"/>
        </w:rPr>
        <w:t>” means the notary officiating in the recording of the deed of which this Agreement is a part and any notary associated with him for common practice (</w:t>
      </w:r>
      <w:r>
        <w:rPr>
          <w:rFonts w:ascii="Arial" w:cs="Arial" w:eastAsia="Arial" w:hAnsi="Arial"/>
          <w:sz w:val="20"/>
          <w:szCs w:val="20"/>
          <w:i w:val="1"/>
          <w:iCs w:val="1"/>
          <w:color w:val="auto"/>
        </w:rPr>
        <w:t>Verbindung zur gemeinsamen Berufsausübung</w:t>
      </w:r>
      <w:r>
        <w:rPr>
          <w:rFonts w:ascii="Arial" w:cs="Arial" w:eastAsia="Arial" w:hAnsi="Arial"/>
          <w:sz w:val="20"/>
          <w:szCs w:val="20"/>
          <w:color w:val="auto"/>
        </w:rPr>
        <w:t>) and any notary deputy (</w:t>
      </w:r>
      <w:r>
        <w:rPr>
          <w:rFonts w:ascii="Arial" w:cs="Arial" w:eastAsia="Arial" w:hAnsi="Arial"/>
          <w:sz w:val="20"/>
          <w:szCs w:val="20"/>
          <w:i w:val="1"/>
          <w:iCs w:val="1"/>
          <w:color w:val="auto"/>
        </w:rPr>
        <w:t>Notarvertreter</w:t>
      </w:r>
      <w:r>
        <w:rPr>
          <w:rFonts w:ascii="Arial" w:cs="Arial" w:eastAsia="Arial" w:hAnsi="Arial"/>
          <w:sz w:val="20"/>
          <w:szCs w:val="20"/>
          <w:color w:val="auto"/>
        </w:rPr>
        <w:t>) or official notary administrator (</w:t>
      </w:r>
      <w:r>
        <w:rPr>
          <w:rFonts w:ascii="Arial" w:cs="Arial" w:eastAsia="Arial" w:hAnsi="Arial"/>
          <w:sz w:val="20"/>
          <w:szCs w:val="20"/>
          <w:i w:val="1"/>
          <w:iCs w:val="1"/>
          <w:color w:val="auto"/>
        </w:rPr>
        <w:t>Notariatsverwalter</w:t>
      </w:r>
      <w:r>
        <w:rPr>
          <w:rFonts w:ascii="Arial" w:cs="Arial" w:eastAsia="Arial" w:hAnsi="Arial"/>
          <w:sz w:val="20"/>
          <w:szCs w:val="20"/>
          <w:color w:val="auto"/>
        </w:rPr>
        <w:t>) of any of them.</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Officer or Director</w:t>
      </w:r>
      <w:r>
        <w:rPr>
          <w:rFonts w:ascii="Arial" w:cs="Arial" w:eastAsia="Arial" w:hAnsi="Arial"/>
          <w:sz w:val="20"/>
          <w:szCs w:val="20"/>
          <w:color w:val="auto"/>
        </w:rPr>
        <w:t xml:space="preserve">” means any member of a supervisory board, management board or board of directors, managing director (such as </w:t>
      </w:r>
      <w:r>
        <w:rPr>
          <w:rFonts w:ascii="Arial" w:cs="Arial" w:eastAsia="Arial" w:hAnsi="Arial"/>
          <w:sz w:val="20"/>
          <w:szCs w:val="20"/>
          <w:i w:val="1"/>
          <w:iCs w:val="1"/>
          <w:color w:val="auto"/>
        </w:rPr>
        <w:t>Geschäftsführer</w:t>
      </w:r>
      <w:r>
        <w:rPr>
          <w:rFonts w:ascii="Arial" w:cs="Arial" w:eastAsia="Arial" w:hAnsi="Arial"/>
          <w:sz w:val="20"/>
          <w:szCs w:val="20"/>
          <w:color w:val="auto"/>
        </w:rPr>
        <w:t>) and holder of comparable offices under any relevant jurisdiction. For the avoidance of doubt, an authorized signatory (</w:t>
      </w:r>
      <w:r>
        <w:rPr>
          <w:rFonts w:ascii="Arial" w:cs="Arial" w:eastAsia="Arial" w:hAnsi="Arial"/>
          <w:sz w:val="20"/>
          <w:szCs w:val="20"/>
          <w:i w:val="1"/>
          <w:iCs w:val="1"/>
          <w:color w:val="auto"/>
        </w:rPr>
        <w:t>Prokurist</w:t>
      </w:r>
      <w:r>
        <w:rPr>
          <w:rFonts w:ascii="Arial" w:cs="Arial" w:eastAsia="Arial" w:hAnsi="Arial"/>
          <w:sz w:val="20"/>
          <w:szCs w:val="20"/>
          <w:color w:val="auto"/>
        </w:rPr>
        <w:t>) is not an Officer or Director.</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Course</w:t>
      </w:r>
      <w:r>
        <w:rPr>
          <w:rFonts w:ascii="Arial" w:cs="Arial" w:eastAsia="Arial" w:hAnsi="Arial"/>
          <w:sz w:val="20"/>
          <w:szCs w:val="20"/>
          <w:color w:val="auto"/>
        </w:rPr>
        <w:t>” means the ordinary and normal course of business of the Group Companies consistent with past practice during the 24 month period preceding the point in time to which the term relates in each case (if not otherwise determinable, the date hereof shall be that point in time).</w:t>
      </w:r>
    </w:p>
    <w:p>
      <w:pPr>
        <w:spacing w:after="0" w:line="6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Liens</w:t>
      </w:r>
      <w:r>
        <w:rPr>
          <w:rFonts w:ascii="Arial" w:cs="Arial" w:eastAsia="Arial" w:hAnsi="Arial"/>
          <w:sz w:val="20"/>
          <w:szCs w:val="20"/>
          <w:color w:val="auto"/>
        </w:rPr>
        <w:t>” means any of the following, but for a right securing payment obligations only to the extent it secures payment obligations not yet due and payable or reflected in the Financial Statements:</w:t>
      </w:r>
    </w:p>
    <w:p>
      <w:pPr>
        <w:spacing w:after="0" w:line="61" w:lineRule="exact"/>
        <w:rPr>
          <w:sz w:val="20"/>
          <w:szCs w:val="20"/>
          <w:color w:val="auto"/>
        </w:rPr>
      </w:pPr>
    </w:p>
    <w:p>
      <w:pPr>
        <w:ind w:left="1140" w:hanging="497"/>
        <w:spacing w:after="0"/>
        <w:tabs>
          <w:tab w:leader="none" w:pos="11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Liens for Taxes;</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statutory Liens of landlords;</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Liens of carriers, warehousemen, mechanics, materialmen and repairmen incurred in the Ordinary Course;</w:t>
      </w:r>
    </w:p>
    <w:p>
      <w:pPr>
        <w:spacing w:after="0" w:line="130" w:lineRule="exact"/>
        <w:rPr>
          <w:rFonts w:ascii="Arial" w:cs="Arial" w:eastAsia="Arial" w:hAnsi="Arial"/>
          <w:sz w:val="18"/>
          <w:szCs w:val="18"/>
          <w:color w:val="auto"/>
        </w:rPr>
      </w:pPr>
    </w:p>
    <w:p>
      <w:pPr>
        <w:ind w:left="1140" w:hanging="497"/>
        <w:spacing w:after="0"/>
        <w:tabs>
          <w:tab w:leader="none" w:pos="11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customary retention of title rights (</w:t>
      </w:r>
      <w:r>
        <w:rPr>
          <w:rFonts w:ascii="Arial" w:cs="Arial" w:eastAsia="Arial" w:hAnsi="Arial"/>
          <w:sz w:val="20"/>
          <w:szCs w:val="20"/>
          <w:i w:val="1"/>
          <w:iCs w:val="1"/>
          <w:color w:val="auto"/>
        </w:rPr>
        <w:t>Eigentumsvorbehaltsrechte</w:t>
      </w:r>
      <w:r>
        <w:rPr>
          <w:rFonts w:ascii="Arial" w:cs="Arial" w:eastAsia="Arial" w:hAnsi="Arial"/>
          <w:sz w:val="20"/>
          <w:szCs w:val="20"/>
          <w:color w:val="auto"/>
        </w:rPr>
        <w:t>) of suppliers;</w:t>
      </w:r>
    </w:p>
    <w:p>
      <w:pPr>
        <w:spacing w:after="0" w:line="107"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Liens held by Lockman on assets and receivables of the Company Group and the Shares securing obligations of the Company under the Lockman Loan Agreement.</w:t>
      </w:r>
    </w:p>
    <w:p>
      <w:pPr>
        <w:spacing w:after="0" w:line="63" w:lineRule="exact"/>
        <w:rPr>
          <w:sz w:val="20"/>
          <w:szCs w:val="20"/>
          <w:color w:val="auto"/>
        </w:rPr>
      </w:pPr>
    </w:p>
    <w:p>
      <w:pPr>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legal person (</w:t>
      </w:r>
      <w:r>
        <w:rPr>
          <w:rFonts w:ascii="Arial" w:cs="Arial" w:eastAsia="Arial" w:hAnsi="Arial"/>
          <w:sz w:val="20"/>
          <w:szCs w:val="20"/>
          <w:i w:val="1"/>
          <w:iCs w:val="1"/>
          <w:color w:val="auto"/>
        </w:rPr>
        <w:t>juristische Person</w:t>
      </w:r>
      <w:r>
        <w:rPr>
          <w:rFonts w:ascii="Arial" w:cs="Arial" w:eastAsia="Arial" w:hAnsi="Arial"/>
          <w:sz w:val="20"/>
          <w:szCs w:val="20"/>
          <w:color w:val="auto"/>
        </w:rPr>
        <w:t>), corporation, partnership, joint venture, limited liability company, trust, unincorporated organisation or Governmental Entity.</w:t>
      </w:r>
    </w:p>
    <w:p>
      <w:pPr>
        <w:spacing w:after="0" w:line="55" w:lineRule="exact"/>
        <w:rPr>
          <w:sz w:val="20"/>
          <w:szCs w:val="20"/>
          <w:color w:val="auto"/>
        </w:rPr>
      </w:pPr>
    </w:p>
    <w:p>
      <w:pPr>
        <w:ind w:left="2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Ancillary Documents</w:t>
      </w:r>
      <w:r>
        <w:rPr>
          <w:rFonts w:ascii="Arial" w:cs="Arial" w:eastAsia="Arial" w:hAnsi="Arial"/>
          <w:sz w:val="19"/>
          <w:szCs w:val="19"/>
          <w:color w:val="auto"/>
        </w:rPr>
        <w:t>” means any certificate, agreement, document or other instrument, other than this Agreement, to be executed and delivered by the Purchaser in connection with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8" w:name="page489"/>
    <w:bookmarkEnd w:id="488"/>
    <w:p>
      <w:pPr>
        <w:jc w:val="both"/>
        <w:ind w:lef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Indemnified Parties</w:t>
      </w:r>
      <w:r>
        <w:rPr>
          <w:rFonts w:ascii="Arial" w:cs="Arial" w:eastAsia="Arial" w:hAnsi="Arial"/>
          <w:sz w:val="20"/>
          <w:szCs w:val="20"/>
          <w:color w:val="auto"/>
        </w:rPr>
        <w:t>” means the Purchaser and its Affiliates (including the Company Group for the time period after the Closing Date), each of their respective Officers and Directors, employees, agents and representatives and each of the heirs, executors, successors and assigns of any of the foregoing.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Warranties</w:t>
      </w:r>
      <w:r>
        <w:rPr>
          <w:rFonts w:ascii="Arial" w:cs="Arial" w:eastAsia="Arial" w:hAnsi="Arial"/>
          <w:sz w:val="20"/>
          <w:szCs w:val="20"/>
          <w:color w:val="auto"/>
        </w:rPr>
        <w:t>” means the warranties given by the Purchaser in Clause 5.1 and Schedule 2.</w:t>
      </w:r>
    </w:p>
    <w:p>
      <w:pPr>
        <w:spacing w:after="0" w:line="108"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R&amp;W Insurance Policy</w:t>
      </w:r>
      <w:r>
        <w:rPr>
          <w:rFonts w:ascii="Arial" w:cs="Arial" w:eastAsia="Arial" w:hAnsi="Arial"/>
          <w:sz w:val="20"/>
          <w:szCs w:val="20"/>
          <w:color w:val="auto"/>
        </w:rPr>
        <w:t xml:space="preserve">” means that certain insurance policy to be issued by the R&amp;W Insurer pursuant to the letter from the R&amp;W Insurer dated 2 December, 2020, a copy of which is enclosed as </w:t>
      </w:r>
      <w:r>
        <w:rPr>
          <w:rFonts w:ascii="Arial" w:cs="Arial" w:eastAsia="Arial" w:hAnsi="Arial"/>
          <w:sz w:val="20"/>
          <w:szCs w:val="20"/>
          <w:u w:val="single" w:color="auto"/>
          <w:color w:val="auto"/>
        </w:rPr>
        <w:t>Appendix 1.1.(d)</w:t>
      </w:r>
      <w:r>
        <w:rPr>
          <w:rFonts w:ascii="Arial" w:cs="Arial" w:eastAsia="Arial" w:hAnsi="Arial"/>
          <w:sz w:val="20"/>
          <w:szCs w:val="20"/>
          <w:color w:val="auto"/>
        </w:rPr>
        <w:t>.</w:t>
      </w:r>
    </w:p>
    <w:p>
      <w:pPr>
        <w:spacing w:after="0" w:line="55"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R&amp;W Insurer</w:t>
      </w:r>
      <w:r>
        <w:rPr>
          <w:rFonts w:ascii="Arial" w:cs="Arial" w:eastAsia="Arial" w:hAnsi="Arial"/>
          <w:sz w:val="20"/>
          <w:szCs w:val="20"/>
          <w:color w:val="auto"/>
        </w:rPr>
        <w:t>” means Beazley Furlonge Limited, London, England, and any other insurer under the R&amp;W Insurance Policy (together with their respective successors and assigns).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Receivables</w:t>
      </w:r>
      <w:r>
        <w:rPr>
          <w:rFonts w:ascii="Arial" w:cs="Arial" w:eastAsia="Arial" w:hAnsi="Arial"/>
          <w:sz w:val="20"/>
          <w:szCs w:val="20"/>
          <w:color w:val="auto"/>
        </w:rPr>
        <w:t>” means the accounts receivable of the Company Group as of the Locked Box Date.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Intellectual Property</w:t>
      </w:r>
      <w:r>
        <w:rPr>
          <w:rFonts w:ascii="Arial" w:cs="Arial" w:eastAsia="Arial" w:hAnsi="Arial"/>
          <w:sz w:val="20"/>
          <w:szCs w:val="20"/>
          <w:color w:val="auto"/>
        </w:rPr>
        <w:t>” means any and all:</w:t>
      </w:r>
    </w:p>
    <w:p>
      <w:pPr>
        <w:spacing w:after="0" w:line="114" w:lineRule="exact"/>
        <w:rPr>
          <w:sz w:val="20"/>
          <w:szCs w:val="20"/>
          <w:color w:val="auto"/>
        </w:rPr>
      </w:pPr>
    </w:p>
    <w:p>
      <w:pPr>
        <w:ind w:left="1140" w:hanging="497"/>
        <w:spacing w:after="0"/>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patents and patent applications (including provisional applications);</w:t>
      </w:r>
    </w:p>
    <w:p>
      <w:pPr>
        <w:spacing w:after="0" w:line="107" w:lineRule="exact"/>
        <w:rPr>
          <w:rFonts w:ascii="Arial" w:cs="Arial" w:eastAsia="Arial" w:hAnsi="Arial"/>
          <w:sz w:val="20"/>
          <w:szCs w:val="20"/>
          <w:color w:val="auto"/>
        </w:rPr>
      </w:pPr>
    </w:p>
    <w:p>
      <w:pPr>
        <w:ind w:left="1140" w:right="100" w:hanging="497"/>
        <w:spacing w:after="0" w:line="250" w:lineRule="auto"/>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registered trademarks and service marks, applications to register trademarks and service marks, and trade dress; intent-to-use applications, or other registrations or applications related to trademarks and service marks and trade dress;</w:t>
      </w:r>
    </w:p>
    <w:p>
      <w:pPr>
        <w:spacing w:after="0" w:line="77" w:lineRule="exact"/>
        <w:rPr>
          <w:rFonts w:ascii="Arial" w:cs="Arial" w:eastAsia="Arial" w:hAnsi="Arial"/>
          <w:sz w:val="20"/>
          <w:szCs w:val="20"/>
          <w:color w:val="auto"/>
        </w:rPr>
      </w:pPr>
    </w:p>
    <w:p>
      <w:pPr>
        <w:ind w:left="1140" w:hanging="497"/>
        <w:spacing w:after="0"/>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registered copyrights and applications for copyright registration;</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domain name registrations;</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registered mask works and applications for mask work registration; and</w:t>
      </w:r>
    </w:p>
    <w:p>
      <w:pPr>
        <w:spacing w:after="0" w:line="107" w:lineRule="exact"/>
        <w:rPr>
          <w:rFonts w:ascii="Arial" w:cs="Arial" w:eastAsia="Arial" w:hAnsi="Arial"/>
          <w:sz w:val="20"/>
          <w:szCs w:val="20"/>
          <w:color w:val="auto"/>
        </w:rPr>
      </w:pPr>
    </w:p>
    <w:p>
      <w:pPr>
        <w:ind w:left="1140" w:right="220" w:hanging="497"/>
        <w:spacing w:after="0" w:line="250" w:lineRule="auto"/>
        <w:tabs>
          <w:tab w:leader="none" w:pos="11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any other Intellectual Property that is the subject of an application, certificate, filing, registration or other document issued, filed with, or recorded with any federal, state or local Governmental Entity or other public body.</w:t>
      </w:r>
    </w:p>
    <w:p>
      <w:pPr>
        <w:spacing w:after="0" w:line="72" w:lineRule="exact"/>
        <w:rPr>
          <w:sz w:val="20"/>
          <w:szCs w:val="20"/>
          <w:color w:val="auto"/>
        </w:rPr>
      </w:pPr>
    </w:p>
    <w:p>
      <w:pPr>
        <w:jc w:val="both"/>
        <w:ind w:left="1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with respect to any Hazardous Material, any spilling, leaking, pumping, pouring, emitting, emptying, discharging, injecting, escaping, leaching, dumping or disposing into any surface or ground water, drinking water supply, soil, surface or subsurface strata or medium, or the ambient air.</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Retention Amount</w:t>
      </w:r>
      <w:r>
        <w:rPr>
          <w:rFonts w:ascii="Arial" w:cs="Arial" w:eastAsia="Arial" w:hAnsi="Arial"/>
          <w:sz w:val="20"/>
          <w:szCs w:val="20"/>
          <w:color w:val="auto"/>
        </w:rPr>
        <w:t>” means € 440,000.</w:t>
      </w:r>
    </w:p>
    <w:p>
      <w:pPr>
        <w:spacing w:after="0" w:line="108" w:lineRule="exact"/>
        <w:rPr>
          <w:sz w:val="20"/>
          <w:szCs w:val="20"/>
          <w:color w:val="auto"/>
        </w:rPr>
      </w:pPr>
    </w:p>
    <w:p>
      <w:pPr>
        <w:jc w:val="both"/>
        <w:ind w:left="1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Ancillary Documents</w:t>
      </w:r>
      <w:r>
        <w:rPr>
          <w:rFonts w:ascii="Arial" w:cs="Arial" w:eastAsia="Arial" w:hAnsi="Arial"/>
          <w:sz w:val="20"/>
          <w:szCs w:val="20"/>
          <w:color w:val="auto"/>
        </w:rPr>
        <w:t>” means any certificate, agreement, document or other instrument, other than this Agreement, to be executed and delivered by the Seller or any Affiliate of the Seller in connection with the transactions contemplated hereby.</w:t>
      </w:r>
    </w:p>
    <w:p>
      <w:pPr>
        <w:spacing w:after="0" w:line="69" w:lineRule="exact"/>
        <w:rPr>
          <w:sz w:val="20"/>
          <w:szCs w:val="20"/>
          <w:color w:val="auto"/>
        </w:rPr>
      </w:pPr>
    </w:p>
    <w:p>
      <w:pPr>
        <w:jc w:val="both"/>
        <w:ind w:left="14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Connected Person</w:t>
      </w:r>
      <w:r>
        <w:rPr>
          <w:rFonts w:ascii="Arial" w:cs="Arial" w:eastAsia="Arial" w:hAnsi="Arial"/>
          <w:sz w:val="20"/>
          <w:szCs w:val="20"/>
          <w:color w:val="auto"/>
        </w:rPr>
        <w:t>” means any Affiliate of the Seller (other than a Group Company), any shareholder of the Seller and with respect to any such shareholder any relative (</w:t>
      </w:r>
      <w:r>
        <w:rPr>
          <w:rFonts w:ascii="Arial" w:cs="Arial" w:eastAsia="Arial" w:hAnsi="Arial"/>
          <w:sz w:val="20"/>
          <w:szCs w:val="20"/>
          <w:i w:val="1"/>
          <w:iCs w:val="1"/>
          <w:color w:val="auto"/>
        </w:rPr>
        <w:t>Angehöriger</w:t>
      </w:r>
      <w:r>
        <w:rPr>
          <w:rFonts w:ascii="Arial" w:cs="Arial" w:eastAsia="Arial" w:hAnsi="Arial"/>
          <w:sz w:val="20"/>
          <w:szCs w:val="20"/>
          <w:color w:val="auto"/>
        </w:rPr>
        <w:t>) within the meaning of Section 15 of the German Tax Act (</w:t>
      </w:r>
      <w:r>
        <w:rPr>
          <w:rFonts w:ascii="Arial" w:cs="Arial" w:eastAsia="Arial" w:hAnsi="Arial"/>
          <w:sz w:val="20"/>
          <w:szCs w:val="20"/>
          <w:i w:val="1"/>
          <w:iCs w:val="1"/>
          <w:color w:val="auto"/>
        </w:rPr>
        <w:t>Abgabenordnung</w:t>
      </w:r>
      <w:r>
        <w:rPr>
          <w:rFonts w:ascii="Arial" w:cs="Arial" w:eastAsia="Arial" w:hAnsi="Arial"/>
          <w:sz w:val="20"/>
          <w:szCs w:val="20"/>
          <w:color w:val="auto"/>
        </w:rPr>
        <w:t>) or related person (</w:t>
      </w:r>
      <w:r>
        <w:rPr>
          <w:rFonts w:ascii="Arial" w:cs="Arial" w:eastAsia="Arial" w:hAnsi="Arial"/>
          <w:sz w:val="20"/>
          <w:szCs w:val="20"/>
          <w:i w:val="1"/>
          <w:iCs w:val="1"/>
          <w:color w:val="auto"/>
        </w:rPr>
        <w:t>nahestehende Person</w:t>
      </w:r>
      <w:r>
        <w:rPr>
          <w:rFonts w:ascii="Arial" w:cs="Arial" w:eastAsia="Arial" w:hAnsi="Arial"/>
          <w:sz w:val="20"/>
          <w:szCs w:val="20"/>
          <w:color w:val="auto"/>
        </w:rPr>
        <w:t>) within the meaning of Section 1 para. 2 of the German Foreign Tax Act (</w:t>
      </w:r>
      <w:r>
        <w:rPr>
          <w:rFonts w:ascii="Arial" w:cs="Arial" w:eastAsia="Arial" w:hAnsi="Arial"/>
          <w:sz w:val="20"/>
          <w:szCs w:val="20"/>
          <w:i w:val="1"/>
          <w:iCs w:val="1"/>
          <w:color w:val="auto"/>
        </w:rPr>
        <w:t>Außensteuergesetz</w:t>
      </w:r>
      <w:r>
        <w:rPr>
          <w:rFonts w:ascii="Arial" w:cs="Arial" w:eastAsia="Arial" w:hAnsi="Arial"/>
          <w:sz w:val="20"/>
          <w:szCs w:val="20"/>
          <w:color w:val="auto"/>
        </w:rPr>
        <w:t>).</w:t>
      </w:r>
    </w:p>
    <w:p>
      <w:pPr>
        <w:spacing w:after="0" w:line="75" w:lineRule="exact"/>
        <w:rPr>
          <w:sz w:val="20"/>
          <w:szCs w:val="20"/>
          <w:color w:val="auto"/>
        </w:rPr>
      </w:pPr>
    </w:p>
    <w:p>
      <w:pPr>
        <w:jc w:val="both"/>
        <w:ind w:left="1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Indemnified Parties</w:t>
      </w:r>
      <w:r>
        <w:rPr>
          <w:rFonts w:ascii="Arial" w:cs="Arial" w:eastAsia="Arial" w:hAnsi="Arial"/>
          <w:sz w:val="20"/>
          <w:szCs w:val="20"/>
          <w:color w:val="auto"/>
        </w:rPr>
        <w:t>” means the Seller and its Affiliates, each of their representatives and each of the heirs, executors, successors and assigns of any of the foregoing.</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Warranties</w:t>
      </w:r>
      <w:r>
        <w:rPr>
          <w:rFonts w:ascii="Arial" w:cs="Arial" w:eastAsia="Arial" w:hAnsi="Arial"/>
          <w:sz w:val="20"/>
          <w:szCs w:val="20"/>
          <w:color w:val="auto"/>
        </w:rPr>
        <w:t>” means the warranties given by the Seller in Clause 4.1 and Schedule 1.</w:t>
      </w:r>
    </w:p>
    <w:p>
      <w:pPr>
        <w:spacing w:after="0" w:line="108" w:lineRule="exact"/>
        <w:rPr>
          <w:sz w:val="20"/>
          <w:szCs w:val="20"/>
          <w:color w:val="auto"/>
        </w:rPr>
      </w:pPr>
    </w:p>
    <w:p>
      <w:pPr>
        <w:jc w:val="both"/>
        <w:ind w:left="1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all existing shares (</w:t>
      </w:r>
      <w:r>
        <w:rPr>
          <w:rFonts w:ascii="Arial" w:cs="Arial" w:eastAsia="Arial" w:hAnsi="Arial"/>
          <w:sz w:val="20"/>
          <w:szCs w:val="20"/>
          <w:i w:val="1"/>
          <w:iCs w:val="1"/>
          <w:color w:val="auto"/>
        </w:rPr>
        <w:t>Geschäftsanteile</w:t>
      </w:r>
      <w:r>
        <w:rPr>
          <w:rFonts w:ascii="Arial" w:cs="Arial" w:eastAsia="Arial" w:hAnsi="Arial"/>
          <w:sz w:val="20"/>
          <w:szCs w:val="20"/>
          <w:color w:val="auto"/>
        </w:rPr>
        <w:t>) of the Company including the share no. 13 in the nominal amount of EUR 36,000.</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Signing Date</w:t>
      </w:r>
      <w:r>
        <w:rPr>
          <w:rFonts w:ascii="Arial" w:cs="Arial" w:eastAsia="Arial" w:hAnsi="Arial"/>
          <w:sz w:val="20"/>
          <w:szCs w:val="20"/>
          <w:color w:val="auto"/>
        </w:rPr>
        <w:t>” means the date of signing of this Agreement.</w:t>
      </w:r>
    </w:p>
    <w:p>
      <w:pPr>
        <w:spacing w:after="0" w:line="108" w:lineRule="exact"/>
        <w:rPr>
          <w:sz w:val="20"/>
          <w:szCs w:val="20"/>
          <w:color w:val="auto"/>
        </w:rPr>
      </w:pPr>
    </w:p>
    <w:p>
      <w:pPr>
        <w:ind w:right="40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Software</w:t>
      </w:r>
      <w:r>
        <w:rPr>
          <w:rFonts w:ascii="Arial" w:cs="Arial" w:eastAsia="Arial" w:hAnsi="Arial"/>
          <w:sz w:val="19"/>
          <w:szCs w:val="19"/>
          <w:color w:val="auto"/>
        </w:rPr>
        <w:t>” means all computer software programs, databases and Internet websites, together with any error corrections, updates, modifications, replacements or enhancements thereto, in both machine-readable form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89" w:name="page490"/>
    <w:bookmarkEnd w:id="489"/>
    <w:p>
      <w:pPr>
        <w:spacing w:after="0"/>
        <w:rPr>
          <w:sz w:val="20"/>
          <w:szCs w:val="20"/>
          <w:color w:val="auto"/>
        </w:rPr>
      </w:pPr>
      <w:r>
        <w:rPr>
          <w:rFonts w:ascii="Arial" w:cs="Arial" w:eastAsia="Arial" w:hAnsi="Arial"/>
          <w:sz w:val="19"/>
          <w:szCs w:val="19"/>
          <w:color w:val="auto"/>
        </w:rPr>
        <w:t>and human-readable form, including all comments and any procedural code and all documentation related thereto.</w:t>
      </w:r>
    </w:p>
    <w:p>
      <w:pPr>
        <w:spacing w:after="0" w:line="113"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xml:space="preserve">” means </w:t>
      </w:r>
      <w:r>
        <w:rPr>
          <w:rFonts w:ascii="Arial" w:cs="Arial" w:eastAsia="Arial" w:hAnsi="Arial"/>
          <w:sz w:val="20"/>
          <w:szCs w:val="20"/>
          <w:b w:val="1"/>
          <w:bCs w:val="1"/>
          <w:color w:val="auto"/>
        </w:rPr>
        <w:t>Telerob USA Inc.</w:t>
      </w:r>
      <w:r>
        <w:rPr>
          <w:rFonts w:ascii="Arial" w:cs="Arial" w:eastAsia="Arial" w:hAnsi="Arial"/>
          <w:sz w:val="20"/>
          <w:szCs w:val="20"/>
          <w:color w:val="auto"/>
        </w:rPr>
        <w:t>, a company under the laws of the State of Delaware, USA, with principal offices at 8206 Edinboro Rd., Erie, Pennsylvania 16509, USA.</w:t>
      </w:r>
    </w:p>
    <w:p>
      <w:pPr>
        <w:spacing w:after="0" w:line="55"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w:t>
      </w:r>
      <w:r>
        <w:rPr>
          <w:rFonts w:ascii="Arial" w:cs="Arial" w:eastAsia="Arial" w:hAnsi="Arial"/>
          <w:sz w:val="20"/>
          <w:szCs w:val="20"/>
          <w:color w:val="auto"/>
        </w:rPr>
        <w:t>” means any supplier that the Company Group has paid in the aggregate more than € 50,000 during the 12-month period ended on the Locked Box Date.</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Return</w:t>
      </w:r>
      <w:r>
        <w:rPr>
          <w:rFonts w:ascii="Arial" w:cs="Arial" w:eastAsia="Arial" w:hAnsi="Arial"/>
          <w:sz w:val="20"/>
          <w:szCs w:val="20"/>
          <w:color w:val="auto"/>
        </w:rPr>
        <w:t>” means any report, return, declaration or other information required to be supplied to a Governmental Entity in connection with Taxes, including estimated returns, amended returns, information statements and reports of every kind with respect to Taxes.</w:t>
      </w:r>
    </w:p>
    <w:p>
      <w:pPr>
        <w:spacing w:after="0" w:line="69" w:lineRule="exact"/>
        <w:rPr>
          <w:sz w:val="20"/>
          <w:szCs w:val="20"/>
          <w:color w:val="auto"/>
        </w:rPr>
      </w:pPr>
    </w:p>
    <w:p>
      <w:pPr>
        <w:ind w:left="20"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taxes, assessments, charges, duties, fees, levies and other governmental charges (including interest, penalties or additions associated therewith), including income, franchise, capital share, real property, personal property, tangible, withholding, employment, payroll, social security, social contribution, unemployment compensation, unclaimed property escheat, disability, transfer, sales, use, excise, license, occupation, registration, stamp, premium, environmental, customs duties, alternative or add-on minimum, estimated, gross receipts, value-added and all other taxes of any kind imposed by any Governmental Entity, including any tax within the meaning of Section 3 of the German Tax Code (</w:t>
      </w:r>
      <w:r>
        <w:rPr>
          <w:rFonts w:ascii="Arial" w:cs="Arial" w:eastAsia="Arial" w:hAnsi="Arial"/>
          <w:sz w:val="18"/>
          <w:szCs w:val="18"/>
          <w:i w:val="1"/>
          <w:iCs w:val="1"/>
          <w:color w:val="auto"/>
        </w:rPr>
        <w:t>Abgabenordnung</w:t>
      </w:r>
      <w:r>
        <w:rPr>
          <w:rFonts w:ascii="Arial" w:cs="Arial" w:eastAsia="Arial" w:hAnsi="Arial"/>
          <w:sz w:val="18"/>
          <w:szCs w:val="18"/>
          <w:color w:val="auto"/>
        </w:rPr>
        <w:t>) and including any contractual or statutory (secondary) liablities for such Taxes.</w:t>
      </w:r>
    </w:p>
    <w:p>
      <w:pPr>
        <w:spacing w:after="0" w:line="54" w:lineRule="exact"/>
        <w:rPr>
          <w:sz w:val="20"/>
          <w:szCs w:val="20"/>
          <w:color w:val="auto"/>
        </w:rPr>
      </w:pPr>
    </w:p>
    <w:p>
      <w:pPr>
        <w:jc w:val="both"/>
        <w:ind w:left="20" w:right="18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Taxing Authority</w:t>
      </w:r>
      <w:r>
        <w:rPr>
          <w:rFonts w:ascii="Arial" w:cs="Arial" w:eastAsia="Arial" w:hAnsi="Arial"/>
          <w:sz w:val="19"/>
          <w:szCs w:val="19"/>
          <w:color w:val="auto"/>
        </w:rPr>
        <w:t>” means any Governmental Entity having or exercising authority to assess, impose or otherwise make decisions with respect to Taxes including tax authorities (</w:t>
      </w:r>
      <w:r>
        <w:rPr>
          <w:rFonts w:ascii="Arial" w:cs="Arial" w:eastAsia="Arial" w:hAnsi="Arial"/>
          <w:sz w:val="19"/>
          <w:szCs w:val="19"/>
          <w:i w:val="1"/>
          <w:iCs w:val="1"/>
          <w:color w:val="auto"/>
        </w:rPr>
        <w:t>Finanzbehörden</w:t>
      </w:r>
      <w:r>
        <w:rPr>
          <w:rFonts w:ascii="Arial" w:cs="Arial" w:eastAsia="Arial" w:hAnsi="Arial"/>
          <w:sz w:val="19"/>
          <w:szCs w:val="19"/>
          <w:color w:val="auto"/>
        </w:rPr>
        <w:t>) within the meaning of Section 6 of the German Tax Act (</w:t>
      </w:r>
      <w:r>
        <w:rPr>
          <w:rFonts w:ascii="Arial" w:cs="Arial" w:eastAsia="Arial" w:hAnsi="Arial"/>
          <w:sz w:val="19"/>
          <w:szCs w:val="19"/>
          <w:i w:val="1"/>
          <w:iCs w:val="1"/>
          <w:color w:val="auto"/>
        </w:rPr>
        <w:t>Abgabenordnung</w:t>
      </w:r>
      <w:r>
        <w:rPr>
          <w:rFonts w:ascii="Arial" w:cs="Arial" w:eastAsia="Arial" w:hAnsi="Arial"/>
          <w:sz w:val="19"/>
          <w:szCs w:val="19"/>
          <w:color w:val="auto"/>
        </w:rPr>
        <w:t>) and comparable authorities of any other jurisdiction.</w:t>
      </w:r>
    </w:p>
    <w:p>
      <w:pPr>
        <w:spacing w:after="0" w:line="54" w:lineRule="exact"/>
        <w:rPr>
          <w:sz w:val="20"/>
          <w:szCs w:val="20"/>
          <w:color w:val="auto"/>
        </w:rPr>
      </w:pPr>
    </w:p>
    <w:p>
      <w:pPr>
        <w:ind w:left="20" w:right="22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means the legal, accounting, financial advisory and other third party advisory or consulting fees and expenses incurred by any Group Company in connection with the transactions contemplated by this Agreement, including amounts paid or payable to the law firm of Stahl &amp; Kessler, and not paid prior to the Locked Box Date. Transaction Expenses shall not include amounts included as Change of Control Payments.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Payments</w:t>
      </w:r>
      <w:r>
        <w:rPr>
          <w:rFonts w:ascii="Arial" w:cs="Arial" w:eastAsia="Arial" w:hAnsi="Arial"/>
          <w:sz w:val="20"/>
          <w:szCs w:val="20"/>
          <w:color w:val="auto"/>
        </w:rPr>
        <w:t>” means:</w:t>
      </w:r>
    </w:p>
    <w:p>
      <w:pPr>
        <w:spacing w:after="0" w:line="114" w:lineRule="exact"/>
        <w:rPr>
          <w:sz w:val="20"/>
          <w:szCs w:val="20"/>
          <w:color w:val="auto"/>
        </w:rPr>
      </w:pPr>
    </w:p>
    <w:p>
      <w:pPr>
        <w:ind w:left="1140" w:hanging="497"/>
        <w:spacing w:after="0"/>
        <w:tabs>
          <w:tab w:leader="none" w:pos="114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the Change of Control Payments; and</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the Transaction Expenses.</w:t>
      </w:r>
    </w:p>
    <w:p>
      <w:pPr>
        <w:spacing w:after="0" w:line="102" w:lineRule="exact"/>
        <w:rPr>
          <w:sz w:val="20"/>
          <w:szCs w:val="20"/>
          <w:color w:val="auto"/>
        </w:rPr>
      </w:pPr>
    </w:p>
    <w:p>
      <w:pPr>
        <w:ind w:left="20" w:right="3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Air Force Solicitation</w:t>
      </w:r>
      <w:r>
        <w:rPr>
          <w:rFonts w:ascii="Arial" w:cs="Arial" w:eastAsia="Arial" w:hAnsi="Arial"/>
          <w:sz w:val="20"/>
          <w:szCs w:val="20"/>
          <w:color w:val="auto"/>
        </w:rPr>
        <w:t>” means solicitation number FA8051-20-R-3001 under the United States Air Force’s Large EOD Robot Program.</w:t>
      </w:r>
    </w:p>
    <w:p>
      <w:pPr>
        <w:spacing w:after="0" w:line="55" w:lineRule="exact"/>
        <w:rPr>
          <w:sz w:val="20"/>
          <w:szCs w:val="20"/>
          <w:color w:val="auto"/>
        </w:rPr>
      </w:pPr>
    </w:p>
    <w:p>
      <w:pPr>
        <w:ind w:left="20" w:right="4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Contract</w:t>
      </w:r>
      <w:r>
        <w:rPr>
          <w:rFonts w:ascii="Arial" w:cs="Arial" w:eastAsia="Arial" w:hAnsi="Arial"/>
          <w:sz w:val="18"/>
          <w:szCs w:val="18"/>
          <w:color w:val="auto"/>
        </w:rPr>
        <w:t>” means any agreement, including an individual task order, delivery order, purchase order or blanket purchase agreement, between a Group Company and any Governmental Entity subject to, or who has promulgated, any U.S. federal, state or local Laws (a “</w:t>
      </w:r>
      <w:r>
        <w:rPr>
          <w:rFonts w:ascii="Arial" w:cs="Arial" w:eastAsia="Arial" w:hAnsi="Arial"/>
          <w:sz w:val="18"/>
          <w:szCs w:val="18"/>
          <w:b w:val="1"/>
          <w:bCs w:val="1"/>
          <w:color w:val="auto"/>
        </w:rPr>
        <w:t>U.S. Governmental Entity</w:t>
      </w:r>
      <w:r>
        <w:rPr>
          <w:rFonts w:ascii="Arial" w:cs="Arial" w:eastAsia="Arial" w:hAnsi="Arial"/>
          <w:sz w:val="18"/>
          <w:szCs w:val="18"/>
          <w:color w:val="auto"/>
        </w:rPr>
        <w:t>”), as well as any subcontract or other arrangement by which (i) a Group Company has agreed to provide goods or services to a prime contractor, to a U.S. Governmental Entity or to a higher-tier subcontractor where the U.S. Governmental Entity is a direct or indirect customer; or (ii) a subcontractor or vendor has agreed to provide goods or services to a Group Company, where, in either event, such goods or services ultimately will benefit or be used by a Governmental Entity, including any closed contract or subcontract as to which the right of a U.S. Governmental Entity or a higher-tier contractor to review, audit or investigate has not expired.</w:t>
      </w:r>
    </w:p>
    <w:p>
      <w:pPr>
        <w:spacing w:after="0" w:line="5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Construction</w:t>
      </w:r>
    </w:p>
    <w:p>
      <w:pPr>
        <w:spacing w:after="0" w:line="11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Unless the context of this Agreement clearly requires otherwise: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8" w:right="1039" w:bottom="1440" w:gutter="0" w:footer="0" w:header="0"/>
        </w:sectPr>
      </w:pPr>
    </w:p>
    <w:bookmarkStart w:id="490" w:name="page491"/>
    <w:bookmarkEnd w:id="490"/>
    <w:p>
      <w:pPr>
        <w:ind w:left="1140" w:right="20" w:hanging="497"/>
        <w:spacing w:after="0" w:line="260" w:lineRule="auto"/>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references to the plural include the singular, and references to the singular include the plural (including in defined terms),</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references to any gender include the other genders;</w:t>
      </w:r>
    </w:p>
    <w:p>
      <w:pPr>
        <w:spacing w:after="0" w:line="107"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the words “include,” “includes” and “including” do not limit the preceding terms or words and shall be deemed to be followed by the words “without limitation”;</w:t>
      </w:r>
    </w:p>
    <w:p>
      <w:pPr>
        <w:spacing w:after="0" w:line="68" w:lineRule="exact"/>
        <w:rPr>
          <w:rFonts w:ascii="Arial" w:cs="Arial" w:eastAsia="Arial" w:hAnsi="Arial"/>
          <w:sz w:val="20"/>
          <w:szCs w:val="20"/>
          <w:color w:val="auto"/>
        </w:rPr>
      </w:pPr>
    </w:p>
    <w:p>
      <w:pPr>
        <w:ind w:left="1140" w:right="20" w:hanging="497"/>
        <w:spacing w:after="0" w:line="260" w:lineRule="auto"/>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the terms “hereof”, “herein”, “hereunder”, “hereto” and similar terms in this Agreement refer to this Agreement as a whole and not to any particular provision of this Agreement;</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the terms “day” and “days” mean and refer to calendar day(s);</w:t>
      </w:r>
    </w:p>
    <w:p>
      <w:pPr>
        <w:spacing w:after="0" w:line="107" w:lineRule="exact"/>
        <w:rPr>
          <w:rFonts w:ascii="Arial" w:cs="Arial" w:eastAsia="Arial" w:hAnsi="Arial"/>
          <w:sz w:val="20"/>
          <w:szCs w:val="20"/>
          <w:color w:val="auto"/>
        </w:rPr>
      </w:pPr>
    </w:p>
    <w:p>
      <w:pPr>
        <w:jc w:val="both"/>
        <w:ind w:left="1140" w:hanging="497"/>
        <w:spacing w:after="0" w:line="250" w:lineRule="auto"/>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references to a time of Day shall be construed as a reference to Frankfurt am Main, Germany, time and all periods of time (namely, a day, month and year) shall be calculated by reference to Frankfurt am Main, Germany time;</w:t>
      </w:r>
    </w:p>
    <w:p>
      <w:pPr>
        <w:spacing w:after="0" w:line="77" w:lineRule="exact"/>
        <w:rPr>
          <w:rFonts w:ascii="Arial" w:cs="Arial" w:eastAsia="Arial" w:hAnsi="Arial"/>
          <w:sz w:val="20"/>
          <w:szCs w:val="20"/>
          <w:color w:val="auto"/>
        </w:rPr>
      </w:pPr>
    </w:p>
    <w:p>
      <w:pPr>
        <w:ind w:left="1140" w:hanging="497"/>
        <w:spacing w:after="0"/>
        <w:tabs>
          <w:tab w:leader="none" w:pos="114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the terms “year” and “years” mean and refer to calendar year(s);</w:t>
      </w:r>
    </w:p>
    <w:p>
      <w:pPr>
        <w:spacing w:after="0" w:line="107" w:lineRule="exact"/>
        <w:rPr>
          <w:rFonts w:ascii="Arial" w:cs="Arial" w:eastAsia="Arial" w:hAnsi="Arial"/>
          <w:sz w:val="20"/>
          <w:szCs w:val="20"/>
          <w:color w:val="auto"/>
        </w:rPr>
      </w:pPr>
    </w:p>
    <w:p>
      <w:pPr>
        <w:jc w:val="both"/>
        <w:ind w:left="1140" w:hanging="497"/>
        <w:spacing w:after="0" w:line="276" w:lineRule="auto"/>
        <w:tabs>
          <w:tab w:leader="none" w:pos="11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references to any type of company or participation (</w:t>
      </w:r>
      <w:r>
        <w:rPr>
          <w:rFonts w:ascii="Arial" w:cs="Arial" w:eastAsia="Arial" w:hAnsi="Arial"/>
          <w:sz w:val="18"/>
          <w:szCs w:val="18"/>
          <w:i w:val="1"/>
          <w:iCs w:val="1"/>
          <w:color w:val="auto"/>
        </w:rPr>
        <w:t>Gesellschafts- oder Beteiligungsformen</w:t>
      </w:r>
      <w:r>
        <w:rPr>
          <w:rFonts w:ascii="Arial" w:cs="Arial" w:eastAsia="Arial" w:hAnsi="Arial"/>
          <w:sz w:val="18"/>
          <w:szCs w:val="18"/>
          <w:color w:val="auto"/>
        </w:rPr>
        <w:t>), proceedings, authorities or other bodies, rights, institutions (</w:t>
      </w:r>
      <w:r>
        <w:rPr>
          <w:rFonts w:ascii="Arial" w:cs="Arial" w:eastAsia="Arial" w:hAnsi="Arial"/>
          <w:sz w:val="18"/>
          <w:szCs w:val="18"/>
          <w:i w:val="1"/>
          <w:iCs w:val="1"/>
          <w:color w:val="auto"/>
        </w:rPr>
        <w:t>Einrichtungen</w:t>
      </w:r>
      <w:r>
        <w:rPr>
          <w:rFonts w:ascii="Arial" w:cs="Arial" w:eastAsia="Arial" w:hAnsi="Arial"/>
          <w:sz w:val="18"/>
          <w:szCs w:val="18"/>
          <w:color w:val="auto"/>
        </w:rPr>
        <w:t>), legal provisions or legal relationships or concepts (each a “</w:t>
      </w:r>
      <w:r>
        <w:rPr>
          <w:rFonts w:ascii="Arial" w:cs="Arial" w:eastAsia="Arial" w:hAnsi="Arial"/>
          <w:sz w:val="18"/>
          <w:szCs w:val="18"/>
          <w:b w:val="1"/>
          <w:bCs w:val="1"/>
          <w:color w:val="auto"/>
        </w:rPr>
        <w:t>Legal Term</w:t>
      </w:r>
      <w:r>
        <w:rPr>
          <w:rFonts w:ascii="Arial" w:cs="Arial" w:eastAsia="Arial" w:hAnsi="Arial"/>
          <w:sz w:val="18"/>
          <w:szCs w:val="18"/>
          <w:color w:val="auto"/>
        </w:rPr>
        <w:t>”) under German law shall comprise any corresponding (</w:t>
      </w:r>
      <w:r>
        <w:rPr>
          <w:rFonts w:ascii="Arial" w:cs="Arial" w:eastAsia="Arial" w:hAnsi="Arial"/>
          <w:sz w:val="18"/>
          <w:szCs w:val="18"/>
          <w:i w:val="1"/>
          <w:iCs w:val="1"/>
          <w:color w:val="auto"/>
        </w:rPr>
        <w:t>funktionsgleich</w:t>
      </w:r>
      <w:r>
        <w:rPr>
          <w:rFonts w:ascii="Arial" w:cs="Arial" w:eastAsia="Arial" w:hAnsi="Arial"/>
          <w:sz w:val="18"/>
          <w:szCs w:val="18"/>
          <w:color w:val="auto"/>
        </w:rPr>
        <w:t>) Legal Term under other than German law to the extent that such foreign law is applicable to the relevant facts and circumstances and to the extent that no such corresponding Legal Term exists under such foreign law, the Legal Term whose effect and function is closest to the German Legal Term shall be used instead;</w:t>
      </w:r>
    </w:p>
    <w:p>
      <w:pPr>
        <w:spacing w:after="0" w:line="56" w:lineRule="exact"/>
        <w:rPr>
          <w:rFonts w:ascii="Arial" w:cs="Arial" w:eastAsia="Arial" w:hAnsi="Arial"/>
          <w:sz w:val="18"/>
          <w:szCs w:val="18"/>
          <w:color w:val="auto"/>
        </w:rPr>
      </w:pPr>
    </w:p>
    <w:p>
      <w:pPr>
        <w:ind w:left="1140" w:hanging="497"/>
        <w:spacing w:after="0" w:line="316" w:lineRule="auto"/>
        <w:tabs>
          <w:tab w:leader="none" w:pos="11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where a German term has been inserted in italics it alone (and not the English term to which it relates) shall be authoritative for the purpose of the interpretation of the relevant English term in this Agreement; and</w:t>
      </w:r>
    </w:p>
    <w:p>
      <w:pPr>
        <w:spacing w:after="0" w:line="21" w:lineRule="exact"/>
        <w:rPr>
          <w:rFonts w:ascii="Arial" w:cs="Arial" w:eastAsia="Arial" w:hAnsi="Arial"/>
          <w:sz w:val="18"/>
          <w:szCs w:val="18"/>
          <w:color w:val="auto"/>
        </w:rPr>
      </w:pPr>
    </w:p>
    <w:p>
      <w:pPr>
        <w:jc w:val="both"/>
        <w:ind w:left="1140" w:hanging="497"/>
        <w:spacing w:after="0" w:line="278" w:lineRule="auto"/>
        <w:tabs>
          <w:tab w:leader="none" w:pos="11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express obligation or liability of a Party to cause, ensure or procure (</w:t>
      </w:r>
      <w:r>
        <w:rPr>
          <w:rFonts w:ascii="Arial" w:cs="Arial" w:eastAsia="Arial" w:hAnsi="Arial"/>
          <w:sz w:val="18"/>
          <w:szCs w:val="18"/>
          <w:i w:val="1"/>
          <w:iCs w:val="1"/>
          <w:color w:val="auto"/>
        </w:rPr>
        <w:t>stehen dafür ein</w:t>
      </w:r>
      <w:r>
        <w:rPr>
          <w:rFonts w:ascii="Arial" w:cs="Arial" w:eastAsia="Arial" w:hAnsi="Arial"/>
          <w:sz w:val="18"/>
          <w:szCs w:val="18"/>
          <w:color w:val="auto"/>
        </w:rPr>
        <w:t>) the performance of any obligation by any other Person shall not be reduced, discharged or otherwise adversely affected by any act, omission, matter or thing which would have discharged or affected the liability of that Party had it been a principal obligor or by anything done or omitted by any Person which, but for this provision, might operate or exonerate or discharge that Party or otherwise reduce or extinguish its liability under this Agreement</w:t>
      </w:r>
    </w:p>
    <w:p>
      <w:pPr>
        <w:spacing w:after="0" w:line="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Unless otherwise set forth herein, references in this Agreement to</w:t>
      </w:r>
    </w:p>
    <w:p>
      <w:pPr>
        <w:spacing w:after="0" w:line="108" w:lineRule="exact"/>
        <w:rPr>
          <w:sz w:val="20"/>
          <w:szCs w:val="20"/>
          <w:color w:val="auto"/>
        </w:rPr>
      </w:pPr>
    </w:p>
    <w:p>
      <w:pPr>
        <w:ind w:left="1140" w:hanging="497"/>
        <w:spacing w:after="0"/>
        <w:tabs>
          <w:tab w:leader="none" w:pos="1140"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any document, instrument or agreement (including this Agreement):</w:t>
      </w:r>
    </w:p>
    <w:p>
      <w:pPr>
        <w:spacing w:after="0" w:line="107" w:lineRule="exact"/>
        <w:rPr>
          <w:rFonts w:ascii="Arial" w:cs="Arial" w:eastAsia="Arial" w:hAnsi="Arial"/>
          <w:sz w:val="20"/>
          <w:szCs w:val="20"/>
          <w:color w:val="auto"/>
        </w:rPr>
      </w:pPr>
    </w:p>
    <w:p>
      <w:pPr>
        <w:ind w:left="1660" w:hanging="504"/>
        <w:spacing w:after="0"/>
        <w:tabs>
          <w:tab w:leader="none" w:pos="1660" w:val="left"/>
        </w:tabs>
        <w:numPr>
          <w:ilvl w:val="1"/>
          <w:numId w:val="521"/>
        </w:numPr>
        <w:rPr>
          <w:rFonts w:ascii="Arial" w:cs="Arial" w:eastAsia="Arial" w:hAnsi="Arial"/>
          <w:sz w:val="20"/>
          <w:szCs w:val="20"/>
          <w:color w:val="auto"/>
        </w:rPr>
      </w:pPr>
      <w:r>
        <w:rPr>
          <w:rFonts w:ascii="Arial" w:cs="Arial" w:eastAsia="Arial" w:hAnsi="Arial"/>
          <w:sz w:val="20"/>
          <w:szCs w:val="20"/>
          <w:color w:val="auto"/>
        </w:rPr>
        <w:t>includes and incorporates all exhibits, schedules and other attachments thereto;</w:t>
      </w:r>
    </w:p>
    <w:p>
      <w:pPr>
        <w:spacing w:after="0" w:line="107" w:lineRule="exact"/>
        <w:rPr>
          <w:rFonts w:ascii="Arial" w:cs="Arial" w:eastAsia="Arial" w:hAnsi="Arial"/>
          <w:sz w:val="20"/>
          <w:szCs w:val="20"/>
          <w:color w:val="auto"/>
        </w:rPr>
      </w:pPr>
    </w:p>
    <w:p>
      <w:pPr>
        <w:ind w:left="1660" w:hanging="504"/>
        <w:spacing w:after="0"/>
        <w:tabs>
          <w:tab w:leader="none" w:pos="166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includes all documents, instruments or agreements issued or executed in replacement thereof; and</w:t>
      </w:r>
    </w:p>
    <w:p>
      <w:pPr>
        <w:spacing w:after="0" w:line="130" w:lineRule="exact"/>
        <w:rPr>
          <w:rFonts w:ascii="Arial" w:cs="Arial" w:eastAsia="Arial" w:hAnsi="Arial"/>
          <w:sz w:val="18"/>
          <w:szCs w:val="18"/>
          <w:color w:val="auto"/>
        </w:rPr>
      </w:pPr>
    </w:p>
    <w:p>
      <w:pPr>
        <w:jc w:val="both"/>
        <w:ind w:left="1660" w:hanging="504"/>
        <w:spacing w:after="0" w:line="250" w:lineRule="auto"/>
        <w:tabs>
          <w:tab w:leader="none" w:pos="1660" w:val="left"/>
        </w:tabs>
        <w:numPr>
          <w:ilvl w:val="1"/>
          <w:numId w:val="521"/>
        </w:numPr>
        <w:rPr>
          <w:rFonts w:ascii="Arial" w:cs="Arial" w:eastAsia="Arial" w:hAnsi="Arial"/>
          <w:sz w:val="20"/>
          <w:szCs w:val="20"/>
          <w:color w:val="auto"/>
        </w:rPr>
      </w:pPr>
      <w:r>
        <w:rPr>
          <w:rFonts w:ascii="Arial" w:cs="Arial" w:eastAsia="Arial" w:hAnsi="Arial"/>
          <w:sz w:val="20"/>
          <w:szCs w:val="20"/>
          <w:color w:val="auto"/>
        </w:rPr>
        <w:t>means such document, instrument or agreement, or replacement or predecessor thereto, as amended, modified or supplemented from time to time in accordance with its terms and in effect at any given time; and</w:t>
      </w:r>
    </w:p>
    <w:p>
      <w:pPr>
        <w:spacing w:after="0" w:line="77"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 particular Law means such Law as amended, modified, supplemented or succeeded, from time to time and in effect at any given time.</w:t>
      </w:r>
    </w:p>
    <w:p>
      <w:pPr>
        <w:spacing w:after="0" w:line="69"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1.2.3</w:t>
        <w:tab/>
        <w:t>All Clause, Sub-Clause, Appendix and Schedule references herein are to Clauses, Sub-Clauses, Appendices and Schedules of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491" w:name="page492"/>
    <w:bookmarkEnd w:id="491"/>
    <w:p>
      <w:pPr>
        <w:spacing w:after="0"/>
        <w:tabs>
          <w:tab w:leader="none" w:pos="6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color w:val="auto"/>
        </w:rPr>
        <w:t>A reference to a Disclosure Schedule is a reference to the particular paragraph of Schedule 1.</w:t>
      </w:r>
    </w:p>
    <w:p>
      <w:pPr>
        <w:spacing w:after="0" w:line="108"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1.2.5</w:t>
        <w:tab/>
        <w:t>The table of contents and all headings in this Agreement are for ease of reference only and shall not affect the interpretation of this Agreement.</w:t>
      </w:r>
    </w:p>
    <w:p>
      <w:pPr>
        <w:spacing w:after="0" w:line="69" w:lineRule="exact"/>
        <w:rPr>
          <w:sz w:val="20"/>
          <w:szCs w:val="20"/>
          <w:color w:val="auto"/>
        </w:rPr>
      </w:pPr>
    </w:p>
    <w:p>
      <w:pPr>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1.2.6</w:t>
        <w:tab/>
        <w:t>This Agreement shall not be construed as if prepared by one of the Parties, but rather according to its fair meaning as a whole, as if all Parties had prepared it.</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Other Definitions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terms is defined in the Sub-Clause set forth opposite such term: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60" w:type="dxa"/>
            <w:vAlign w:val="bottom"/>
            <w:shd w:val="clear" w:color="auto" w:fill="D9D9D9"/>
          </w:tcPr>
          <w:p>
            <w:pPr>
              <w:ind w:left="1980"/>
              <w:spacing w:after="0"/>
              <w:rPr>
                <w:sz w:val="20"/>
                <w:szCs w:val="20"/>
                <w:color w:val="auto"/>
              </w:rPr>
            </w:pPr>
            <w:r>
              <w:rPr>
                <w:rFonts w:ascii="Arial" w:cs="Arial" w:eastAsia="Arial" w:hAnsi="Arial"/>
                <w:sz w:val="18"/>
                <w:szCs w:val="18"/>
                <w:b w:val="1"/>
                <w:bCs w:val="1"/>
                <w:color w:val="auto"/>
              </w:rPr>
              <w:t>Term</w:t>
            </w:r>
          </w:p>
        </w:tc>
        <w:tc>
          <w:tcPr>
            <w:tcW w:w="3740" w:type="dxa"/>
            <w:vAlign w:val="bottom"/>
            <w:shd w:val="clear" w:color="auto" w:fill="D9D9D9"/>
          </w:tcPr>
          <w:p>
            <w:pPr>
              <w:ind w:left="1840"/>
              <w:spacing w:after="0"/>
              <w:rPr>
                <w:sz w:val="20"/>
                <w:szCs w:val="20"/>
                <w:color w:val="auto"/>
              </w:rPr>
            </w:pPr>
            <w:r>
              <w:rPr>
                <w:rFonts w:ascii="Arial" w:cs="Arial" w:eastAsia="Arial" w:hAnsi="Arial"/>
                <w:sz w:val="18"/>
                <w:szCs w:val="18"/>
                <w:b w:val="1"/>
                <w:bCs w:val="1"/>
                <w:color w:val="auto"/>
              </w:rPr>
              <w:t>Reference</w:t>
            </w:r>
          </w:p>
        </w:tc>
        <w:tc>
          <w:tcPr>
            <w:tcW w:w="18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6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Acquisition</w:t>
            </w:r>
          </w:p>
        </w:tc>
        <w:tc>
          <w:tcPr>
            <w:tcW w:w="3740" w:type="dxa"/>
            <w:vAlign w:val="bottom"/>
          </w:tcPr>
          <w:p>
            <w:pPr>
              <w:ind w:left="860"/>
              <w:spacing w:after="0" w:line="198" w:lineRule="exact"/>
              <w:rPr>
                <w:sz w:val="20"/>
                <w:szCs w:val="20"/>
                <w:color w:val="auto"/>
              </w:rPr>
            </w:pPr>
            <w:r>
              <w:rPr>
                <w:rFonts w:ascii="Arial" w:cs="Arial" w:eastAsia="Arial" w:hAnsi="Arial"/>
                <w:sz w:val="18"/>
                <w:szCs w:val="18"/>
                <w:color w:val="auto"/>
              </w:rPr>
              <w:t>Recitals</w:t>
            </w:r>
          </w:p>
        </w:tc>
        <w:tc>
          <w:tcPr>
            <w:tcW w:w="18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Affiliate Loans</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24.1 of Schedule 1</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Agreement</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Preamble</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AWV Section 58 Clearance</w:t>
            </w:r>
          </w:p>
        </w:tc>
        <w:tc>
          <w:tcPr>
            <w:tcW w:w="3740" w:type="dxa"/>
            <w:vAlign w:val="bottom"/>
          </w:tcPr>
          <w:p>
            <w:pPr>
              <w:ind w:left="860"/>
              <w:spacing w:after="0"/>
              <w:rPr>
                <w:sz w:val="20"/>
                <w:szCs w:val="20"/>
                <w:color w:val="auto"/>
              </w:rPr>
            </w:pPr>
            <w:r>
              <w:rPr>
                <w:rFonts w:ascii="Arial" w:cs="Arial" w:eastAsia="Arial" w:hAnsi="Arial"/>
                <w:sz w:val="18"/>
                <w:szCs w:val="18"/>
                <w:color w:val="auto"/>
              </w:rPr>
              <w:t>6.6.3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AWV Notification</w:t>
            </w:r>
          </w:p>
        </w:tc>
        <w:tc>
          <w:tcPr>
            <w:tcW w:w="3740" w:type="dxa"/>
            <w:vAlign w:val="bottom"/>
          </w:tcPr>
          <w:p>
            <w:pPr>
              <w:ind w:left="860"/>
              <w:spacing w:after="0"/>
              <w:rPr>
                <w:sz w:val="20"/>
                <w:szCs w:val="20"/>
                <w:color w:val="auto"/>
              </w:rPr>
            </w:pPr>
            <w:r>
              <w:rPr>
                <w:rFonts w:ascii="Arial" w:cs="Arial" w:eastAsia="Arial" w:hAnsi="Arial"/>
                <w:sz w:val="18"/>
                <w:szCs w:val="18"/>
                <w:color w:val="auto"/>
              </w:rPr>
              <w:t>6.6.3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AWV Section 60 Confirmation</w:t>
            </w:r>
          </w:p>
        </w:tc>
        <w:tc>
          <w:tcPr>
            <w:tcW w:w="3740" w:type="dxa"/>
            <w:vAlign w:val="bottom"/>
          </w:tcPr>
          <w:p>
            <w:pPr>
              <w:ind w:left="860"/>
              <w:spacing w:after="0"/>
              <w:rPr>
                <w:sz w:val="20"/>
                <w:szCs w:val="20"/>
                <w:color w:val="auto"/>
              </w:rPr>
            </w:pPr>
            <w:r>
              <w:rPr>
                <w:rFonts w:ascii="Arial" w:cs="Arial" w:eastAsia="Arial" w:hAnsi="Arial"/>
                <w:sz w:val="18"/>
                <w:szCs w:val="18"/>
                <w:color w:val="auto"/>
              </w:rPr>
              <w:t>6.6.3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AWV Section 55 Commencement Notice</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7.1.1a)(ii)</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AWV Section 61 Commencement Notice</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7.1.1b)(iii)</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BMWi</w:t>
            </w:r>
          </w:p>
        </w:tc>
        <w:tc>
          <w:tcPr>
            <w:tcW w:w="3740" w:type="dxa"/>
            <w:vAlign w:val="bottom"/>
          </w:tcPr>
          <w:p>
            <w:pPr>
              <w:ind w:left="860"/>
              <w:spacing w:after="0"/>
              <w:rPr>
                <w:sz w:val="20"/>
                <w:szCs w:val="20"/>
                <w:color w:val="auto"/>
              </w:rPr>
            </w:pPr>
            <w:r>
              <w:rPr>
                <w:rFonts w:ascii="Arial" w:cs="Arial" w:eastAsia="Arial" w:hAnsi="Arial"/>
                <w:sz w:val="18"/>
                <w:szCs w:val="18"/>
                <w:color w:val="auto"/>
              </w:rPr>
              <w:t>6.6.3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Business</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Recitals</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Claim Notice</w:t>
            </w:r>
          </w:p>
        </w:tc>
        <w:tc>
          <w:tcPr>
            <w:tcW w:w="3740" w:type="dxa"/>
            <w:vAlign w:val="bottom"/>
          </w:tcPr>
          <w:p>
            <w:pPr>
              <w:ind w:left="860"/>
              <w:spacing w:after="0"/>
              <w:rPr>
                <w:sz w:val="20"/>
                <w:szCs w:val="20"/>
                <w:color w:val="auto"/>
              </w:rPr>
            </w:pPr>
            <w:r>
              <w:rPr>
                <w:rFonts w:ascii="Arial" w:cs="Arial" w:eastAsia="Arial" w:hAnsi="Arial"/>
                <w:sz w:val="18"/>
                <w:szCs w:val="18"/>
                <w:color w:val="auto"/>
              </w:rPr>
              <w:t>10.3.7</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Closing Payment Shares</w:t>
            </w:r>
          </w:p>
        </w:tc>
        <w:tc>
          <w:tcPr>
            <w:tcW w:w="3740" w:type="dxa"/>
            <w:vAlign w:val="bottom"/>
          </w:tcPr>
          <w:p>
            <w:pPr>
              <w:ind w:left="860"/>
              <w:spacing w:after="0"/>
              <w:rPr>
                <w:sz w:val="20"/>
                <w:szCs w:val="20"/>
                <w:color w:val="auto"/>
              </w:rPr>
            </w:pPr>
            <w:r>
              <w:rPr>
                <w:rFonts w:ascii="Arial" w:cs="Arial" w:eastAsia="Arial" w:hAnsi="Arial"/>
                <w:sz w:val="18"/>
                <w:szCs w:val="18"/>
                <w:color w:val="auto"/>
              </w:rPr>
              <w:t>3.1</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Company Contracts</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12.1 of Schedule 1</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Company Security Policies</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12.7(o)(ii) of Schedule 1</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Current U.S. Government Contracts</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12.7(a) of Schedule 1</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Discount Condition</w:t>
            </w:r>
          </w:p>
        </w:tc>
        <w:tc>
          <w:tcPr>
            <w:tcW w:w="3740" w:type="dxa"/>
            <w:vAlign w:val="bottom"/>
          </w:tcPr>
          <w:p>
            <w:pPr>
              <w:ind w:left="860"/>
              <w:spacing w:after="0"/>
              <w:rPr>
                <w:sz w:val="20"/>
                <w:szCs w:val="20"/>
                <w:color w:val="auto"/>
              </w:rPr>
            </w:pPr>
            <w:r>
              <w:rPr>
                <w:rFonts w:ascii="Arial" w:cs="Arial" w:eastAsia="Arial" w:hAnsi="Arial"/>
                <w:sz w:val="18"/>
                <w:szCs w:val="18"/>
                <w:color w:val="auto"/>
              </w:rPr>
              <w:t>3.11</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Discounted Lockman Outstanding</w:t>
            </w:r>
          </w:p>
        </w:tc>
        <w:tc>
          <w:tcPr>
            <w:tcW w:w="3740" w:type="dxa"/>
            <w:vAlign w:val="bottom"/>
          </w:tcPr>
          <w:p>
            <w:pPr>
              <w:ind w:left="860"/>
              <w:spacing w:after="0"/>
              <w:rPr>
                <w:sz w:val="20"/>
                <w:szCs w:val="20"/>
                <w:color w:val="auto"/>
              </w:rPr>
            </w:pPr>
            <w:r>
              <w:rPr>
                <w:rFonts w:ascii="Arial" w:cs="Arial" w:eastAsia="Arial" w:hAnsi="Arial"/>
                <w:sz w:val="18"/>
                <w:szCs w:val="18"/>
                <w:color w:val="auto"/>
              </w:rPr>
              <w:t>3.11</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 Earn Outs</w:t>
            </w:r>
          </w:p>
        </w:tc>
        <w:tc>
          <w:tcPr>
            <w:tcW w:w="3740" w:type="dxa"/>
            <w:vAlign w:val="bottom"/>
          </w:tcPr>
          <w:p>
            <w:pPr>
              <w:ind w:left="860"/>
              <w:spacing w:after="0"/>
              <w:rPr>
                <w:sz w:val="20"/>
                <w:szCs w:val="20"/>
                <w:color w:val="auto"/>
              </w:rPr>
            </w:pPr>
            <w:r>
              <w:rPr>
                <w:rFonts w:ascii="Arial" w:cs="Arial" w:eastAsia="Arial" w:hAnsi="Arial"/>
                <w:sz w:val="18"/>
                <w:szCs w:val="18"/>
                <w:color w:val="auto"/>
              </w:rPr>
              <w:t>3.10.3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First Year</w:t>
            </w:r>
          </w:p>
        </w:tc>
        <w:tc>
          <w:tcPr>
            <w:tcW w:w="3740" w:type="dxa"/>
            <w:vAlign w:val="bottom"/>
          </w:tcPr>
          <w:p>
            <w:pPr>
              <w:ind w:left="860"/>
              <w:spacing w:after="0"/>
              <w:rPr>
                <w:sz w:val="20"/>
                <w:szCs w:val="20"/>
                <w:color w:val="auto"/>
              </w:rPr>
            </w:pPr>
            <w:r>
              <w:rPr>
                <w:rFonts w:ascii="Arial" w:cs="Arial" w:eastAsia="Arial" w:hAnsi="Arial"/>
                <w:sz w:val="18"/>
                <w:szCs w:val="18"/>
                <w:color w:val="auto"/>
              </w:rPr>
              <w:t>3.10.1</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II</w:t>
            </w:r>
          </w:p>
        </w:tc>
        <w:tc>
          <w:tcPr>
            <w:tcW w:w="3740" w:type="dxa"/>
            <w:vAlign w:val="bottom"/>
          </w:tcPr>
          <w:p>
            <w:pPr>
              <w:ind w:left="860"/>
              <w:spacing w:after="0"/>
              <w:rPr>
                <w:sz w:val="20"/>
                <w:szCs w:val="20"/>
                <w:color w:val="auto"/>
              </w:rPr>
            </w:pPr>
            <w:r>
              <w:rPr>
                <w:rFonts w:ascii="Arial" w:cs="Arial" w:eastAsia="Arial" w:hAnsi="Arial"/>
                <w:sz w:val="18"/>
                <w:szCs w:val="18"/>
                <w:color w:val="auto"/>
              </w:rPr>
              <w:t>3.11</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Period</w:t>
            </w:r>
          </w:p>
        </w:tc>
        <w:tc>
          <w:tcPr>
            <w:tcW w:w="3740" w:type="dxa"/>
            <w:vAlign w:val="bottom"/>
          </w:tcPr>
          <w:p>
            <w:pPr>
              <w:ind w:left="860"/>
              <w:spacing w:after="0"/>
              <w:rPr>
                <w:sz w:val="20"/>
                <w:szCs w:val="20"/>
                <w:color w:val="auto"/>
              </w:rPr>
            </w:pPr>
            <w:r>
              <w:rPr>
                <w:rFonts w:ascii="Arial" w:cs="Arial" w:eastAsia="Arial" w:hAnsi="Arial"/>
                <w:sz w:val="18"/>
                <w:szCs w:val="18"/>
                <w:color w:val="auto"/>
              </w:rPr>
              <w:t>3.10.4</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Second Year</w:t>
            </w:r>
          </w:p>
        </w:tc>
        <w:tc>
          <w:tcPr>
            <w:tcW w:w="3740" w:type="dxa"/>
            <w:vAlign w:val="bottom"/>
          </w:tcPr>
          <w:p>
            <w:pPr>
              <w:ind w:left="860"/>
              <w:spacing w:after="0"/>
              <w:rPr>
                <w:sz w:val="20"/>
                <w:szCs w:val="20"/>
                <w:color w:val="auto"/>
              </w:rPr>
            </w:pPr>
            <w:r>
              <w:rPr>
                <w:rFonts w:ascii="Arial" w:cs="Arial" w:eastAsia="Arial" w:hAnsi="Arial"/>
                <w:sz w:val="18"/>
                <w:szCs w:val="18"/>
                <w:color w:val="auto"/>
              </w:rPr>
              <w:t>3.10.2</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Third Year</w:t>
            </w:r>
          </w:p>
        </w:tc>
        <w:tc>
          <w:tcPr>
            <w:tcW w:w="3740" w:type="dxa"/>
            <w:vAlign w:val="bottom"/>
          </w:tcPr>
          <w:p>
            <w:pPr>
              <w:ind w:left="860"/>
              <w:spacing w:after="0"/>
              <w:rPr>
                <w:sz w:val="20"/>
                <w:szCs w:val="20"/>
                <w:color w:val="auto"/>
              </w:rPr>
            </w:pPr>
            <w:r>
              <w:rPr>
                <w:rFonts w:ascii="Arial" w:cs="Arial" w:eastAsia="Arial" w:hAnsi="Arial"/>
                <w:sz w:val="18"/>
                <w:szCs w:val="18"/>
                <w:color w:val="auto"/>
              </w:rPr>
              <w:t>3.10.3</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 Out Year</w:t>
            </w:r>
          </w:p>
        </w:tc>
        <w:tc>
          <w:tcPr>
            <w:tcW w:w="3740" w:type="dxa"/>
            <w:vAlign w:val="bottom"/>
          </w:tcPr>
          <w:p>
            <w:pPr>
              <w:ind w:left="860"/>
              <w:spacing w:after="0"/>
              <w:rPr>
                <w:sz w:val="20"/>
                <w:szCs w:val="20"/>
                <w:color w:val="auto"/>
              </w:rPr>
            </w:pPr>
            <w:r>
              <w:rPr>
                <w:rFonts w:ascii="Arial" w:cs="Arial" w:eastAsia="Arial" w:hAnsi="Arial"/>
                <w:sz w:val="18"/>
                <w:szCs w:val="18"/>
                <w:color w:val="auto"/>
              </w:rPr>
              <w:t>3.10.4</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Earnout Determination</w:t>
            </w:r>
          </w:p>
        </w:tc>
        <w:tc>
          <w:tcPr>
            <w:tcW w:w="3740" w:type="dxa"/>
            <w:vAlign w:val="bottom"/>
          </w:tcPr>
          <w:p>
            <w:pPr>
              <w:ind w:left="860"/>
              <w:spacing w:after="0"/>
              <w:rPr>
                <w:sz w:val="20"/>
                <w:szCs w:val="20"/>
                <w:color w:val="auto"/>
              </w:rPr>
            </w:pPr>
            <w:r>
              <w:rPr>
                <w:rFonts w:ascii="Arial" w:cs="Arial" w:eastAsia="Arial" w:hAnsi="Arial"/>
                <w:sz w:val="18"/>
                <w:szCs w:val="18"/>
                <w:color w:val="auto"/>
              </w:rPr>
              <w:t>3.10.9</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Earnout Determination Date</w:t>
            </w:r>
          </w:p>
        </w:tc>
        <w:tc>
          <w:tcPr>
            <w:tcW w:w="3740" w:type="dxa"/>
            <w:vAlign w:val="bottom"/>
          </w:tcPr>
          <w:p>
            <w:pPr>
              <w:ind w:left="860"/>
              <w:spacing w:after="0"/>
              <w:rPr>
                <w:sz w:val="20"/>
                <w:szCs w:val="20"/>
                <w:color w:val="auto"/>
              </w:rPr>
            </w:pPr>
            <w:r>
              <w:rPr>
                <w:rFonts w:ascii="Arial" w:cs="Arial" w:eastAsia="Arial" w:hAnsi="Arial"/>
                <w:sz w:val="18"/>
                <w:szCs w:val="18"/>
                <w:color w:val="auto"/>
              </w:rPr>
              <w:t>3.10.9</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Earnout Review Period</w:t>
            </w:r>
          </w:p>
        </w:tc>
        <w:tc>
          <w:tcPr>
            <w:tcW w:w="3740" w:type="dxa"/>
            <w:vAlign w:val="bottom"/>
          </w:tcPr>
          <w:p>
            <w:pPr>
              <w:ind w:left="860"/>
              <w:spacing w:after="0"/>
              <w:rPr>
                <w:sz w:val="20"/>
                <w:szCs w:val="20"/>
                <w:color w:val="auto"/>
              </w:rPr>
            </w:pPr>
            <w:r>
              <w:rPr>
                <w:rFonts w:ascii="Arial" w:cs="Arial" w:eastAsia="Arial" w:hAnsi="Arial"/>
                <w:sz w:val="18"/>
                <w:szCs w:val="18"/>
                <w:color w:val="auto"/>
              </w:rPr>
              <w:t>3.10.10</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Employee Organisation</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15.1(a) of Schedule 1</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Escrow Amount</w:t>
            </w:r>
          </w:p>
        </w:tc>
        <w:tc>
          <w:tcPr>
            <w:tcW w:w="3740" w:type="dxa"/>
            <w:vAlign w:val="bottom"/>
          </w:tcPr>
          <w:p>
            <w:pPr>
              <w:ind w:left="860"/>
              <w:spacing w:after="0"/>
              <w:rPr>
                <w:sz w:val="20"/>
                <w:szCs w:val="20"/>
                <w:color w:val="auto"/>
              </w:rPr>
            </w:pPr>
            <w:r>
              <w:rPr>
                <w:rFonts w:ascii="Arial" w:cs="Arial" w:eastAsia="Arial" w:hAnsi="Arial"/>
                <w:sz w:val="18"/>
                <w:szCs w:val="18"/>
                <w:color w:val="auto"/>
              </w:rPr>
              <w:t>3.2</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Escrow Fund</w:t>
            </w:r>
          </w:p>
        </w:tc>
        <w:tc>
          <w:tcPr>
            <w:tcW w:w="3740" w:type="dxa"/>
            <w:vAlign w:val="bottom"/>
          </w:tcPr>
          <w:p>
            <w:pPr>
              <w:ind w:left="860"/>
              <w:spacing w:after="0"/>
              <w:rPr>
                <w:sz w:val="20"/>
                <w:szCs w:val="20"/>
                <w:color w:val="auto"/>
              </w:rPr>
            </w:pPr>
            <w:r>
              <w:rPr>
                <w:rFonts w:ascii="Arial" w:cs="Arial" w:eastAsia="Arial" w:hAnsi="Arial"/>
                <w:sz w:val="18"/>
                <w:szCs w:val="18"/>
                <w:color w:val="auto"/>
              </w:rPr>
              <w:t>3.2</w:t>
            </w:r>
          </w:p>
        </w:tc>
        <w:tc>
          <w:tcPr>
            <w:tcW w:w="1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Expiration Date</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8.6a)</w:t>
            </w:r>
          </w:p>
        </w:tc>
      </w:tr>
      <w:tr>
        <w:trPr>
          <w:trHeight w:val="216"/>
        </w:trPr>
        <w:tc>
          <w:tcPr>
            <w:tcW w:w="6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FAR</w:t>
            </w:r>
          </w:p>
        </w:tc>
        <w:tc>
          <w:tcPr>
            <w:tcW w:w="5600" w:type="dxa"/>
            <w:vAlign w:val="bottom"/>
            <w:gridSpan w:val="2"/>
          </w:tcPr>
          <w:p>
            <w:pPr>
              <w:ind w:left="860"/>
              <w:spacing w:after="0"/>
              <w:rPr>
                <w:sz w:val="20"/>
                <w:szCs w:val="20"/>
                <w:color w:val="auto"/>
              </w:rPr>
            </w:pPr>
            <w:r>
              <w:rPr>
                <w:rFonts w:ascii="Arial" w:cs="Arial" w:eastAsia="Arial" w:hAnsi="Arial"/>
                <w:sz w:val="18"/>
                <w:szCs w:val="18"/>
                <w:color w:val="auto"/>
              </w:rPr>
              <w:t>12.7(c) of Schedule 1</w:t>
            </w:r>
          </w:p>
        </w:tc>
      </w:tr>
      <w:tr>
        <w:trPr>
          <w:trHeight w:val="234"/>
        </w:trPr>
        <w:tc>
          <w:tcPr>
            <w:tcW w:w="66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First Earn Out Year</w:t>
            </w:r>
          </w:p>
        </w:tc>
        <w:tc>
          <w:tcPr>
            <w:tcW w:w="3740" w:type="dxa"/>
            <w:vAlign w:val="bottom"/>
          </w:tcPr>
          <w:p>
            <w:pPr>
              <w:ind w:left="860"/>
              <w:spacing w:after="0"/>
              <w:rPr>
                <w:sz w:val="20"/>
                <w:szCs w:val="20"/>
                <w:color w:val="auto"/>
              </w:rPr>
            </w:pPr>
            <w:r>
              <w:rPr>
                <w:rFonts w:ascii="Arial" w:cs="Arial" w:eastAsia="Arial" w:hAnsi="Arial"/>
                <w:sz w:val="18"/>
                <w:szCs w:val="18"/>
                <w:color w:val="auto"/>
              </w:rPr>
              <w:t>3.10.4</w:t>
            </w:r>
          </w:p>
        </w:tc>
        <w:tc>
          <w:tcPr>
            <w:tcW w:w="1860" w:type="dxa"/>
            <w:vAlign w:val="bottom"/>
          </w:tcPr>
          <w:p>
            <w:pPr>
              <w:spacing w:after="0"/>
              <w:rPr>
                <w:sz w:val="20"/>
                <w:szCs w:val="20"/>
                <w:color w:val="auto"/>
              </w:rPr>
            </w:pPr>
          </w:p>
        </w:tc>
      </w:tr>
      <w:tr>
        <w:trPr>
          <w:trHeight w:val="878"/>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-16-</w:t>
            </w:r>
          </w:p>
        </w:tc>
        <w:tc>
          <w:tcPr>
            <w:tcW w:w="186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8" w:right="999" w:bottom="1440" w:gutter="0" w:footer="0" w:header="0"/>
        </w:sectPr>
      </w:pPr>
    </w:p>
    <w:bookmarkStart w:id="492" w:name="page493"/>
    <w:bookmarkEnd w:id="492"/>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3700" w:type="dxa"/>
            <w:vAlign w:val="bottom"/>
            <w:shd w:val="clear" w:color="auto" w:fill="D9D9D9"/>
          </w:tcPr>
          <w:p>
            <w:pPr>
              <w:ind w:left="1960"/>
              <w:spacing w:after="0"/>
              <w:rPr>
                <w:sz w:val="20"/>
                <w:szCs w:val="20"/>
                <w:color w:val="auto"/>
              </w:rPr>
            </w:pPr>
            <w:r>
              <w:rPr>
                <w:rFonts w:ascii="Arial" w:cs="Arial" w:eastAsia="Arial" w:hAnsi="Arial"/>
                <w:sz w:val="18"/>
                <w:szCs w:val="18"/>
                <w:b w:val="1"/>
                <w:bCs w:val="1"/>
                <w:color w:val="auto"/>
              </w:rPr>
              <w:t>Term</w:t>
            </w:r>
          </w:p>
        </w:tc>
        <w:tc>
          <w:tcPr>
            <w:tcW w:w="3700" w:type="dxa"/>
            <w:vAlign w:val="bottom"/>
            <w:shd w:val="clear" w:color="auto" w:fill="D9D9D9"/>
          </w:tcPr>
          <w:p>
            <w:pPr>
              <w:ind w:left="1780"/>
              <w:spacing w:after="0"/>
              <w:rPr>
                <w:sz w:val="20"/>
                <w:szCs w:val="20"/>
                <w:color w:val="auto"/>
              </w:rPr>
            </w:pPr>
            <w:r>
              <w:rPr>
                <w:rFonts w:ascii="Arial" w:cs="Arial" w:eastAsia="Arial" w:hAnsi="Arial"/>
                <w:sz w:val="18"/>
                <w:szCs w:val="18"/>
                <w:b w:val="1"/>
                <w:bCs w:val="1"/>
                <w:color w:val="auto"/>
              </w:rPr>
              <w:t>Reference</w:t>
            </w:r>
          </w:p>
        </w:tc>
      </w:tr>
      <w:tr>
        <w:trPr>
          <w:trHeight w:val="198"/>
        </w:trPr>
        <w:tc>
          <w:tcPr>
            <w:tcW w:w="370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Indemnifying Party</w:t>
            </w:r>
          </w:p>
        </w:tc>
        <w:tc>
          <w:tcPr>
            <w:tcW w:w="3700" w:type="dxa"/>
            <w:vAlign w:val="bottom"/>
          </w:tcPr>
          <w:p>
            <w:pPr>
              <w:ind w:left="740"/>
              <w:spacing w:after="0" w:line="198" w:lineRule="exact"/>
              <w:rPr>
                <w:sz w:val="20"/>
                <w:szCs w:val="20"/>
                <w:color w:val="auto"/>
              </w:rPr>
            </w:pPr>
            <w:r>
              <w:rPr>
                <w:rFonts w:ascii="Arial" w:cs="Arial" w:eastAsia="Arial" w:hAnsi="Arial"/>
                <w:sz w:val="18"/>
                <w:szCs w:val="18"/>
                <w:color w:val="auto"/>
              </w:rPr>
              <w:t>10.3.1</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Insurance Contracts</w:t>
            </w:r>
          </w:p>
        </w:tc>
        <w:tc>
          <w:tcPr>
            <w:tcW w:w="3700" w:type="dxa"/>
            <w:vAlign w:val="bottom"/>
          </w:tcPr>
          <w:p>
            <w:pPr>
              <w:ind w:left="740"/>
              <w:spacing w:after="0"/>
              <w:rPr>
                <w:sz w:val="20"/>
                <w:szCs w:val="20"/>
                <w:color w:val="auto"/>
              </w:rPr>
            </w:pPr>
            <w:r>
              <w:rPr>
                <w:rFonts w:ascii="Arial" w:cs="Arial" w:eastAsia="Arial" w:hAnsi="Arial"/>
                <w:sz w:val="18"/>
                <w:szCs w:val="18"/>
                <w:color w:val="auto"/>
              </w:rPr>
              <w:t>16.1 of Schedule 1</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Leakage Claim</w:t>
            </w:r>
          </w:p>
        </w:tc>
        <w:tc>
          <w:tcPr>
            <w:tcW w:w="3700" w:type="dxa"/>
            <w:vAlign w:val="bottom"/>
          </w:tcPr>
          <w:p>
            <w:pPr>
              <w:ind w:left="740"/>
              <w:spacing w:after="0"/>
              <w:rPr>
                <w:sz w:val="20"/>
                <w:szCs w:val="20"/>
                <w:color w:val="auto"/>
              </w:rPr>
            </w:pPr>
            <w:r>
              <w:rPr>
                <w:rFonts w:ascii="Arial" w:cs="Arial" w:eastAsia="Arial" w:hAnsi="Arial"/>
                <w:sz w:val="18"/>
                <w:szCs w:val="18"/>
                <w:color w:val="auto"/>
              </w:rPr>
              <w:t>3.6.2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Legal Proceeding</w:t>
            </w:r>
          </w:p>
        </w:tc>
        <w:tc>
          <w:tcPr>
            <w:tcW w:w="3700" w:type="dxa"/>
            <w:vAlign w:val="bottom"/>
          </w:tcPr>
          <w:p>
            <w:pPr>
              <w:ind w:left="740"/>
              <w:spacing w:after="0"/>
              <w:rPr>
                <w:sz w:val="20"/>
                <w:szCs w:val="20"/>
                <w:color w:val="auto"/>
              </w:rPr>
            </w:pPr>
            <w:r>
              <w:rPr>
                <w:rFonts w:ascii="Arial" w:cs="Arial" w:eastAsia="Arial" w:hAnsi="Arial"/>
                <w:sz w:val="18"/>
                <w:szCs w:val="18"/>
                <w:color w:val="auto"/>
              </w:rPr>
              <w:t>10.1 of Schedule 1</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Legal Term</w:t>
            </w:r>
          </w:p>
        </w:tc>
        <w:tc>
          <w:tcPr>
            <w:tcW w:w="3700" w:type="dxa"/>
            <w:vAlign w:val="bottom"/>
          </w:tcPr>
          <w:p>
            <w:pPr>
              <w:ind w:left="740"/>
              <w:spacing w:after="0"/>
              <w:rPr>
                <w:sz w:val="20"/>
                <w:szCs w:val="20"/>
                <w:color w:val="auto"/>
              </w:rPr>
            </w:pPr>
            <w:r>
              <w:rPr>
                <w:rFonts w:ascii="Arial" w:cs="Arial" w:eastAsia="Arial" w:hAnsi="Arial"/>
                <w:sz w:val="18"/>
                <w:szCs w:val="18"/>
                <w:color w:val="auto"/>
              </w:rPr>
              <w:t>1.2.1i)</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Lockman Payoff Letter</w:t>
            </w:r>
          </w:p>
        </w:tc>
        <w:tc>
          <w:tcPr>
            <w:tcW w:w="3700" w:type="dxa"/>
            <w:vAlign w:val="bottom"/>
          </w:tcPr>
          <w:p>
            <w:pPr>
              <w:ind w:left="740"/>
              <w:spacing w:after="0"/>
              <w:rPr>
                <w:sz w:val="20"/>
                <w:szCs w:val="20"/>
                <w:color w:val="auto"/>
              </w:rPr>
            </w:pPr>
            <w:r>
              <w:rPr>
                <w:rFonts w:ascii="Arial" w:cs="Arial" w:eastAsia="Arial" w:hAnsi="Arial"/>
                <w:sz w:val="18"/>
                <w:szCs w:val="18"/>
                <w:color w:val="auto"/>
              </w:rPr>
              <w:t>7.1.1g)</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Lockman Repayment Agreement</w:t>
            </w:r>
          </w:p>
        </w:tc>
        <w:tc>
          <w:tcPr>
            <w:tcW w:w="3700" w:type="dxa"/>
            <w:vAlign w:val="bottom"/>
          </w:tcPr>
          <w:p>
            <w:pPr>
              <w:ind w:left="740"/>
              <w:spacing w:after="0"/>
              <w:rPr>
                <w:sz w:val="20"/>
                <w:szCs w:val="20"/>
                <w:color w:val="auto"/>
              </w:rPr>
            </w:pPr>
            <w:r>
              <w:rPr>
                <w:rFonts w:ascii="Arial" w:cs="Arial" w:eastAsia="Arial" w:hAnsi="Arial"/>
                <w:sz w:val="18"/>
                <w:szCs w:val="18"/>
                <w:color w:val="auto"/>
              </w:rPr>
              <w:t>3.11</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Non-Competition Agreement</w:t>
            </w:r>
          </w:p>
        </w:tc>
        <w:tc>
          <w:tcPr>
            <w:tcW w:w="3700" w:type="dxa"/>
            <w:vAlign w:val="bottom"/>
          </w:tcPr>
          <w:p>
            <w:pPr>
              <w:ind w:left="740"/>
              <w:spacing w:after="0"/>
              <w:rPr>
                <w:sz w:val="20"/>
                <w:szCs w:val="20"/>
                <w:color w:val="auto"/>
              </w:rPr>
            </w:pPr>
            <w:r>
              <w:rPr>
                <w:rFonts w:ascii="Arial" w:cs="Arial" w:eastAsia="Arial" w:hAnsi="Arial"/>
                <w:sz w:val="18"/>
                <w:szCs w:val="18"/>
                <w:color w:val="auto"/>
              </w:rPr>
              <w:t>12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Notified Leakage</w:t>
            </w:r>
          </w:p>
        </w:tc>
        <w:tc>
          <w:tcPr>
            <w:tcW w:w="3700" w:type="dxa"/>
            <w:vAlign w:val="bottom"/>
          </w:tcPr>
          <w:p>
            <w:pPr>
              <w:ind w:left="740"/>
              <w:spacing w:after="0"/>
              <w:rPr>
                <w:sz w:val="20"/>
                <w:szCs w:val="20"/>
                <w:color w:val="auto"/>
              </w:rPr>
            </w:pPr>
            <w:r>
              <w:rPr>
                <w:rFonts w:ascii="Arial" w:cs="Arial" w:eastAsia="Arial" w:hAnsi="Arial"/>
                <w:sz w:val="18"/>
                <w:szCs w:val="18"/>
                <w:color w:val="auto"/>
              </w:rPr>
              <w:t>3.3a)</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Objection Notice</w:t>
            </w:r>
          </w:p>
        </w:tc>
        <w:tc>
          <w:tcPr>
            <w:tcW w:w="3700" w:type="dxa"/>
            <w:vAlign w:val="bottom"/>
          </w:tcPr>
          <w:p>
            <w:pPr>
              <w:ind w:left="740"/>
              <w:spacing w:after="0"/>
              <w:rPr>
                <w:sz w:val="20"/>
                <w:szCs w:val="20"/>
                <w:color w:val="auto"/>
              </w:rPr>
            </w:pPr>
            <w:r>
              <w:rPr>
                <w:rFonts w:ascii="Arial" w:cs="Arial" w:eastAsia="Arial" w:hAnsi="Arial"/>
                <w:sz w:val="18"/>
                <w:szCs w:val="18"/>
                <w:color w:val="auto"/>
              </w:rPr>
              <w:t>3.9.2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Parties</w:t>
            </w:r>
          </w:p>
        </w:tc>
        <w:tc>
          <w:tcPr>
            <w:tcW w:w="3700" w:type="dxa"/>
            <w:vAlign w:val="bottom"/>
          </w:tcPr>
          <w:p>
            <w:pPr>
              <w:ind w:left="74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Party</w:t>
            </w:r>
          </w:p>
        </w:tc>
        <w:tc>
          <w:tcPr>
            <w:tcW w:w="3700" w:type="dxa"/>
            <w:vAlign w:val="bottom"/>
          </w:tcPr>
          <w:p>
            <w:pPr>
              <w:ind w:left="74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Purchase Price</w:t>
            </w:r>
          </w:p>
        </w:tc>
        <w:tc>
          <w:tcPr>
            <w:tcW w:w="3700" w:type="dxa"/>
            <w:vAlign w:val="bottom"/>
          </w:tcPr>
          <w:p>
            <w:pPr>
              <w:ind w:left="740"/>
              <w:spacing w:after="0"/>
              <w:rPr>
                <w:sz w:val="20"/>
                <w:szCs w:val="20"/>
                <w:color w:val="auto"/>
              </w:rPr>
            </w:pPr>
            <w:r>
              <w:rPr>
                <w:rFonts w:ascii="Arial" w:cs="Arial" w:eastAsia="Arial" w:hAnsi="Arial"/>
                <w:sz w:val="18"/>
                <w:szCs w:val="18"/>
                <w:color w:val="auto"/>
              </w:rPr>
              <w:t>3.1</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Purchaser</w:t>
            </w:r>
          </w:p>
        </w:tc>
        <w:tc>
          <w:tcPr>
            <w:tcW w:w="3700" w:type="dxa"/>
            <w:vAlign w:val="bottom"/>
          </w:tcPr>
          <w:p>
            <w:pPr>
              <w:ind w:left="74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Purchaser Losses</w:t>
            </w:r>
          </w:p>
        </w:tc>
        <w:tc>
          <w:tcPr>
            <w:tcW w:w="3700" w:type="dxa"/>
            <w:vAlign w:val="bottom"/>
          </w:tcPr>
          <w:p>
            <w:pPr>
              <w:ind w:left="740"/>
              <w:spacing w:after="0"/>
              <w:rPr>
                <w:sz w:val="20"/>
                <w:szCs w:val="20"/>
                <w:color w:val="auto"/>
              </w:rPr>
            </w:pPr>
            <w:r>
              <w:rPr>
                <w:rFonts w:ascii="Arial" w:cs="Arial" w:eastAsia="Arial" w:hAnsi="Arial"/>
                <w:sz w:val="18"/>
                <w:szCs w:val="18"/>
                <w:color w:val="auto"/>
              </w:rPr>
              <w:t>10.1.2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Second Earn Out Year</w:t>
            </w:r>
          </w:p>
        </w:tc>
        <w:tc>
          <w:tcPr>
            <w:tcW w:w="3700" w:type="dxa"/>
            <w:vAlign w:val="bottom"/>
          </w:tcPr>
          <w:p>
            <w:pPr>
              <w:ind w:left="740"/>
              <w:spacing w:after="0"/>
              <w:rPr>
                <w:sz w:val="20"/>
                <w:szCs w:val="20"/>
                <w:color w:val="auto"/>
              </w:rPr>
            </w:pPr>
            <w:r>
              <w:rPr>
                <w:rFonts w:ascii="Arial" w:cs="Arial" w:eastAsia="Arial" w:hAnsi="Arial"/>
                <w:sz w:val="18"/>
                <w:szCs w:val="18"/>
                <w:color w:val="auto"/>
              </w:rPr>
              <w:t>3.10.4</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Seller</w:t>
            </w:r>
          </w:p>
        </w:tc>
        <w:tc>
          <w:tcPr>
            <w:tcW w:w="3700" w:type="dxa"/>
            <w:vAlign w:val="bottom"/>
          </w:tcPr>
          <w:p>
            <w:pPr>
              <w:ind w:left="74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Seller Losses</w:t>
            </w:r>
          </w:p>
        </w:tc>
        <w:tc>
          <w:tcPr>
            <w:tcW w:w="3700" w:type="dxa"/>
            <w:vAlign w:val="bottom"/>
          </w:tcPr>
          <w:p>
            <w:pPr>
              <w:ind w:left="740"/>
              <w:spacing w:after="0"/>
              <w:rPr>
                <w:sz w:val="20"/>
                <w:szCs w:val="20"/>
                <w:color w:val="auto"/>
              </w:rPr>
            </w:pPr>
            <w:r>
              <w:rPr>
                <w:rFonts w:ascii="Arial" w:cs="Arial" w:eastAsia="Arial" w:hAnsi="Arial"/>
                <w:sz w:val="18"/>
                <w:szCs w:val="18"/>
                <w:color w:val="auto"/>
              </w:rPr>
              <w:t>10.2.2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Seller R&amp;W Insurance Contribution</w:t>
            </w:r>
          </w:p>
        </w:tc>
        <w:tc>
          <w:tcPr>
            <w:tcW w:w="3700" w:type="dxa"/>
            <w:vAlign w:val="bottom"/>
          </w:tcPr>
          <w:p>
            <w:pPr>
              <w:ind w:left="740"/>
              <w:spacing w:after="0"/>
              <w:rPr>
                <w:sz w:val="20"/>
                <w:szCs w:val="20"/>
                <w:color w:val="auto"/>
              </w:rPr>
            </w:pPr>
            <w:r>
              <w:rPr>
                <w:rFonts w:ascii="Arial" w:cs="Arial" w:eastAsia="Arial" w:hAnsi="Arial"/>
                <w:sz w:val="18"/>
                <w:szCs w:val="18"/>
                <w:color w:val="auto"/>
              </w:rPr>
              <w:t>14.12</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Shareholder</w:t>
            </w:r>
          </w:p>
        </w:tc>
        <w:tc>
          <w:tcPr>
            <w:tcW w:w="3700" w:type="dxa"/>
            <w:vAlign w:val="bottom"/>
          </w:tcPr>
          <w:p>
            <w:pPr>
              <w:ind w:left="74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Third Earn Out Year</w:t>
            </w:r>
          </w:p>
        </w:tc>
        <w:tc>
          <w:tcPr>
            <w:tcW w:w="3700" w:type="dxa"/>
            <w:vAlign w:val="bottom"/>
          </w:tcPr>
          <w:p>
            <w:pPr>
              <w:ind w:left="740"/>
              <w:spacing w:after="0"/>
              <w:rPr>
                <w:sz w:val="20"/>
                <w:szCs w:val="20"/>
                <w:color w:val="auto"/>
              </w:rPr>
            </w:pPr>
            <w:r>
              <w:rPr>
                <w:rFonts w:ascii="Arial" w:cs="Arial" w:eastAsia="Arial" w:hAnsi="Arial"/>
                <w:sz w:val="18"/>
                <w:szCs w:val="18"/>
                <w:color w:val="auto"/>
              </w:rPr>
              <w:t>3.10.4</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Transaction Payments Statement</w:t>
            </w:r>
          </w:p>
        </w:tc>
        <w:tc>
          <w:tcPr>
            <w:tcW w:w="3700" w:type="dxa"/>
            <w:vAlign w:val="bottom"/>
          </w:tcPr>
          <w:p>
            <w:pPr>
              <w:ind w:left="740"/>
              <w:spacing w:after="0"/>
              <w:rPr>
                <w:sz w:val="20"/>
                <w:szCs w:val="20"/>
                <w:color w:val="auto"/>
              </w:rPr>
            </w:pPr>
            <w:r>
              <w:rPr>
                <w:rFonts w:ascii="Arial" w:cs="Arial" w:eastAsia="Arial" w:hAnsi="Arial"/>
                <w:sz w:val="18"/>
                <w:szCs w:val="18"/>
                <w:color w:val="auto"/>
              </w:rPr>
              <w:t>3.3</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U.S. Government Contract Bids</w:t>
            </w:r>
          </w:p>
        </w:tc>
        <w:tc>
          <w:tcPr>
            <w:tcW w:w="3700" w:type="dxa"/>
            <w:vAlign w:val="bottom"/>
          </w:tcPr>
          <w:p>
            <w:pPr>
              <w:ind w:left="740"/>
              <w:spacing w:after="0"/>
              <w:rPr>
                <w:sz w:val="20"/>
                <w:szCs w:val="20"/>
                <w:color w:val="auto"/>
              </w:rPr>
            </w:pPr>
            <w:r>
              <w:rPr>
                <w:rFonts w:ascii="Arial" w:cs="Arial" w:eastAsia="Arial" w:hAnsi="Arial"/>
                <w:sz w:val="18"/>
                <w:szCs w:val="18"/>
                <w:color w:val="auto"/>
              </w:rPr>
              <w:t>12.7(a) of Schedule 1</w:t>
            </w:r>
          </w:p>
        </w:tc>
      </w:tr>
      <w:tr>
        <w:trPr>
          <w:trHeight w:val="234"/>
        </w:trPr>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Warranty</w:t>
            </w:r>
          </w:p>
        </w:tc>
        <w:tc>
          <w:tcPr>
            <w:tcW w:w="3700" w:type="dxa"/>
            <w:vAlign w:val="bottom"/>
          </w:tcPr>
          <w:p>
            <w:pPr>
              <w:ind w:left="740"/>
              <w:spacing w:after="0"/>
              <w:rPr>
                <w:sz w:val="20"/>
                <w:szCs w:val="20"/>
                <w:color w:val="auto"/>
              </w:rPr>
            </w:pPr>
            <w:r>
              <w:rPr>
                <w:rFonts w:ascii="Arial" w:cs="Arial" w:eastAsia="Arial" w:hAnsi="Arial"/>
                <w:sz w:val="18"/>
                <w:szCs w:val="18"/>
                <w:color w:val="auto"/>
              </w:rPr>
              <w:t>27.1 of Schedule 1</w:t>
            </w:r>
          </w:p>
        </w:tc>
      </w:tr>
    </w:tbl>
    <w:p>
      <w:pPr>
        <w:spacing w:after="0" w:line="193" w:lineRule="exact"/>
        <w:rPr>
          <w:sz w:val="20"/>
          <w:szCs w:val="20"/>
          <w:color w:val="auto"/>
        </w:rPr>
      </w:pPr>
    </w:p>
    <w:p>
      <w:pPr>
        <w:ind w:left="-8" w:right="4820" w:firstLine="8"/>
        <w:spacing w:after="0" w:line="374" w:lineRule="auto"/>
        <w:tabs>
          <w:tab w:leader="none" w:pos="626" w:val="left"/>
        </w:tabs>
        <w:numPr>
          <w:ilvl w:val="0"/>
          <w:numId w:val="522"/>
        </w:numPr>
        <w:rPr>
          <w:rFonts w:ascii="Arial" w:cs="Arial" w:eastAsia="Arial" w:hAnsi="Arial"/>
          <w:sz w:val="19"/>
          <w:szCs w:val="19"/>
          <w:b w:val="1"/>
          <w:bCs w:val="1"/>
          <w:color w:val="auto"/>
        </w:rPr>
      </w:pPr>
      <w:r>
        <w:rPr>
          <w:rFonts w:ascii="Arial" w:cs="Arial" w:eastAsia="Arial" w:hAnsi="Arial"/>
          <w:sz w:val="19"/>
          <w:szCs w:val="19"/>
          <w:b w:val="1"/>
          <w:bCs w:val="1"/>
          <w:color w:val="auto"/>
        </w:rPr>
        <w:t>PURCHASE AND SALE, TRANSFER OF SHARES 2.1 Agreement to Sell and Transfer the Shares</w:t>
      </w:r>
    </w:p>
    <w:p>
      <w:pPr>
        <w:jc w:val="both"/>
        <w:ind w:left="632" w:hanging="634"/>
        <w:spacing w:after="0" w:line="250" w:lineRule="auto"/>
        <w:tabs>
          <w:tab w:leader="none" w:pos="611" w:val="left"/>
        </w:tabs>
        <w:rPr>
          <w:sz w:val="20"/>
          <w:szCs w:val="20"/>
          <w:color w:val="auto"/>
        </w:rPr>
      </w:pPr>
      <w:r>
        <w:rPr>
          <w:rFonts w:ascii="Arial" w:cs="Arial" w:eastAsia="Arial" w:hAnsi="Arial"/>
          <w:sz w:val="20"/>
          <w:szCs w:val="20"/>
          <w:color w:val="auto"/>
        </w:rPr>
        <w:t>2.1.1</w:t>
        <w:tab/>
        <w:t>Subject to the terms and conditions of this Agreement, the Seller hereby sells (</w:t>
      </w:r>
      <w:r>
        <w:rPr>
          <w:rFonts w:ascii="Arial" w:cs="Arial" w:eastAsia="Arial" w:hAnsi="Arial"/>
          <w:sz w:val="20"/>
          <w:szCs w:val="20"/>
          <w:i w:val="1"/>
          <w:iCs w:val="1"/>
          <w:color w:val="auto"/>
        </w:rPr>
        <w:t>verkauft</w:t>
      </w:r>
      <w:r>
        <w:rPr>
          <w:rFonts w:ascii="Arial" w:cs="Arial" w:eastAsia="Arial" w:hAnsi="Arial"/>
          <w:sz w:val="20"/>
          <w:szCs w:val="20"/>
          <w:color w:val="auto"/>
        </w:rPr>
        <w:t>) and, subject to Sub-Clause 2.1.2 (</w:t>
      </w:r>
      <w:r>
        <w:rPr>
          <w:rFonts w:ascii="Arial" w:cs="Arial" w:eastAsia="Arial" w:hAnsi="Arial"/>
          <w:sz w:val="20"/>
          <w:szCs w:val="20"/>
          <w:i w:val="1"/>
          <w:iCs w:val="1"/>
          <w:color w:val="auto"/>
        </w:rPr>
        <w:t>aufschiebend bedingt</w:t>
      </w:r>
      <w:r>
        <w:rPr>
          <w:rFonts w:ascii="Arial" w:cs="Arial" w:eastAsia="Arial" w:hAnsi="Arial"/>
          <w:sz w:val="20"/>
          <w:szCs w:val="20"/>
          <w:color w:val="auto"/>
        </w:rPr>
        <w:t>), assigns (</w:t>
      </w:r>
      <w:r>
        <w:rPr>
          <w:rFonts w:ascii="Arial" w:cs="Arial" w:eastAsia="Arial" w:hAnsi="Arial"/>
          <w:sz w:val="20"/>
          <w:szCs w:val="20"/>
          <w:i w:val="1"/>
          <w:iCs w:val="1"/>
          <w:color w:val="auto"/>
        </w:rPr>
        <w:t>tritt ab</w:t>
      </w:r>
      <w:r>
        <w:rPr>
          <w:rFonts w:ascii="Arial" w:cs="Arial" w:eastAsia="Arial" w:hAnsi="Arial"/>
          <w:sz w:val="20"/>
          <w:szCs w:val="20"/>
          <w:color w:val="auto"/>
        </w:rPr>
        <w:t>) the Shares to the Purchaser; the Purchaser hereby accepts such sale and assignment of the Shares.</w:t>
      </w:r>
    </w:p>
    <w:p>
      <w:pPr>
        <w:spacing w:after="0" w:line="78" w:lineRule="exact"/>
        <w:rPr>
          <w:sz w:val="20"/>
          <w:szCs w:val="20"/>
          <w:color w:val="auto"/>
        </w:rPr>
      </w:pPr>
    </w:p>
    <w:p>
      <w:pPr>
        <w:jc w:val="both"/>
        <w:ind w:left="632" w:hanging="634"/>
        <w:spacing w:after="0" w:line="250" w:lineRule="auto"/>
        <w:tabs>
          <w:tab w:leader="none" w:pos="611" w:val="left"/>
        </w:tabs>
        <w:rPr>
          <w:sz w:val="20"/>
          <w:szCs w:val="20"/>
          <w:color w:val="auto"/>
        </w:rPr>
      </w:pPr>
      <w:r>
        <w:rPr>
          <w:rFonts w:ascii="Arial" w:cs="Arial" w:eastAsia="Arial" w:hAnsi="Arial"/>
          <w:sz w:val="20"/>
          <w:szCs w:val="20"/>
          <w:color w:val="auto"/>
        </w:rPr>
        <w:t>2.1.2</w:t>
        <w:tab/>
        <w:t>The Parties agree that the assignment (</w:t>
      </w:r>
      <w:r>
        <w:rPr>
          <w:rFonts w:ascii="Arial" w:cs="Arial" w:eastAsia="Arial" w:hAnsi="Arial"/>
          <w:sz w:val="20"/>
          <w:szCs w:val="20"/>
          <w:i w:val="1"/>
          <w:iCs w:val="1"/>
          <w:color w:val="auto"/>
        </w:rPr>
        <w:t>Abtretung</w:t>
      </w:r>
      <w:r>
        <w:rPr>
          <w:rFonts w:ascii="Arial" w:cs="Arial" w:eastAsia="Arial" w:hAnsi="Arial"/>
          <w:sz w:val="20"/>
          <w:szCs w:val="20"/>
          <w:color w:val="auto"/>
        </w:rPr>
        <w:t>) of the Shares shall be subject to (</w:t>
      </w:r>
      <w:r>
        <w:rPr>
          <w:rFonts w:ascii="Arial" w:cs="Arial" w:eastAsia="Arial" w:hAnsi="Arial"/>
          <w:sz w:val="20"/>
          <w:szCs w:val="20"/>
          <w:i w:val="1"/>
          <w:iCs w:val="1"/>
          <w:color w:val="auto"/>
        </w:rPr>
        <w:t>aufschiebend bedingt</w:t>
      </w:r>
      <w:r>
        <w:rPr>
          <w:rFonts w:ascii="Arial" w:cs="Arial" w:eastAsia="Arial" w:hAnsi="Arial"/>
          <w:sz w:val="20"/>
          <w:szCs w:val="20"/>
          <w:color w:val="auto"/>
        </w:rPr>
        <w:t>) the making of the full payments provided for in Clauses 3.4 (Payment of the Closing Payment Shares) and 3.5 (Payment of other amounts payable at Closing).</w:t>
      </w:r>
    </w:p>
    <w:p>
      <w:pPr>
        <w:spacing w:after="0" w:line="78" w:lineRule="exact"/>
        <w:rPr>
          <w:sz w:val="20"/>
          <w:szCs w:val="20"/>
          <w:color w:val="auto"/>
        </w:rPr>
      </w:pPr>
    </w:p>
    <w:p>
      <w:pPr>
        <w:jc w:val="both"/>
        <w:ind w:left="632" w:hanging="634"/>
        <w:spacing w:after="0" w:line="287" w:lineRule="auto"/>
        <w:tabs>
          <w:tab w:leader="none" w:pos="611"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The Shares are sold with all rights that attach, or may in the future attach, to them (including the right to receive all dividends and distributions (</w:t>
      </w:r>
      <w:r>
        <w:rPr>
          <w:rFonts w:ascii="Arial" w:cs="Arial" w:eastAsia="Arial" w:hAnsi="Arial"/>
          <w:sz w:val="19"/>
          <w:szCs w:val="19"/>
          <w:i w:val="1"/>
          <w:iCs w:val="1"/>
          <w:color w:val="auto"/>
        </w:rPr>
        <w:t>Gewinnbezugsrecht</w:t>
      </w:r>
      <w:r>
        <w:rPr>
          <w:rFonts w:ascii="Arial" w:cs="Arial" w:eastAsia="Arial" w:hAnsi="Arial"/>
          <w:sz w:val="19"/>
          <w:szCs w:val="19"/>
          <w:color w:val="auto"/>
        </w:rPr>
        <w:t>) declared, made or paid on or after the Closing).</w:t>
      </w:r>
    </w:p>
    <w:p>
      <w:pPr>
        <w:spacing w:after="0" w:line="44" w:lineRule="exact"/>
        <w:rPr>
          <w:sz w:val="20"/>
          <w:szCs w:val="20"/>
          <w:color w:val="auto"/>
        </w:rPr>
      </w:pPr>
    </w:p>
    <w:p>
      <w:pPr>
        <w:jc w:val="both"/>
        <w:ind w:left="632" w:hanging="634"/>
        <w:spacing w:after="0" w:line="244" w:lineRule="auto"/>
        <w:tabs>
          <w:tab w:leader="none" w:pos="611" w:val="left"/>
        </w:tabs>
        <w:rPr>
          <w:sz w:val="20"/>
          <w:szCs w:val="20"/>
          <w:color w:val="auto"/>
        </w:rPr>
      </w:pPr>
      <w:r>
        <w:rPr>
          <w:rFonts w:ascii="Arial" w:cs="Arial" w:eastAsia="Arial" w:hAnsi="Arial"/>
          <w:sz w:val="20"/>
          <w:szCs w:val="20"/>
          <w:color w:val="auto"/>
        </w:rPr>
        <w:t>2.1.4</w:t>
        <w:tab/>
        <w:t>The Seller irrevocably waives and each Shareholder agrees to procure the waiver of any and all rights of pre-emption or other restrictions on transfer which may exist in respect of the Shares or any of them under the constitutional documents of the Company (or other equivalent document of the Company) or otherwise and undertakes to take all steps necessary to ensure that any rights of pre-emption or other restrictions on transfer over any of the Shares are waived.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909" w:right="999" w:bottom="1440" w:gutter="0" w:footer="0" w:header="0"/>
        </w:sectPr>
      </w:pPr>
    </w:p>
    <w:bookmarkStart w:id="493" w:name="page494"/>
    <w:bookmarkEnd w:id="493"/>
    <w:p>
      <w:pPr>
        <w:ind w:right="7520" w:firstLine="8"/>
        <w:spacing w:after="0" w:line="370" w:lineRule="auto"/>
        <w:tabs>
          <w:tab w:leader="none" w:pos="635" w:val="left"/>
        </w:tabs>
        <w:numPr>
          <w:ilvl w:val="0"/>
          <w:numId w:val="523"/>
        </w:numPr>
        <w:rPr>
          <w:rFonts w:ascii="Arial" w:cs="Arial" w:eastAsia="Arial" w:hAnsi="Arial"/>
          <w:sz w:val="19"/>
          <w:szCs w:val="19"/>
          <w:b w:val="1"/>
          <w:bCs w:val="1"/>
          <w:color w:val="auto"/>
        </w:rPr>
      </w:pPr>
      <w:r>
        <w:rPr>
          <w:rFonts w:ascii="Arial" w:cs="Arial" w:eastAsia="Arial" w:hAnsi="Arial"/>
          <w:sz w:val="19"/>
          <w:szCs w:val="19"/>
          <w:b w:val="1"/>
          <w:bCs w:val="1"/>
          <w:color w:val="auto"/>
        </w:rPr>
        <w:t>PURCHASE PRICE 3.1 Purchase Price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aggregate cash amount to be paid for the Shares by the Purchaser at Closing (the “</w:t>
      </w:r>
      <w:r>
        <w:rPr>
          <w:rFonts w:ascii="Arial" w:cs="Arial" w:eastAsia="Arial" w:hAnsi="Arial"/>
          <w:sz w:val="16"/>
          <w:szCs w:val="16"/>
          <w:b w:val="1"/>
          <w:bCs w:val="1"/>
          <w:color w:val="auto"/>
        </w:rPr>
        <w:t>Closing Payment Shares”</w:t>
      </w:r>
      <w:r>
        <w:rPr>
          <w:rFonts w:ascii="Arial" w:cs="Arial" w:eastAsia="Arial" w:hAnsi="Arial"/>
          <w:sz w:val="16"/>
          <w:szCs w:val="16"/>
          <w:color w:val="auto"/>
        </w:rPr>
        <w: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shall be an amount equal to:</w:t>
      </w:r>
    </w:p>
    <w:p>
      <w:pPr>
        <w:spacing w:after="0" w:line="92" w:lineRule="exact"/>
        <w:rPr>
          <w:sz w:val="20"/>
          <w:szCs w:val="20"/>
          <w:color w:val="auto"/>
        </w:rPr>
      </w:pPr>
    </w:p>
    <w:p>
      <w:pPr>
        <w:ind w:left="1140" w:hanging="497"/>
        <w:spacing w:after="0" w:line="260" w:lineRule="auto"/>
        <w:tabs>
          <w:tab w:leader="none" w:pos="1140" w:val="left"/>
        </w:tabs>
        <w:numPr>
          <w:ilvl w:val="0"/>
          <w:numId w:val="524"/>
        </w:numPr>
        <w:rPr>
          <w:rFonts w:ascii="Arial" w:cs="Arial" w:eastAsia="Arial" w:hAnsi="Arial"/>
          <w:sz w:val="20"/>
          <w:szCs w:val="20"/>
          <w:color w:val="auto"/>
        </w:rPr>
      </w:pPr>
      <w:r>
        <w:rPr>
          <w:rFonts w:ascii="Arial" w:cs="Arial" w:eastAsia="Arial" w:hAnsi="Arial"/>
          <w:sz w:val="20"/>
          <w:szCs w:val="20"/>
          <w:color w:val="auto"/>
        </w:rPr>
        <w:t>Thirty seven million four hundred fifty five thousand three hundred ninety eight Euros and eleven cents (€37,455,398.11), (the “</w:t>
      </w:r>
      <w:r>
        <w:rPr>
          <w:rFonts w:ascii="Arial" w:cs="Arial" w:eastAsia="Arial" w:hAnsi="Arial"/>
          <w:sz w:val="20"/>
          <w:szCs w:val="20"/>
          <w:b w:val="1"/>
          <w:bCs w:val="1"/>
          <w:color w:val="auto"/>
        </w:rPr>
        <w:t>Purchase Price</w:t>
      </w:r>
      <w:r>
        <w:rPr>
          <w:rFonts w:ascii="Arial" w:cs="Arial" w:eastAsia="Arial" w:hAnsi="Arial"/>
          <w:sz w:val="20"/>
          <w:szCs w:val="20"/>
          <w:color w:val="auto"/>
        </w:rPr>
        <w:t>”);</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24"/>
        </w:numPr>
        <w:rPr>
          <w:rFonts w:ascii="Arial" w:cs="Arial" w:eastAsia="Arial" w:hAnsi="Arial"/>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Notified Leakage, if any;</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24"/>
        </w:numPr>
        <w:rPr>
          <w:rFonts w:ascii="Arial" w:cs="Arial" w:eastAsia="Arial" w:hAnsi="Arial"/>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Escrow Amount,</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24"/>
        </w:numPr>
        <w:rPr>
          <w:rFonts w:ascii="Arial" w:cs="Arial" w:eastAsia="Arial" w:hAnsi="Arial"/>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aggregate amount of all Transaction Payments,</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24"/>
        </w:numPr>
        <w:rPr>
          <w:rFonts w:ascii="Arial" w:cs="Arial" w:eastAsia="Arial" w:hAnsi="Arial"/>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Seller R&amp;W Insurance Contribution.</w:t>
      </w:r>
    </w:p>
    <w:p>
      <w:pPr>
        <w:spacing w:after="0" w:line="108"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Any rights of the Purchaser to set off or withhold payment of the Closing Payment Shares are hereby expressly waved and excluded except for claims which are undisputed or have been awarded by a final and binding (</w:t>
      </w:r>
      <w:r>
        <w:rPr>
          <w:rFonts w:ascii="Arial" w:cs="Arial" w:eastAsia="Arial" w:hAnsi="Arial"/>
          <w:sz w:val="20"/>
          <w:szCs w:val="20"/>
          <w:i w:val="1"/>
          <w:iCs w:val="1"/>
          <w:color w:val="auto"/>
        </w:rPr>
        <w:t>rechtskräftig</w:t>
      </w:r>
      <w:r>
        <w:rPr>
          <w:rFonts w:ascii="Arial" w:cs="Arial" w:eastAsia="Arial" w:hAnsi="Arial"/>
          <w:sz w:val="20"/>
          <w:szCs w:val="20"/>
          <w:color w:val="auto"/>
        </w:rPr>
        <w:t>) court decision.</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Escrow</w:t>
      </w:r>
    </w:p>
    <w:p>
      <w:pPr>
        <w:spacing w:after="0" w:line="108"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9"/>
          <w:szCs w:val="19"/>
          <w:color w:val="auto"/>
        </w:rPr>
        <w:t>On the Closing Date, the Purchaser shall pay three million euros (€3,000,000) in cash (the “</w:t>
      </w:r>
      <w:r>
        <w:rPr>
          <w:rFonts w:ascii="Arial" w:cs="Arial" w:eastAsia="Arial" w:hAnsi="Arial"/>
          <w:sz w:val="19"/>
          <w:szCs w:val="19"/>
          <w:b w:val="1"/>
          <w:bCs w:val="1"/>
          <w:color w:val="auto"/>
        </w:rPr>
        <w:t>Escrow Amount</w:t>
      </w:r>
      <w:r>
        <w:rPr>
          <w:rFonts w:ascii="Arial" w:cs="Arial" w:eastAsia="Arial" w:hAnsi="Arial"/>
          <w:sz w:val="19"/>
          <w:szCs w:val="19"/>
          <w:color w:val="auto"/>
        </w:rPr>
        <w:t>”) to a notary trust account (</w:t>
      </w:r>
      <w:r>
        <w:rPr>
          <w:rFonts w:ascii="Arial" w:cs="Arial" w:eastAsia="Arial" w:hAnsi="Arial"/>
          <w:sz w:val="19"/>
          <w:szCs w:val="19"/>
          <w:i w:val="1"/>
          <w:iCs w:val="1"/>
          <w:color w:val="auto"/>
        </w:rPr>
        <w:t>Notaranderkonto</w:t>
      </w:r>
      <w:r>
        <w:rPr>
          <w:rFonts w:ascii="Arial" w:cs="Arial" w:eastAsia="Arial" w:hAnsi="Arial"/>
          <w:sz w:val="19"/>
          <w:szCs w:val="19"/>
          <w:color w:val="auto"/>
        </w:rPr>
        <w:t>) of the Notary set up and notified to the Parties by the Notary to be held in trust by him for the Seller and the Purchaser and to be distributed in accordance with the terms of this Agreement. The Escrow Amount, as adjusted from time to time, together with any interest earned thereon and minus any negative interest charged by the relevant bank, shall be referred to as the “</w:t>
      </w:r>
      <w:r>
        <w:rPr>
          <w:rFonts w:ascii="Arial" w:cs="Arial" w:eastAsia="Arial" w:hAnsi="Arial"/>
          <w:sz w:val="19"/>
          <w:szCs w:val="19"/>
          <w:b w:val="1"/>
          <w:bCs w:val="1"/>
          <w:color w:val="auto"/>
        </w:rPr>
        <w:t>Escrow Fund”</w:t>
      </w:r>
      <w:r>
        <w:rPr>
          <w:rFonts w:ascii="Arial" w:cs="Arial" w:eastAsia="Arial" w:hAnsi="Arial"/>
          <w:sz w:val="19"/>
          <w:szCs w:val="19"/>
          <w:color w:val="auto"/>
        </w:rPr>
        <w:t>.</w:t>
      </w:r>
    </w:p>
    <w:p>
      <w:pPr>
        <w:spacing w:after="0" w:line="69" w:lineRule="exact"/>
        <w:rPr>
          <w:sz w:val="20"/>
          <w:szCs w:val="20"/>
          <w:color w:val="auto"/>
        </w:rPr>
      </w:pPr>
    </w:p>
    <w:p>
      <w:pPr>
        <w:jc w:val="both"/>
        <w:ind w:left="640" w:hanging="634"/>
        <w:spacing w:after="0" w:line="246" w:lineRule="auto"/>
        <w:tabs>
          <w:tab w:leader="none" w:pos="620" w:val="left"/>
        </w:tabs>
        <w:rPr>
          <w:sz w:val="20"/>
          <w:szCs w:val="20"/>
          <w:color w:val="auto"/>
        </w:rPr>
      </w:pPr>
      <w:r>
        <w:rPr>
          <w:rFonts w:ascii="Arial" w:cs="Arial" w:eastAsia="Arial" w:hAnsi="Arial"/>
          <w:sz w:val="20"/>
          <w:szCs w:val="20"/>
          <w:color w:val="auto"/>
        </w:rPr>
        <w:t>3.2.2</w:t>
        <w:tab/>
        <w:t>The Notary is hereby irrevocably instructed by the Seller and the Purchaser to disburse any funds out of the Escrow Fund only (i) upon concurrent (</w:t>
      </w:r>
      <w:r>
        <w:rPr>
          <w:rFonts w:ascii="Arial" w:cs="Arial" w:eastAsia="Arial" w:hAnsi="Arial"/>
          <w:sz w:val="20"/>
          <w:szCs w:val="20"/>
          <w:i w:val="1"/>
          <w:iCs w:val="1"/>
          <w:color w:val="auto"/>
        </w:rPr>
        <w:t>übereinstimmende</w:t>
      </w:r>
      <w:r>
        <w:rPr>
          <w:rFonts w:ascii="Arial" w:cs="Arial" w:eastAsia="Arial" w:hAnsi="Arial"/>
          <w:sz w:val="20"/>
          <w:szCs w:val="20"/>
          <w:color w:val="auto"/>
        </w:rPr>
        <w:t>) written instructions of the Seller and the Purchaser; or (ii) upon an order contained in a final and binding judgement or court settlement (</w:t>
      </w:r>
      <w:r>
        <w:rPr>
          <w:rFonts w:ascii="Arial" w:cs="Arial" w:eastAsia="Arial" w:hAnsi="Arial"/>
          <w:sz w:val="20"/>
          <w:szCs w:val="20"/>
          <w:i w:val="1"/>
          <w:iCs w:val="1"/>
          <w:color w:val="auto"/>
        </w:rPr>
        <w:t>rechtskräftiges Urteil oder rechtskräftiger</w:t>
      </w:r>
      <w:r>
        <w:rPr>
          <w:rFonts w:ascii="Arial" w:cs="Arial" w:eastAsia="Arial" w:hAnsi="Arial"/>
          <w:sz w:val="20"/>
          <w:szCs w:val="20"/>
          <w:color w:val="auto"/>
        </w:rPr>
        <w:t xml:space="preserve"> </w:t>
      </w:r>
      <w:r>
        <w:rPr>
          <w:rFonts w:ascii="Arial" w:cs="Arial" w:eastAsia="Arial" w:hAnsi="Arial"/>
          <w:sz w:val="20"/>
          <w:szCs w:val="20"/>
          <w:i w:val="1"/>
          <w:iCs w:val="1"/>
          <w:color w:val="auto"/>
        </w:rPr>
        <w:t>gerichtlicher Vergleich</w:t>
      </w:r>
      <w:r>
        <w:rPr>
          <w:rFonts w:ascii="Arial" w:cs="Arial" w:eastAsia="Arial" w:hAnsi="Arial"/>
          <w:sz w:val="20"/>
          <w:szCs w:val="20"/>
          <w:color w:val="auto"/>
        </w:rPr>
        <w:t>) of a German court.</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9"/>
          <w:szCs w:val="19"/>
          <w:color w:val="auto"/>
        </w:rPr>
        <w:t>The Parties shall be under obligation to provide a written instruction to the Notary for disbursement as per</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Clause 3.2.2 (i) as follows, in each case up to the amount remaining in the Escrow Fund at the relevant time:</w:t>
      </w:r>
    </w:p>
    <w:p>
      <w:pPr>
        <w:spacing w:after="0" w:line="103" w:lineRule="exact"/>
        <w:rPr>
          <w:sz w:val="20"/>
          <w:szCs w:val="20"/>
          <w:color w:val="auto"/>
        </w:rPr>
      </w:pPr>
    </w:p>
    <w:p>
      <w:pPr>
        <w:ind w:left="1140" w:hanging="497"/>
        <w:spacing w:after="0" w:line="260" w:lineRule="auto"/>
        <w:tabs>
          <w:tab w:leader="none" w:pos="1140" w:val="left"/>
        </w:tabs>
        <w:numPr>
          <w:ilvl w:val="0"/>
          <w:numId w:val="525"/>
        </w:numPr>
        <w:rPr>
          <w:rFonts w:ascii="Arial" w:cs="Arial" w:eastAsia="Arial" w:hAnsi="Arial"/>
          <w:sz w:val="20"/>
          <w:szCs w:val="20"/>
          <w:color w:val="auto"/>
        </w:rPr>
      </w:pPr>
      <w:r>
        <w:rPr>
          <w:rFonts w:ascii="Arial" w:cs="Arial" w:eastAsia="Arial" w:hAnsi="Arial"/>
          <w:sz w:val="20"/>
          <w:szCs w:val="20"/>
          <w:color w:val="auto"/>
        </w:rPr>
        <w:t>for disbursement to the Purchaser in the event and to the extent the Purchaser has claimed a Claim in accordance with Clause 3.9.1 which is objectively well founded (</w:t>
      </w:r>
      <w:r>
        <w:rPr>
          <w:rFonts w:ascii="Arial" w:cs="Arial" w:eastAsia="Arial" w:hAnsi="Arial"/>
          <w:sz w:val="20"/>
          <w:szCs w:val="20"/>
          <w:i w:val="1"/>
          <w:iCs w:val="1"/>
          <w:color w:val="auto"/>
        </w:rPr>
        <w:t>begründet</w:t>
      </w:r>
      <w:r>
        <w:rPr>
          <w:rFonts w:ascii="Arial" w:cs="Arial" w:eastAsia="Arial" w:hAnsi="Arial"/>
          <w:sz w:val="20"/>
          <w:szCs w:val="20"/>
          <w:color w:val="auto"/>
        </w:rPr>
        <w:t>);</w:t>
      </w:r>
    </w:p>
    <w:p>
      <w:pPr>
        <w:spacing w:after="0" w:line="68" w:lineRule="exact"/>
        <w:rPr>
          <w:rFonts w:ascii="Arial" w:cs="Arial" w:eastAsia="Arial" w:hAnsi="Arial"/>
          <w:sz w:val="20"/>
          <w:szCs w:val="20"/>
          <w:color w:val="auto"/>
        </w:rPr>
      </w:pPr>
    </w:p>
    <w:p>
      <w:pPr>
        <w:jc w:val="both"/>
        <w:ind w:left="1140" w:hanging="497"/>
        <w:spacing w:after="0" w:line="250" w:lineRule="auto"/>
        <w:tabs>
          <w:tab w:leader="none" w:pos="1140" w:val="left"/>
        </w:tabs>
        <w:numPr>
          <w:ilvl w:val="0"/>
          <w:numId w:val="525"/>
        </w:numPr>
        <w:rPr>
          <w:rFonts w:ascii="Arial" w:cs="Arial" w:eastAsia="Arial" w:hAnsi="Arial"/>
          <w:sz w:val="20"/>
          <w:szCs w:val="20"/>
          <w:color w:val="auto"/>
        </w:rPr>
      </w:pPr>
      <w:r>
        <w:rPr>
          <w:rFonts w:ascii="Arial" w:cs="Arial" w:eastAsia="Arial" w:hAnsi="Arial"/>
          <w:sz w:val="20"/>
          <w:szCs w:val="20"/>
          <w:color w:val="auto"/>
        </w:rPr>
        <w:t>for disbursement to the Seller after the date falling 30 (thirty) months following the Closing Date upon written demand of the Seller unless and not to the extent that the Purchaser has claimed a Claim in accordance with Clause 3.9.1 which is objectively well founded (</w:t>
      </w:r>
      <w:r>
        <w:rPr>
          <w:rFonts w:ascii="Arial" w:cs="Arial" w:eastAsia="Arial" w:hAnsi="Arial"/>
          <w:sz w:val="20"/>
          <w:szCs w:val="20"/>
          <w:i w:val="1"/>
          <w:iCs w:val="1"/>
          <w:color w:val="auto"/>
        </w:rPr>
        <w:t>begründet</w:t>
      </w:r>
      <w:r>
        <w:rPr>
          <w:rFonts w:ascii="Arial" w:cs="Arial" w:eastAsia="Arial" w:hAnsi="Arial"/>
          <w:sz w:val="20"/>
          <w:szCs w:val="20"/>
          <w:color w:val="auto"/>
        </w:rPr>
        <w:t>).</w:t>
      </w:r>
    </w:p>
    <w:p>
      <w:pPr>
        <w:spacing w:after="0" w:line="7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Should a Party be in breach of its obligation under this Clause 3.2.3, it shall pay default interest to the other Party upon the amount for which it was under obligation to provide the instruction at a rate of 5% p.a., in case of Clause 3.2.3 a) from the day the Claim has been raised, in case of Clause 3.2.3 b) from the date falling 30 (thirty) months following the Closing, and in both cases at this rate also as from the day the claim for disbursement is pending (</w:t>
      </w:r>
      <w:r>
        <w:rPr>
          <w:rFonts w:ascii="Arial" w:cs="Arial" w:eastAsia="Arial" w:hAnsi="Arial"/>
          <w:sz w:val="20"/>
          <w:szCs w:val="20"/>
          <w:i w:val="1"/>
          <w:iCs w:val="1"/>
          <w:color w:val="auto"/>
        </w:rPr>
        <w:t>rechtshängig</w:t>
      </w:r>
      <w:r>
        <w:rPr>
          <w:rFonts w:ascii="Arial" w:cs="Arial" w:eastAsia="Arial" w:hAnsi="Arial"/>
          <w:sz w:val="20"/>
          <w:szCs w:val="20"/>
          <w:color w:val="auto"/>
        </w:rPr>
        <w:t>) in a German court, provided and to the extent that the claiming Party obtains a final and binding judgement of a German court granting it its Claim.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94" w:name="page495"/>
    <w:bookmarkEnd w:id="494"/>
    <w:p>
      <w:pPr>
        <w:jc w:val="both"/>
        <w:spacing w:after="0" w:line="282" w:lineRule="auto"/>
        <w:rPr>
          <w:sz w:val="20"/>
          <w:szCs w:val="20"/>
          <w:color w:val="auto"/>
        </w:rPr>
      </w:pPr>
      <w:r>
        <w:rPr>
          <w:rFonts w:ascii="Arial" w:cs="Arial" w:eastAsia="Arial" w:hAnsi="Arial"/>
          <w:sz w:val="18"/>
          <w:szCs w:val="18"/>
          <w:b w:val="1"/>
          <w:bCs w:val="1"/>
          <w:color w:val="auto"/>
        </w:rPr>
        <w:t>Pursuant to Item 601(a)(6) of Regulation S-K, certain personally identifiable information contained in this document, marked by brackets as [***], has been omitted.</w:t>
      </w:r>
    </w:p>
    <w:p>
      <w:pPr>
        <w:spacing w:after="0" w:line="285"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9"/>
          <w:szCs w:val="19"/>
          <w:color w:val="auto"/>
        </w:rPr>
        <w:t>The duties and obligations and the rights of the Notary in respect of the Escrow Fund shall be determined by applicable statutory law (in particular, §§ 57 et seqq. German Notarization Act (</w:t>
      </w:r>
      <w:r>
        <w:rPr>
          <w:rFonts w:ascii="Arial" w:cs="Arial" w:eastAsia="Arial" w:hAnsi="Arial"/>
          <w:sz w:val="19"/>
          <w:szCs w:val="19"/>
          <w:i w:val="1"/>
          <w:iCs w:val="1"/>
          <w:color w:val="auto"/>
        </w:rPr>
        <w:t>BeurkG</w:t>
      </w:r>
      <w:r>
        <w:rPr>
          <w:rFonts w:ascii="Arial" w:cs="Arial" w:eastAsia="Arial" w:hAnsi="Arial"/>
          <w:sz w:val="19"/>
          <w:szCs w:val="19"/>
          <w:color w:val="auto"/>
        </w:rPr>
        <w:t>)). The Notary shall ensure that the Escrow Fund is maintained as a separate bank account identified to the account-managing bank as a trust account (</w:t>
      </w:r>
      <w:r>
        <w:rPr>
          <w:rFonts w:ascii="Arial" w:cs="Arial" w:eastAsia="Arial" w:hAnsi="Arial"/>
          <w:sz w:val="19"/>
          <w:szCs w:val="19"/>
          <w:i w:val="1"/>
          <w:iCs w:val="1"/>
          <w:color w:val="auto"/>
        </w:rPr>
        <w:t>Anderkonto</w:t>
      </w:r>
      <w:r>
        <w:rPr>
          <w:rFonts w:ascii="Arial" w:cs="Arial" w:eastAsia="Arial" w:hAnsi="Arial"/>
          <w:sz w:val="19"/>
          <w:szCs w:val="19"/>
          <w:color w:val="auto"/>
        </w:rPr>
        <w:t>) and that no third parties shall be entitled to grant, make or claim any rights or encumbrances to or over the Escrow Fund, save only under the general terms and conditions (</w:t>
      </w:r>
      <w:r>
        <w:rPr>
          <w:rFonts w:ascii="Arial" w:cs="Arial" w:eastAsia="Arial" w:hAnsi="Arial"/>
          <w:sz w:val="19"/>
          <w:szCs w:val="19"/>
          <w:i w:val="1"/>
          <w:iCs w:val="1"/>
          <w:color w:val="auto"/>
        </w:rPr>
        <w:t>Allgemeine Geschäftsbedingungen</w:t>
      </w:r>
      <w:r>
        <w:rPr>
          <w:rFonts w:ascii="Arial" w:cs="Arial" w:eastAsia="Arial" w:hAnsi="Arial"/>
          <w:sz w:val="19"/>
          <w:szCs w:val="19"/>
          <w:color w:val="auto"/>
        </w:rPr>
        <w:t>) for trust accounts (</w:t>
      </w:r>
      <w:r>
        <w:rPr>
          <w:rFonts w:ascii="Arial" w:cs="Arial" w:eastAsia="Arial" w:hAnsi="Arial"/>
          <w:sz w:val="19"/>
          <w:szCs w:val="19"/>
          <w:i w:val="1"/>
          <w:iCs w:val="1"/>
          <w:color w:val="auto"/>
        </w:rPr>
        <w:t>Anderkonten</w:t>
      </w:r>
      <w:r>
        <w:rPr>
          <w:rFonts w:ascii="Arial" w:cs="Arial" w:eastAsia="Arial" w:hAnsi="Arial"/>
          <w:sz w:val="19"/>
          <w:szCs w:val="19"/>
          <w:color w:val="auto"/>
        </w:rPr>
        <w:t>) of the account-managing bank to the extent they arise in relation to the Escrow Fund itself. The Notary may in good faith rely on any notice, instruction, certificate, statement, request, consent, agreement or other instrument which he believes to be genuine and to have been signed by an authorized person in accordance with this Agreement. The Notary may in good faith rely upon the representation authority of any person purporting to be an authorized representative of any Party, and shall be under no obligation to verify such representation authority.</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Closing Date Statements</w:t>
      </w:r>
    </w:p>
    <w:p>
      <w:pPr>
        <w:spacing w:after="0" w:line="114"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The Seller shall cause the Company to deliver to Purchaser, not less than two (2) Business Days prior to the Closing Date,</w:t>
      </w:r>
    </w:p>
    <w:p>
      <w:pPr>
        <w:spacing w:after="0" w:line="69" w:lineRule="exact"/>
        <w:rPr>
          <w:sz w:val="20"/>
          <w:szCs w:val="20"/>
          <w:color w:val="auto"/>
        </w:rPr>
      </w:pPr>
    </w:p>
    <w:p>
      <w:pPr>
        <w:jc w:val="both"/>
        <w:ind w:left="1140" w:right="20" w:hanging="497"/>
        <w:spacing w:after="0" w:line="250" w:lineRule="auto"/>
        <w:tabs>
          <w:tab w:leader="none" w:pos="1140" w:val="left"/>
        </w:tabs>
        <w:numPr>
          <w:ilvl w:val="0"/>
          <w:numId w:val="526"/>
        </w:numPr>
        <w:rPr>
          <w:rFonts w:ascii="Arial" w:cs="Arial" w:eastAsia="Arial" w:hAnsi="Arial"/>
          <w:sz w:val="20"/>
          <w:szCs w:val="20"/>
          <w:color w:val="auto"/>
        </w:rPr>
      </w:pPr>
      <w:r>
        <w:rPr>
          <w:rFonts w:ascii="Arial" w:cs="Arial" w:eastAsia="Arial" w:hAnsi="Arial"/>
          <w:sz w:val="20"/>
          <w:szCs w:val="20"/>
          <w:color w:val="auto"/>
        </w:rPr>
        <w:t>a certificate signed by one or several managing directors of the Company, which sets forth the amount of Leakage incurred or anticipated to be incurred in the period from (but not including) the Locked Box Date until and including the Closing Date (the “</w:t>
      </w:r>
      <w:r>
        <w:rPr>
          <w:rFonts w:ascii="Arial" w:cs="Arial" w:eastAsia="Arial" w:hAnsi="Arial"/>
          <w:sz w:val="20"/>
          <w:szCs w:val="20"/>
          <w:b w:val="1"/>
          <w:bCs w:val="1"/>
          <w:color w:val="auto"/>
        </w:rPr>
        <w:t>Notified Leakage</w:t>
      </w:r>
      <w:r>
        <w:rPr>
          <w:rFonts w:ascii="Arial" w:cs="Arial" w:eastAsia="Arial" w:hAnsi="Arial"/>
          <w:sz w:val="20"/>
          <w:szCs w:val="20"/>
          <w:color w:val="auto"/>
        </w:rPr>
        <w:t>”);</w:t>
      </w:r>
    </w:p>
    <w:p>
      <w:pPr>
        <w:spacing w:after="0" w:line="71" w:lineRule="exact"/>
        <w:rPr>
          <w:rFonts w:ascii="Arial" w:cs="Arial" w:eastAsia="Arial" w:hAnsi="Arial"/>
          <w:sz w:val="20"/>
          <w:szCs w:val="20"/>
          <w:color w:val="auto"/>
        </w:rPr>
      </w:pPr>
    </w:p>
    <w:p>
      <w:pPr>
        <w:ind w:left="1140" w:hanging="497"/>
        <w:spacing w:after="0" w:line="323" w:lineRule="auto"/>
        <w:tabs>
          <w:tab w:leader="none" w:pos="11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 statement (the “</w:t>
      </w:r>
      <w:r>
        <w:rPr>
          <w:rFonts w:ascii="Arial" w:cs="Arial" w:eastAsia="Arial" w:hAnsi="Arial"/>
          <w:sz w:val="18"/>
          <w:szCs w:val="18"/>
          <w:b w:val="1"/>
          <w:bCs w:val="1"/>
          <w:color w:val="auto"/>
        </w:rPr>
        <w:t>Transaction Payments Statement</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Appendix 3.3</w:t>
      </w:r>
      <w:r>
        <w:rPr>
          <w:rFonts w:ascii="Arial" w:cs="Arial" w:eastAsia="Arial" w:hAnsi="Arial"/>
          <w:sz w:val="18"/>
          <w:szCs w:val="18"/>
          <w:color w:val="auto"/>
        </w:rPr>
        <w:t>, signed by one or several managing directors of the Company, which sets forth, by payee, the Transaction Payments.</w:t>
      </w:r>
    </w:p>
    <w:p>
      <w:pPr>
        <w:spacing w:after="0" w:line="16" w:lineRule="exact"/>
        <w:rPr>
          <w:sz w:val="20"/>
          <w:szCs w:val="20"/>
          <w:color w:val="auto"/>
        </w:rPr>
      </w:pPr>
    </w:p>
    <w:p>
      <w:pPr>
        <w:jc w:val="both"/>
        <w:ind w:left="1100"/>
        <w:spacing w:after="0" w:line="243" w:lineRule="auto"/>
        <w:rPr>
          <w:sz w:val="20"/>
          <w:szCs w:val="20"/>
          <w:color w:val="auto"/>
        </w:rPr>
      </w:pPr>
      <w:r>
        <w:rPr>
          <w:rFonts w:ascii="Arial" w:cs="Arial" w:eastAsia="Arial" w:hAnsi="Arial"/>
          <w:sz w:val="20"/>
          <w:szCs w:val="20"/>
          <w:color w:val="auto"/>
        </w:rPr>
        <w:t>Attached to the Transaction Payments Statement shall be documents which confirm that upon payment of the respective amounts specified in such Transaction Payments Statement, each Person that is to be paid in accordance with such Transaction Payments Statement shall have been paid in full for all Transaction Payments. Attached to the Transaction Payments Statement shall also be a copy of the Lockman Payoff Letter in case it must be delivered in accordance with Sub-Clause 8.2a); for the avoidance of doubt, the Lockman Outstanding is not a Transaction Payment.</w:t>
      </w:r>
    </w:p>
    <w:p>
      <w:pPr>
        <w:spacing w:after="0" w:line="8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6"/>
          <w:szCs w:val="16"/>
          <w:b w:val="1"/>
          <w:bCs w:val="1"/>
          <w:color w:val="auto"/>
        </w:rPr>
        <w:t>Payment of the Closing Payment Shares</w:t>
      </w:r>
    </w:p>
    <w:p>
      <w:pPr>
        <w:spacing w:after="0" w:line="114"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3.4.1</w:t>
        <w:tab/>
        <w:t>On the Closing Date, the Purchaser shall pay to the Seller the Closing Payment Shares to the following bank account free of costs or fees by irrevocable transfer with same day value: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3.4.2</w:t>
        <w:tab/>
        <w:t>Upon such payment, the Purchaser shall be fully released and discharged of any obligation with respect to the payment of the Closing Payment Shares.</w:t>
      </w:r>
    </w:p>
    <w:p>
      <w:pPr>
        <w:spacing w:after="0" w:line="69"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3.4.3</w:t>
        <w:tab/>
        <w:t>The Purchaser shall not have any right of set-off or retention or deduction right with respect to its payment obligations pursuant to this Clause 3.4.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5" w:name="page496"/>
    <w:bookmarkEnd w:id="495"/>
    <w:p>
      <w:pPr>
        <w:spacing w:after="0"/>
        <w:tabs>
          <w:tab w:leader="none" w:pos="6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Payment of other amounts payable at Closing</w:t>
      </w:r>
    </w:p>
    <w:p>
      <w:pPr>
        <w:spacing w:after="0" w:line="114" w:lineRule="exact"/>
        <w:rPr>
          <w:sz w:val="20"/>
          <w:szCs w:val="20"/>
          <w:color w:val="auto"/>
        </w:rPr>
      </w:pPr>
    </w:p>
    <w:p>
      <w:pPr>
        <w:ind w:left="640" w:hanging="637"/>
        <w:spacing w:after="0" w:line="260" w:lineRule="auto"/>
        <w:rPr>
          <w:sz w:val="20"/>
          <w:szCs w:val="20"/>
          <w:color w:val="auto"/>
        </w:rPr>
      </w:pPr>
      <w:r>
        <w:rPr>
          <w:rFonts w:ascii="Arial" w:cs="Arial" w:eastAsia="Arial" w:hAnsi="Arial"/>
          <w:sz w:val="20"/>
          <w:szCs w:val="20"/>
          <w:color w:val="auto"/>
        </w:rPr>
        <w:t>On the Closing Date, the Purchaser shall pay, on behalf of the relevant Group Company, in one or several payments, to such account or accounts as specified in the Transaction Payments Statement</w:t>
      </w:r>
    </w:p>
    <w:p>
      <w:pPr>
        <w:spacing w:after="0" w:line="69" w:lineRule="exact"/>
        <w:rPr>
          <w:sz w:val="20"/>
          <w:szCs w:val="20"/>
          <w:color w:val="auto"/>
        </w:rPr>
      </w:pPr>
    </w:p>
    <w:p>
      <w:pPr>
        <w:ind w:left="1140" w:hanging="497"/>
        <w:spacing w:after="0"/>
        <w:tabs>
          <w:tab w:leader="none" w:pos="1140" w:val="left"/>
        </w:tabs>
        <w:numPr>
          <w:ilvl w:val="0"/>
          <w:numId w:val="527"/>
        </w:numPr>
        <w:rPr>
          <w:rFonts w:ascii="Arial" w:cs="Arial" w:eastAsia="Arial" w:hAnsi="Arial"/>
          <w:sz w:val="20"/>
          <w:szCs w:val="20"/>
          <w:color w:val="auto"/>
        </w:rPr>
      </w:pPr>
      <w:r>
        <w:rPr>
          <w:rFonts w:ascii="Arial" w:cs="Arial" w:eastAsia="Arial" w:hAnsi="Arial"/>
          <w:sz w:val="20"/>
          <w:szCs w:val="20"/>
          <w:color w:val="auto"/>
        </w:rPr>
        <w:t>the Lockman Outstanding;</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27"/>
        </w:numPr>
        <w:rPr>
          <w:rFonts w:ascii="Arial" w:cs="Arial" w:eastAsia="Arial" w:hAnsi="Arial"/>
          <w:sz w:val="19"/>
          <w:szCs w:val="19"/>
          <w:color w:val="auto"/>
        </w:rPr>
      </w:pPr>
      <w:r>
        <w:rPr>
          <w:rFonts w:ascii="Arial" w:cs="Arial" w:eastAsia="Arial" w:hAnsi="Arial"/>
          <w:sz w:val="19"/>
          <w:szCs w:val="19"/>
          <w:color w:val="auto"/>
        </w:rPr>
        <w:t>pursuant to the Transaction Payments Statement, the aggregate amount of the Transaction Payments.</w:t>
      </w:r>
    </w:p>
    <w:p>
      <w:pPr>
        <w:spacing w:after="0" w:line="1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b w:val="1"/>
          <w:bCs w:val="1"/>
          <w:color w:val="auto"/>
        </w:rPr>
        <w:t>3.6</w:t>
      </w:r>
      <w:r>
        <w:rPr>
          <w:rFonts w:ascii="Arial" w:cs="Arial" w:eastAsia="Arial" w:hAnsi="Arial"/>
          <w:sz w:val="16"/>
          <w:szCs w:val="16"/>
          <w:b w:val="1"/>
          <w:bCs w:val="1"/>
          <w:color w:val="auto"/>
        </w:rPr>
        <w:t>Locked Box</w:t>
      </w:r>
    </w:p>
    <w:p>
      <w:pPr>
        <w:spacing w:after="0" w:line="114" w:lineRule="exact"/>
        <w:rPr>
          <w:sz w:val="20"/>
          <w:szCs w:val="20"/>
          <w:color w:val="auto"/>
        </w:rPr>
      </w:pPr>
    </w:p>
    <w:p>
      <w:pPr>
        <w:jc w:val="both"/>
        <w:ind w:left="640" w:hanging="634"/>
        <w:spacing w:after="0" w:line="291" w:lineRule="auto"/>
        <w:tabs>
          <w:tab w:leader="none" w:pos="620" w:val="left"/>
        </w:tabs>
        <w:rPr>
          <w:sz w:val="20"/>
          <w:szCs w:val="20"/>
          <w:color w:val="auto"/>
        </w:rPr>
      </w:pPr>
      <w:r>
        <w:rPr>
          <w:rFonts w:ascii="Arial" w:cs="Arial" w:eastAsia="Arial" w:hAnsi="Arial"/>
          <w:sz w:val="20"/>
          <w:szCs w:val="20"/>
          <w:color w:val="auto"/>
        </w:rPr>
        <w:t>3.6.1</w:t>
      </w:r>
      <w:r>
        <w:rPr>
          <w:sz w:val="20"/>
          <w:szCs w:val="20"/>
          <w:color w:val="auto"/>
        </w:rPr>
        <w:tab/>
      </w:r>
      <w:r>
        <w:rPr>
          <w:rFonts w:ascii="Arial" w:cs="Arial" w:eastAsia="Arial" w:hAnsi="Arial"/>
          <w:sz w:val="18"/>
          <w:szCs w:val="18"/>
          <w:color w:val="auto"/>
        </w:rPr>
        <w:t>The Seller hereby warrants and guarantees to the Purchaser that as from the Locked Box Date until and including the Signing Date no Leakage has occurred and that as from the Signing Date until and including the Closing Date, unless otherwise provided in this Agreement, no Leakage will occur without Purchaser’s prior written consent.</w:t>
      </w:r>
    </w:p>
    <w:p>
      <w:pPr>
        <w:spacing w:after="0" w:line="4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9"/>
          <w:szCs w:val="19"/>
          <w:color w:val="auto"/>
        </w:rPr>
        <w:t>In case of breach of any of the guarantees pursuant to Section 3.6.1, the Seller shall indemnify the Purchaser on an after tax EUR for EUR basis in respect of the amount received for such relevant breach by the Seller or a Seller Connected Person or otherwise incurred for the benefit of the Seller or a Seller Connected Person (unless, in each case, such Leakage constitutes Notified Leakage and has been taken into account for the calculation of the amount payable by the Purchaser to the Seller in accordance with Clause 3.1) and, if applicable to such Leakage, shall terminate, cancel and rescind any and all agreements or commitments that constitute Leakage (any claim for indemnification hereunder a “</w:t>
      </w:r>
      <w:r>
        <w:rPr>
          <w:rFonts w:ascii="Arial" w:cs="Arial" w:eastAsia="Arial" w:hAnsi="Arial"/>
          <w:sz w:val="19"/>
          <w:szCs w:val="19"/>
          <w:b w:val="1"/>
          <w:bCs w:val="1"/>
          <w:color w:val="auto"/>
        </w:rPr>
        <w:t>Leakage Claim</w:t>
      </w:r>
      <w:r>
        <w:rPr>
          <w:rFonts w:ascii="Arial" w:cs="Arial" w:eastAsia="Arial" w:hAnsi="Arial"/>
          <w:sz w:val="19"/>
          <w:szCs w:val="19"/>
          <w:color w:val="auto"/>
        </w:rPr>
        <w:t>”).</w:t>
      </w:r>
    </w:p>
    <w:p>
      <w:pPr>
        <w:spacing w:after="0" w:line="77" w:lineRule="exact"/>
        <w:rPr>
          <w:sz w:val="20"/>
          <w:szCs w:val="20"/>
          <w:color w:val="auto"/>
        </w:rPr>
      </w:pPr>
    </w:p>
    <w:p>
      <w:pPr>
        <w:jc w:val="both"/>
        <w:ind w:left="640" w:right="20" w:hanging="634"/>
        <w:spacing w:after="0" w:line="287" w:lineRule="auto"/>
        <w:tabs>
          <w:tab w:leader="none" w:pos="62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9"/>
          <w:szCs w:val="19"/>
          <w:color w:val="auto"/>
        </w:rPr>
        <w:t>Without prejudice to Section 3.3a), the Seller shall promptly notify the Purchaser in writing if it becomes aware of a payment or transaction or any other ocurrence that constitutes or will constitute, if made, Leakage.</w:t>
      </w:r>
    </w:p>
    <w:p>
      <w:pPr>
        <w:spacing w:after="0" w:line="44" w:lineRule="exact"/>
        <w:rPr>
          <w:sz w:val="20"/>
          <w:szCs w:val="20"/>
          <w:color w:val="auto"/>
        </w:rPr>
      </w:pPr>
    </w:p>
    <w:p>
      <w:pPr>
        <w:jc w:val="both"/>
        <w:ind w:left="640" w:hanging="634"/>
        <w:spacing w:after="0" w:line="291" w:lineRule="auto"/>
        <w:tabs>
          <w:tab w:leader="none" w:pos="620" w:val="left"/>
        </w:tabs>
        <w:rPr>
          <w:sz w:val="20"/>
          <w:szCs w:val="20"/>
          <w:color w:val="auto"/>
        </w:rPr>
      </w:pPr>
      <w:r>
        <w:rPr>
          <w:rFonts w:ascii="Arial" w:cs="Arial" w:eastAsia="Arial" w:hAnsi="Arial"/>
          <w:sz w:val="20"/>
          <w:szCs w:val="20"/>
          <w:color w:val="auto"/>
        </w:rPr>
        <w:t>3.6.4</w:t>
      </w:r>
      <w:r>
        <w:rPr>
          <w:sz w:val="20"/>
          <w:szCs w:val="20"/>
          <w:color w:val="auto"/>
        </w:rPr>
        <w:tab/>
      </w:r>
      <w:r>
        <w:rPr>
          <w:rFonts w:ascii="Arial" w:cs="Arial" w:eastAsia="Arial" w:hAnsi="Arial"/>
          <w:sz w:val="18"/>
          <w:szCs w:val="18"/>
          <w:color w:val="auto"/>
        </w:rPr>
        <w:t>The Seller shall assure that each Group Company provides to the Purchaser any documentation and information in relation to a Leakage Claim and reasonable and prompt access to the employees, accounts and the premises owned or occupied by the Group Companies for the purpose of evaluating and considering any such claim.</w:t>
      </w:r>
    </w:p>
    <w:p>
      <w:pPr>
        <w:spacing w:after="0" w:line="44" w:lineRule="exact"/>
        <w:rPr>
          <w:sz w:val="20"/>
          <w:szCs w:val="20"/>
          <w:color w:val="auto"/>
        </w:rPr>
      </w:pPr>
    </w:p>
    <w:p>
      <w:pPr>
        <w:jc w:val="both"/>
        <w:ind w:left="640" w:right="20" w:hanging="634"/>
        <w:spacing w:after="0" w:line="250" w:lineRule="auto"/>
        <w:tabs>
          <w:tab w:leader="none" w:pos="620" w:val="left"/>
        </w:tabs>
        <w:rPr>
          <w:sz w:val="20"/>
          <w:szCs w:val="20"/>
          <w:color w:val="auto"/>
        </w:rPr>
      </w:pPr>
      <w:r>
        <w:rPr>
          <w:rFonts w:ascii="Arial" w:cs="Arial" w:eastAsia="Arial" w:hAnsi="Arial"/>
          <w:sz w:val="20"/>
          <w:szCs w:val="20"/>
          <w:color w:val="auto"/>
        </w:rPr>
        <w:t>3.6.5</w:t>
        <w:tab/>
        <w:t>The provisions in Clauses 3.6.1 to 3.6.4 (inclusive) shall not in any respect be extinguished or affected by Closing but, for the avoidance of doubt, no claim may be brought in respect of these provisions unless and until Closing has occurred.</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color w:val="auto"/>
        </w:rPr>
        <w:t>Purchase Price Adjustment</w:t>
      </w:r>
    </w:p>
    <w:p>
      <w:pPr>
        <w:spacing w:after="0" w:line="114"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0"/>
          <w:szCs w:val="20"/>
          <w:color w:val="auto"/>
        </w:rPr>
        <w:t>Any payment made by the Seller as a consequence of any Leakage (including a deduction made pursuant to Clause 3.1b) or under the indemnification provisions in Clause 10.1 shall be considered as an adjustment to the price paid by the Purchaser for the Shares.</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6"/>
          <w:szCs w:val="16"/>
          <w:b w:val="1"/>
          <w:bCs w:val="1"/>
          <w:color w:val="auto"/>
        </w:rPr>
        <w:t>Seller and Shareholder Release, Discharge of Officers and Directors</w:t>
      </w:r>
    </w:p>
    <w:p>
      <w:pPr>
        <w:spacing w:after="0" w:line="11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20"/>
          <w:szCs w:val="20"/>
          <w:color w:val="auto"/>
        </w:rPr>
        <w:t>3.8.1</w:t>
      </w:r>
      <w:r>
        <w:rPr>
          <w:sz w:val="20"/>
          <w:szCs w:val="20"/>
          <w:color w:val="auto"/>
        </w:rPr>
        <w:tab/>
      </w:r>
      <w:r>
        <w:rPr>
          <w:rFonts w:ascii="Arial" w:cs="Arial" w:eastAsia="Arial" w:hAnsi="Arial"/>
          <w:sz w:val="19"/>
          <w:szCs w:val="19"/>
          <w:color w:val="auto"/>
        </w:rPr>
        <w:t>In consideration for the agreement and covenants of the Purchaser set forth in this Agreement, the Seller and the Shareholders hereby knowingly, voluntarily and unconditionally releases and forever discharges from and for, and covenants not to sue the Purchaser, any Group Company, or their respective predecessors, successors, parents, subsidiaries or other Affiliates, or any of their respective current and former Officers or Directors, employees, agents, or representatives for or with respect to, any and all claims, causes of action, demands, suits, debts, obligations, liabilities, damages, losses, costs, and expenses (including attorneys’ fees) of every kind or nature whatsoever, known or unknown, actual or potential, suspected or unsuspected, fixed or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96" w:name="page497"/>
    <w:bookmarkEnd w:id="496"/>
    <w:p>
      <w:pPr>
        <w:jc w:val="both"/>
        <w:ind w:left="660"/>
        <w:spacing w:after="0" w:line="246" w:lineRule="auto"/>
        <w:rPr>
          <w:sz w:val="20"/>
          <w:szCs w:val="20"/>
          <w:color w:val="auto"/>
        </w:rPr>
      </w:pPr>
      <w:r>
        <w:rPr>
          <w:rFonts w:ascii="Arial" w:cs="Arial" w:eastAsia="Arial" w:hAnsi="Arial"/>
          <w:sz w:val="20"/>
          <w:szCs w:val="20"/>
          <w:color w:val="auto"/>
        </w:rPr>
        <w:t>contingent, that the Seller or a Shareholder has or may have, now or in the future, arising out of, relating to, or resulting from any act of commission or omission, errors, negligence, strict liability, breach of contract, tort, violations of Law, matter or cause whatsoever from the beginning of time to the Closing Date; provided, however, that such release shall not cover:</w:t>
      </w:r>
    </w:p>
    <w:p>
      <w:pPr>
        <w:spacing w:after="0" w:line="83" w:lineRule="exact"/>
        <w:rPr>
          <w:sz w:val="20"/>
          <w:szCs w:val="20"/>
          <w:color w:val="auto"/>
        </w:rPr>
      </w:pPr>
    </w:p>
    <w:p>
      <w:pPr>
        <w:ind w:left="1140" w:hanging="497"/>
        <w:spacing w:after="0" w:line="260" w:lineRule="auto"/>
        <w:tabs>
          <w:tab w:leader="none" w:pos="1140" w:val="left"/>
        </w:tabs>
        <w:numPr>
          <w:ilvl w:val="0"/>
          <w:numId w:val="528"/>
        </w:numPr>
        <w:rPr>
          <w:rFonts w:ascii="Arial" w:cs="Arial" w:eastAsia="Arial" w:hAnsi="Arial"/>
          <w:sz w:val="20"/>
          <w:szCs w:val="20"/>
          <w:color w:val="auto"/>
        </w:rPr>
      </w:pPr>
      <w:r>
        <w:rPr>
          <w:rFonts w:ascii="Arial" w:cs="Arial" w:eastAsia="Arial" w:hAnsi="Arial"/>
          <w:sz w:val="20"/>
          <w:szCs w:val="20"/>
          <w:color w:val="auto"/>
        </w:rPr>
        <w:t>any claims against the Purchaser or any of its Affiliates (other than a Group Company) unrelated in any way to a Group Company; or</w:t>
      </w:r>
    </w:p>
    <w:p>
      <w:pPr>
        <w:spacing w:after="0" w:line="68"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28"/>
        </w:numPr>
        <w:rPr>
          <w:rFonts w:ascii="Arial" w:cs="Arial" w:eastAsia="Arial" w:hAnsi="Arial"/>
          <w:sz w:val="20"/>
          <w:szCs w:val="20"/>
          <w:color w:val="auto"/>
        </w:rPr>
      </w:pPr>
      <w:r>
        <w:rPr>
          <w:rFonts w:ascii="Arial" w:cs="Arial" w:eastAsia="Arial" w:hAnsi="Arial"/>
          <w:sz w:val="20"/>
          <w:szCs w:val="20"/>
          <w:color w:val="auto"/>
        </w:rPr>
        <w:t>any claims against the Purchaser arising under or in connection with this Agreement, any Seller Ancillary Document or any Purchaser Ancillary Document.</w:t>
      </w:r>
    </w:p>
    <w:p>
      <w:pPr>
        <w:spacing w:after="0" w:line="69" w:lineRule="exact"/>
        <w:rPr>
          <w:sz w:val="20"/>
          <w:szCs w:val="20"/>
          <w:color w:val="auto"/>
        </w:rPr>
      </w:pPr>
    </w:p>
    <w:p>
      <w:pPr>
        <w:jc w:val="both"/>
        <w:ind w:left="640" w:hanging="634"/>
        <w:spacing w:after="0" w:line="246" w:lineRule="auto"/>
        <w:tabs>
          <w:tab w:leader="none" w:pos="620" w:val="left"/>
        </w:tabs>
        <w:rPr>
          <w:sz w:val="20"/>
          <w:szCs w:val="20"/>
          <w:color w:val="auto"/>
        </w:rPr>
      </w:pPr>
      <w:r>
        <w:rPr>
          <w:rFonts w:ascii="Arial" w:cs="Arial" w:eastAsia="Arial" w:hAnsi="Arial"/>
          <w:sz w:val="20"/>
          <w:szCs w:val="20"/>
          <w:color w:val="auto"/>
        </w:rPr>
        <w:t>3.8.2</w:t>
        <w:tab/>
        <w:t>The Purchaser declares that as of the date hereof, it has no knowledge of any facts or circumstances that could give cause to refuse the discharge (</w:t>
      </w:r>
      <w:r>
        <w:rPr>
          <w:rFonts w:ascii="Arial" w:cs="Arial" w:eastAsia="Arial" w:hAnsi="Arial"/>
          <w:sz w:val="20"/>
          <w:szCs w:val="20"/>
          <w:i w:val="1"/>
          <w:iCs w:val="1"/>
          <w:color w:val="auto"/>
        </w:rPr>
        <w:t>Entlastung</w:t>
      </w:r>
      <w:r>
        <w:rPr>
          <w:rFonts w:ascii="Arial" w:cs="Arial" w:eastAsia="Arial" w:hAnsi="Arial"/>
          <w:sz w:val="20"/>
          <w:szCs w:val="20"/>
          <w:color w:val="auto"/>
        </w:rPr>
        <w:t>) of the managing directors (</w:t>
      </w:r>
      <w:r>
        <w:rPr>
          <w:rFonts w:ascii="Arial" w:cs="Arial" w:eastAsia="Arial" w:hAnsi="Arial"/>
          <w:sz w:val="20"/>
          <w:szCs w:val="20"/>
          <w:i w:val="1"/>
          <w:iCs w:val="1"/>
          <w:color w:val="auto"/>
        </w:rPr>
        <w:t>Geschäftsführer</w:t>
      </w:r>
      <w:r>
        <w:rPr>
          <w:rFonts w:ascii="Arial" w:cs="Arial" w:eastAsia="Arial" w:hAnsi="Arial"/>
          <w:sz w:val="20"/>
          <w:szCs w:val="20"/>
          <w:color w:val="auto"/>
        </w:rPr>
        <w:t>) for the business year 2020 and the Purchaser is obliged to grant such discharge in the ordinary course unless he becomes aware of such facts or circumstances after the date hereof.</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18"/>
          <w:szCs w:val="18"/>
          <w:b w:val="1"/>
          <w:bCs w:val="1"/>
          <w:color w:val="auto"/>
        </w:rPr>
        <w:t>Claims Under Escrow</w:t>
      </w:r>
    </w:p>
    <w:p>
      <w:pPr>
        <w:spacing w:after="0" w:line="114" w:lineRule="exact"/>
        <w:rPr>
          <w:sz w:val="20"/>
          <w:szCs w:val="20"/>
          <w:color w:val="auto"/>
        </w:rPr>
      </w:pPr>
    </w:p>
    <w:p>
      <w:pPr>
        <w:jc w:val="both"/>
        <w:ind w:left="640" w:hanging="634"/>
        <w:spacing w:after="0" w:line="242" w:lineRule="auto"/>
        <w:tabs>
          <w:tab w:leader="none" w:pos="620" w:val="left"/>
        </w:tabs>
        <w:rPr>
          <w:sz w:val="20"/>
          <w:szCs w:val="20"/>
          <w:color w:val="auto"/>
        </w:rPr>
      </w:pPr>
      <w:r>
        <w:rPr>
          <w:rFonts w:ascii="Arial" w:cs="Arial" w:eastAsia="Arial" w:hAnsi="Arial"/>
          <w:sz w:val="20"/>
          <w:szCs w:val="20"/>
          <w:color w:val="auto"/>
        </w:rPr>
        <w:t>3.9.1</w:t>
        <w:tab/>
        <w:t>The Purchaser shall have the option of claiming all or any part of any Claim – subject to limitations in this agreement – arising from (i) the breach of a Fundamental Seller Warranty or (ii) from the breach of any Seller Warranty to the extent it is not covered by the R&amp;W Insurance by notifying the Seller that the Purchaser is claiming the amount of such Claim (or the Purchaser’s good faith estimate of such amount if unliquidated, pending the final determination thereof) against the Escrow Fund. Any such claim against the Escrow Fund shall be made at the latest on the day following 30 (thirty) months following the Closing Date by delivery of written notice to the Seller, stating the nature of and basis for such claim with reasonable specificity (including the applicable provision of this Agreement).</w:t>
      </w:r>
    </w:p>
    <w:p>
      <w:pPr>
        <w:spacing w:after="0" w:line="89"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3.9.2</w:t>
        <w:tab/>
        <w:t>If the Seller objects to the amount of all or part of any claim by the Purchaser against the Escrow Fund, then the Seller shall, within 30 days of receipt of such claim, provide written notice (an “</w:t>
      </w:r>
      <w:r>
        <w:rPr>
          <w:rFonts w:ascii="Arial" w:cs="Arial" w:eastAsia="Arial" w:hAnsi="Arial"/>
          <w:sz w:val="20"/>
          <w:szCs w:val="20"/>
          <w:b w:val="1"/>
          <w:bCs w:val="1"/>
          <w:color w:val="auto"/>
        </w:rPr>
        <w:t>Objection Notice</w:t>
      </w:r>
      <w:r>
        <w:rPr>
          <w:rFonts w:ascii="Arial" w:cs="Arial" w:eastAsia="Arial" w:hAnsi="Arial"/>
          <w:sz w:val="20"/>
          <w:szCs w:val="20"/>
          <w:color w:val="auto"/>
        </w:rPr>
        <w:t>”) to the Purchaser setting forth the Seller’s objections.</w:t>
      </w:r>
    </w:p>
    <w:p>
      <w:pPr>
        <w:spacing w:after="0" w:line="7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20"/>
          <w:szCs w:val="20"/>
          <w:color w:val="auto"/>
        </w:rPr>
        <w:t>3.9.3</w:t>
      </w:r>
      <w:r>
        <w:rPr>
          <w:sz w:val="20"/>
          <w:szCs w:val="20"/>
          <w:color w:val="auto"/>
        </w:rPr>
        <w:tab/>
      </w:r>
      <w:r>
        <w:rPr>
          <w:rFonts w:ascii="Arial" w:cs="Arial" w:eastAsia="Arial" w:hAnsi="Arial"/>
          <w:sz w:val="19"/>
          <w:szCs w:val="19"/>
          <w:color w:val="auto"/>
        </w:rPr>
        <w:t>If the Seller sends the Purchaser an Objection Notice, then within 15 Business Days after receipt of an Objection Notice, the Purchaser and the Seller shall work in good faith to reconcile and resolve the differences. If the Parties cannot mutually resolve such differences during such 15 Business Days period, either the Purchaser or the Seller may proceed in accordance with Sub-Clause 10.3 to determine the amount of the Claim payable to the Purchaser, provided that this provision shall not affect the right of a Party to commence legal proceedings in order to interrupt any barring by the statute of limitations (</w:t>
      </w:r>
      <w:r>
        <w:rPr>
          <w:rFonts w:ascii="Arial" w:cs="Arial" w:eastAsia="Arial" w:hAnsi="Arial"/>
          <w:sz w:val="19"/>
          <w:szCs w:val="19"/>
          <w:i w:val="1"/>
          <w:iCs w:val="1"/>
          <w:color w:val="auto"/>
        </w:rPr>
        <w:t>Verjährung</w:t>
      </w:r>
      <w:r>
        <w:rPr>
          <w:rFonts w:ascii="Arial" w:cs="Arial" w:eastAsia="Arial" w:hAnsi="Arial"/>
          <w:sz w:val="19"/>
          <w:szCs w:val="19"/>
          <w:color w:val="auto"/>
        </w:rPr>
        <w:t>).</w:t>
      </w:r>
    </w:p>
    <w:p>
      <w:pPr>
        <w:spacing w:after="0" w:line="70" w:lineRule="exact"/>
        <w:rPr>
          <w:sz w:val="20"/>
          <w:szCs w:val="20"/>
          <w:color w:val="auto"/>
        </w:rPr>
      </w:pPr>
    </w:p>
    <w:p>
      <w:pPr>
        <w:jc w:val="both"/>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3.9.4</w:t>
        <w:tab/>
        <w:t>Notwithstanding anything in this Sub-Clause 3.9 to the contrary, the Purchaser shall also be entitled to assert any Claim directly against the Seller without making such Claim against the Escrow Amount.</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Earn-Out I – Performance of Company Group</w:t>
      </w:r>
    </w:p>
    <w:p>
      <w:pPr>
        <w:spacing w:after="0" w:line="108" w:lineRule="exact"/>
        <w:rPr>
          <w:sz w:val="20"/>
          <w:szCs w:val="20"/>
          <w:color w:val="auto"/>
        </w:rPr>
      </w:pPr>
    </w:p>
    <w:p>
      <w:pPr>
        <w:jc w:val="both"/>
        <w:ind w:left="640" w:hanging="634"/>
        <w:spacing w:after="0" w:line="253" w:lineRule="auto"/>
        <w:rPr>
          <w:sz w:val="20"/>
          <w:szCs w:val="20"/>
          <w:color w:val="auto"/>
        </w:rPr>
      </w:pPr>
      <w:r>
        <w:rPr>
          <w:rFonts w:ascii="Arial" w:cs="Arial" w:eastAsia="Arial" w:hAnsi="Arial"/>
          <w:sz w:val="20"/>
          <w:szCs w:val="20"/>
          <w:color w:val="auto"/>
        </w:rPr>
        <w:t>3.10.1 The Purchaser shall pay an additional purchase price in the amount of €2,000,000.00 (two million Euros) (the “</w:t>
      </w:r>
      <w:r>
        <w:rPr>
          <w:rFonts w:ascii="Arial" w:cs="Arial" w:eastAsia="Arial" w:hAnsi="Arial"/>
          <w:sz w:val="20"/>
          <w:szCs w:val="20"/>
          <w:b w:val="1"/>
          <w:bCs w:val="1"/>
          <w:color w:val="auto"/>
        </w:rPr>
        <w:t>Earn</w:t>
      </w:r>
      <w:r>
        <w:rPr>
          <w:rFonts w:ascii="Arial" w:cs="Arial" w:eastAsia="Arial" w:hAnsi="Arial"/>
          <w:sz w:val="20"/>
          <w:szCs w:val="20"/>
          <w:color w:val="auto"/>
        </w:rPr>
        <w:t xml:space="preserve"> </w:t>
      </w:r>
      <w:r>
        <w:rPr>
          <w:rFonts w:ascii="Arial" w:cs="Arial" w:eastAsia="Arial" w:hAnsi="Arial"/>
          <w:sz w:val="20"/>
          <w:szCs w:val="20"/>
          <w:b w:val="1"/>
          <w:bCs w:val="1"/>
          <w:color w:val="auto"/>
        </w:rPr>
        <w:t>Out First Year</w:t>
      </w:r>
      <w:r>
        <w:rPr>
          <w:rFonts w:ascii="Arial" w:cs="Arial" w:eastAsia="Arial" w:hAnsi="Arial"/>
          <w:sz w:val="20"/>
          <w:szCs w:val="20"/>
          <w:color w:val="auto"/>
        </w:rPr>
        <w:t>”) to the Seller if the Group Revenues in the First Earn Out Year exceed an amount of €34,500,000</w:t>
      </w:r>
      <w:r>
        <w:rPr>
          <w:rFonts w:ascii="Arial" w:cs="Arial" w:eastAsia="Arial" w:hAnsi="Arial"/>
          <w:sz w:val="20"/>
          <w:szCs w:val="20"/>
          <w:b w:val="1"/>
          <w:bCs w:val="1"/>
          <w:color w:val="auto"/>
        </w:rPr>
        <w:t xml:space="preserve"> </w:t>
      </w:r>
      <w:r>
        <w:rPr>
          <w:rFonts w:ascii="Arial" w:cs="Arial" w:eastAsia="Arial" w:hAnsi="Arial"/>
          <w:sz w:val="20"/>
          <w:szCs w:val="20"/>
          <w:color w:val="auto"/>
        </w:rPr>
        <w:t>(Euro thirtyfour million fivehundred thousand).</w:t>
      </w:r>
    </w:p>
    <w:p>
      <w:pPr>
        <w:spacing w:after="0" w:line="75"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3.10.2 The Purchaser shall pay a further additional purchase price in the amount of €2,000,000.00 (two million Euros) (the “</w:t>
      </w:r>
      <w:r>
        <w:rPr>
          <w:rFonts w:ascii="Arial" w:cs="Arial" w:eastAsia="Arial" w:hAnsi="Arial"/>
          <w:sz w:val="20"/>
          <w:szCs w:val="20"/>
          <w:b w:val="1"/>
          <w:bCs w:val="1"/>
          <w:color w:val="auto"/>
        </w:rPr>
        <w:t>Earn Out Second Year</w:t>
      </w:r>
      <w:r>
        <w:rPr>
          <w:rFonts w:ascii="Arial" w:cs="Arial" w:eastAsia="Arial" w:hAnsi="Arial"/>
          <w:sz w:val="20"/>
          <w:szCs w:val="20"/>
          <w:color w:val="auto"/>
        </w:rPr>
        <w:t>”) to the Seller if the Group Revenues in the Second Earn Out Year exceed an amount of €37,500,000 (Euro thirtyseven million fivehundred thousand).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497" w:name="page498"/>
    <w:bookmarkEnd w:id="497"/>
    <w:p>
      <w:pPr>
        <w:jc w:val="both"/>
        <w:ind w:left="620" w:hanging="634"/>
        <w:spacing w:after="0" w:line="246" w:lineRule="auto"/>
        <w:rPr>
          <w:sz w:val="20"/>
          <w:szCs w:val="20"/>
          <w:color w:val="auto"/>
        </w:rPr>
      </w:pPr>
      <w:r>
        <w:rPr>
          <w:rFonts w:ascii="Arial" w:cs="Arial" w:eastAsia="Arial" w:hAnsi="Arial"/>
          <w:sz w:val="20"/>
          <w:szCs w:val="20"/>
          <w:color w:val="auto"/>
        </w:rPr>
        <w:t>3.10.3 The Purchaser shall pay a further additional purchase price in the amount of €2,000,000.00 (two million Euros) (the “</w:t>
      </w:r>
      <w:r>
        <w:rPr>
          <w:rFonts w:ascii="Arial" w:cs="Arial" w:eastAsia="Arial" w:hAnsi="Arial"/>
          <w:sz w:val="20"/>
          <w:szCs w:val="20"/>
          <w:b w:val="1"/>
          <w:bCs w:val="1"/>
          <w:color w:val="auto"/>
        </w:rPr>
        <w:t>Earn Out Third Year</w:t>
      </w:r>
      <w:r>
        <w:rPr>
          <w:rFonts w:ascii="Arial" w:cs="Arial" w:eastAsia="Arial" w:hAnsi="Arial"/>
          <w:sz w:val="20"/>
          <w:szCs w:val="20"/>
          <w:color w:val="auto"/>
        </w:rPr>
        <w:t>”; together with the Earn Out First Year and the Earn Out Second Year the “</w:t>
      </w:r>
      <w:r>
        <w:rPr>
          <w:rFonts w:ascii="Arial" w:cs="Arial" w:eastAsia="Arial" w:hAnsi="Arial"/>
          <w:sz w:val="20"/>
          <w:szCs w:val="20"/>
          <w:b w:val="1"/>
          <w:bCs w:val="1"/>
          <w:color w:val="auto"/>
        </w:rPr>
        <w:t>Earn Outs</w:t>
      </w:r>
      <w:r>
        <w:rPr>
          <w:rFonts w:ascii="Arial" w:cs="Arial" w:eastAsia="Arial" w:hAnsi="Arial"/>
          <w:sz w:val="20"/>
          <w:szCs w:val="20"/>
          <w:color w:val="auto"/>
        </w:rPr>
        <w:t>” and each of them an “</w:t>
      </w:r>
      <w:r>
        <w:rPr>
          <w:rFonts w:ascii="Arial" w:cs="Arial" w:eastAsia="Arial" w:hAnsi="Arial"/>
          <w:sz w:val="20"/>
          <w:szCs w:val="20"/>
          <w:b w:val="1"/>
          <w:bCs w:val="1"/>
          <w:color w:val="auto"/>
        </w:rPr>
        <w:t>Earn Out</w:t>
      </w:r>
      <w:r>
        <w:rPr>
          <w:rFonts w:ascii="Arial" w:cs="Arial" w:eastAsia="Arial" w:hAnsi="Arial"/>
          <w:sz w:val="20"/>
          <w:szCs w:val="20"/>
          <w:color w:val="auto"/>
        </w:rPr>
        <w:t>”) to the Seller if the aggregate Group US Military Orders during the Earn Out Period exceed an amount of US$30,000,000 (US Dollar thirty million).</w:t>
      </w:r>
    </w:p>
    <w:p>
      <w:pPr>
        <w:spacing w:after="0" w:line="83"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Should the conditions under which the Earn Out Third Year becomes due pursuant to the preceding paragraph not have been met, the Purchaser shall pay a reduced further additional purchase price in the amount of €1,000,000.00 (one million Euros) if AEROVIRONMENT, INC. or the Company has been awarded the contract offered by the U.S. Air Force Solicitation for an award value of at least US$10 million (whether funded or not) and the awarding has not been cancelled within the Earnout Period, and in such case such reduced amount shall be deemed the “Earn Out Third Year” within the meaning of this Agreement.</w:t>
      </w:r>
    </w:p>
    <w:p>
      <w:pPr>
        <w:spacing w:after="0" w:line="64" w:lineRule="exact"/>
        <w:rPr>
          <w:sz w:val="20"/>
          <w:szCs w:val="20"/>
          <w:color w:val="auto"/>
        </w:rPr>
      </w:pPr>
    </w:p>
    <w:p>
      <w:pPr>
        <w:jc w:val="both"/>
        <w:ind w:left="620" w:hanging="634"/>
        <w:spacing w:after="0" w:line="280" w:lineRule="auto"/>
        <w:rPr>
          <w:sz w:val="20"/>
          <w:szCs w:val="20"/>
          <w:color w:val="auto"/>
        </w:rPr>
      </w:pPr>
      <w:r>
        <w:rPr>
          <w:rFonts w:ascii="Arial" w:cs="Arial" w:eastAsia="Arial" w:hAnsi="Arial"/>
          <w:sz w:val="18"/>
          <w:szCs w:val="18"/>
          <w:color w:val="auto"/>
        </w:rPr>
        <w:t>3.10.4 In this Agreement, the following terms have the following meanings: “</w:t>
      </w:r>
      <w:r>
        <w:rPr>
          <w:rFonts w:ascii="Arial" w:cs="Arial" w:eastAsia="Arial" w:hAnsi="Arial"/>
          <w:sz w:val="18"/>
          <w:szCs w:val="18"/>
          <w:b w:val="1"/>
          <w:bCs w:val="1"/>
          <w:color w:val="auto"/>
        </w:rPr>
        <w:t>First Earn Out Year</w:t>
      </w:r>
      <w:r>
        <w:rPr>
          <w:rFonts w:ascii="Arial" w:cs="Arial" w:eastAsia="Arial" w:hAnsi="Arial"/>
          <w:sz w:val="18"/>
          <w:szCs w:val="18"/>
          <w:color w:val="auto"/>
        </w:rPr>
        <w:t>” means the 12 month period starting on the first day of the calendar month following the Closing Date. “</w:t>
      </w:r>
      <w:r>
        <w:rPr>
          <w:rFonts w:ascii="Arial" w:cs="Arial" w:eastAsia="Arial" w:hAnsi="Arial"/>
          <w:sz w:val="18"/>
          <w:szCs w:val="18"/>
          <w:b w:val="1"/>
          <w:bCs w:val="1"/>
          <w:color w:val="auto"/>
        </w:rPr>
        <w:t>Second Earn Out Year</w:t>
      </w:r>
      <w:r>
        <w:rPr>
          <w:rFonts w:ascii="Arial" w:cs="Arial" w:eastAsia="Arial" w:hAnsi="Arial"/>
          <w:sz w:val="18"/>
          <w:szCs w:val="18"/>
          <w:color w:val="auto"/>
        </w:rPr>
        <w:t>” means the 12 month period following the First Earn Out Year. “</w:t>
      </w:r>
      <w:r>
        <w:rPr>
          <w:rFonts w:ascii="Arial" w:cs="Arial" w:eastAsia="Arial" w:hAnsi="Arial"/>
          <w:sz w:val="18"/>
          <w:szCs w:val="18"/>
          <w:b w:val="1"/>
          <w:bCs w:val="1"/>
          <w:color w:val="auto"/>
        </w:rPr>
        <w:t>Third Earn Out Year</w:t>
      </w:r>
      <w:r>
        <w:rPr>
          <w:rFonts w:ascii="Arial" w:cs="Arial" w:eastAsia="Arial" w:hAnsi="Arial"/>
          <w:sz w:val="18"/>
          <w:szCs w:val="18"/>
          <w:color w:val="auto"/>
        </w:rPr>
        <w:t>” means the 12 month period following the Second Earn Out Year. “</w:t>
      </w:r>
      <w:r>
        <w:rPr>
          <w:rFonts w:ascii="Arial" w:cs="Arial" w:eastAsia="Arial" w:hAnsi="Arial"/>
          <w:sz w:val="18"/>
          <w:szCs w:val="18"/>
          <w:b w:val="1"/>
          <w:bCs w:val="1"/>
          <w:color w:val="auto"/>
        </w:rPr>
        <w:t>Earn Out Year</w:t>
      </w:r>
      <w:r>
        <w:rPr>
          <w:rFonts w:ascii="Arial" w:cs="Arial" w:eastAsia="Arial" w:hAnsi="Arial"/>
          <w:sz w:val="18"/>
          <w:szCs w:val="18"/>
          <w:color w:val="auto"/>
        </w:rPr>
        <w:t>” means each such twelve month period. “</w:t>
      </w:r>
      <w:r>
        <w:rPr>
          <w:rFonts w:ascii="Arial" w:cs="Arial" w:eastAsia="Arial" w:hAnsi="Arial"/>
          <w:sz w:val="18"/>
          <w:szCs w:val="18"/>
          <w:b w:val="1"/>
          <w:bCs w:val="1"/>
          <w:color w:val="auto"/>
        </w:rPr>
        <w:t>Earn Out Period</w:t>
      </w:r>
      <w:r>
        <w:rPr>
          <w:rFonts w:ascii="Arial" w:cs="Arial" w:eastAsia="Arial" w:hAnsi="Arial"/>
          <w:sz w:val="18"/>
          <w:szCs w:val="18"/>
          <w:color w:val="auto"/>
        </w:rPr>
        <w:t>” means the period from the beginning of the First Earn Out Year until the end of the Third Earn Out Year.</w:t>
      </w:r>
    </w:p>
    <w:p>
      <w:pPr>
        <w:spacing w:after="0" w:line="54" w:lineRule="exact"/>
        <w:rPr>
          <w:sz w:val="20"/>
          <w:szCs w:val="20"/>
          <w:color w:val="auto"/>
        </w:rPr>
      </w:pPr>
    </w:p>
    <w:p>
      <w:pPr>
        <w:jc w:val="both"/>
        <w:ind w:left="620" w:hanging="634"/>
        <w:spacing w:after="0" w:line="316" w:lineRule="auto"/>
        <w:rPr>
          <w:sz w:val="20"/>
          <w:szCs w:val="20"/>
          <w:color w:val="auto"/>
        </w:rPr>
      </w:pPr>
      <w:r>
        <w:rPr>
          <w:rFonts w:ascii="Arial" w:cs="Arial" w:eastAsia="Arial" w:hAnsi="Arial"/>
          <w:sz w:val="18"/>
          <w:szCs w:val="18"/>
          <w:color w:val="auto"/>
        </w:rPr>
        <w:t>3.10.5 For the avoidance of doubt, if no Earn Out should become due with respect to any calendar year, an Earn Out with respect to any of the other calendar years shall nevertheless become due if the relevant condition should be met.</w:t>
      </w:r>
    </w:p>
    <w:p>
      <w:pPr>
        <w:spacing w:after="0" w:line="22" w:lineRule="exact"/>
        <w:rPr>
          <w:sz w:val="20"/>
          <w:szCs w:val="20"/>
          <w:color w:val="auto"/>
        </w:rPr>
      </w:pPr>
    </w:p>
    <w:p>
      <w:pPr>
        <w:jc w:val="both"/>
        <w:ind w:left="620" w:hanging="634"/>
        <w:spacing w:after="0" w:line="243" w:lineRule="auto"/>
        <w:rPr>
          <w:sz w:val="20"/>
          <w:szCs w:val="20"/>
          <w:color w:val="auto"/>
        </w:rPr>
      </w:pPr>
      <w:r>
        <w:rPr>
          <w:rFonts w:ascii="Arial" w:cs="Arial" w:eastAsia="Arial" w:hAnsi="Arial"/>
          <w:sz w:val="20"/>
          <w:szCs w:val="20"/>
          <w:color w:val="auto"/>
        </w:rPr>
        <w:t>3.10.6 For the duration of the Earn Out Period, the Purchaser shall refrain from exercising its rights as a shareholder of the Company in a way which can be reasonably expected to have the effect of reducing Group Revenues or Group US Military Orders which otherwise would have been achieved unless the relevant action is reasonable for the parent of a group of companies comprising, among others, the Company Group, provided that no such action shall be deemed “reasonable” within the meaning of this sentence if it should be taken with the express purpose of achieving such reduction..</w:t>
      </w:r>
    </w:p>
    <w:p>
      <w:pPr>
        <w:spacing w:after="0" w:line="88" w:lineRule="exact"/>
        <w:rPr>
          <w:sz w:val="20"/>
          <w:szCs w:val="20"/>
          <w:color w:val="auto"/>
        </w:rPr>
      </w:pPr>
    </w:p>
    <w:p>
      <w:pPr>
        <w:jc w:val="both"/>
        <w:ind w:left="620" w:hanging="634"/>
        <w:spacing w:after="0" w:line="255" w:lineRule="auto"/>
        <w:rPr>
          <w:sz w:val="20"/>
          <w:szCs w:val="20"/>
          <w:color w:val="auto"/>
        </w:rPr>
      </w:pPr>
      <w:r>
        <w:rPr>
          <w:rFonts w:ascii="Arial" w:cs="Arial" w:eastAsia="Arial" w:hAnsi="Arial"/>
          <w:sz w:val="19"/>
          <w:szCs w:val="19"/>
          <w:color w:val="auto"/>
        </w:rPr>
        <w:t>3.10.7 If Purchaser transfers control over the Group Companies to a third party during the Earn Out Period, the full amount of any Earn Out relating to a period subsequent to or current during such transfer (i.e. the Earn Out Third Year in any such case, plus the Earn Out First Year and the Earn Out Second Year if the transfer occurs within the First Earn Out Year, and plus the Earn Out Second Year if the transfer occurs within the Second Earn Out Year) shall become due for payment to Seller immediately upon such transfer. If Purchaser merges the Company with another entity of the Purchaser group, the full amount of any Earn Out relating to a period subsequent to or current during the date of effectiveness of such merger shall become due for payment to Seller immediately upon such transfer unless such merger leaves the Company Group as a distinct business unit with its own bookkeeping, provided that such bookkeeping allows for unambiguous determination of revenues for each Group Company business. For the avoidance of doubt, a merger of the Subsidiary into the Purchaser or an Affiliate of the Purchaser shall not affect the conditions for the becoming due of an Earn Out.</w:t>
      </w:r>
    </w:p>
    <w:p>
      <w:pPr>
        <w:spacing w:after="0" w:line="79" w:lineRule="exact"/>
        <w:rPr>
          <w:sz w:val="20"/>
          <w:szCs w:val="20"/>
          <w:color w:val="auto"/>
        </w:rPr>
      </w:pPr>
    </w:p>
    <w:p>
      <w:pPr>
        <w:jc w:val="both"/>
        <w:ind w:left="620" w:hanging="634"/>
        <w:spacing w:after="0" w:line="278" w:lineRule="auto"/>
        <w:rPr>
          <w:sz w:val="20"/>
          <w:szCs w:val="20"/>
          <w:color w:val="auto"/>
        </w:rPr>
      </w:pPr>
      <w:r>
        <w:rPr>
          <w:rFonts w:ascii="Arial" w:cs="Arial" w:eastAsia="Arial" w:hAnsi="Arial"/>
          <w:sz w:val="18"/>
          <w:szCs w:val="18"/>
          <w:color w:val="auto"/>
        </w:rPr>
        <w:t>3.10.8 If during the Earn Out Period any Shareholder (i) is removed as a Director or Officer of the relevant Group Company without cause for which he is responsible, or (ii) terminates his employment as a Director or Officer with cause for which the Purchaser or the Group Company is responsible, an amount of 50 % of any Earn Out allocable to such Shareholder and relating to a period subsequent to or current during the date of effectiveness of such removing or termination, as the case may be, shall become due for payment to Seller immediately. For purposes of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8" w:right="999" w:bottom="1440" w:gutter="0" w:footer="0" w:header="0"/>
        </w:sectPr>
      </w:pPr>
    </w:p>
    <w:bookmarkStart w:id="498" w:name="page499"/>
    <w:bookmarkEnd w:id="498"/>
    <w:p>
      <w:pPr>
        <w:jc w:val="both"/>
        <w:ind w:left="640"/>
        <w:spacing w:after="0" w:line="260" w:lineRule="auto"/>
        <w:rPr>
          <w:sz w:val="20"/>
          <w:szCs w:val="20"/>
          <w:color w:val="auto"/>
        </w:rPr>
      </w:pPr>
      <w:r>
        <w:rPr>
          <w:rFonts w:ascii="Arial" w:cs="Arial" w:eastAsia="Arial" w:hAnsi="Arial"/>
          <w:sz w:val="19"/>
          <w:szCs w:val="19"/>
          <w:color w:val="auto"/>
        </w:rPr>
        <w:t>preceding sentence, (i) “Earn Out allocable to such Shareholder” shall mean a percentage of such Earn Out which is 45% for Norbert Gebbeken, 35% for Thomas Biehne and 20% for Adam Jaroh; and (ii) “cause” shall mean an “important cause” (</w:t>
      </w:r>
      <w:r>
        <w:rPr>
          <w:rFonts w:ascii="Arial" w:cs="Arial" w:eastAsia="Arial" w:hAnsi="Arial"/>
          <w:sz w:val="19"/>
          <w:szCs w:val="19"/>
          <w:i w:val="1"/>
          <w:iCs w:val="1"/>
          <w:color w:val="auto"/>
        </w:rPr>
        <w:t>aus wichtigem Grund</w:t>
      </w:r>
      <w:r>
        <w:rPr>
          <w:rFonts w:ascii="Arial" w:cs="Arial" w:eastAsia="Arial" w:hAnsi="Arial"/>
          <w:sz w:val="19"/>
          <w:szCs w:val="19"/>
          <w:color w:val="auto"/>
        </w:rPr>
        <w:t>) within the meaning of Section 314 BGB provided that for the removing of a Director or Officer of a Group Company Group it shall be deemed cause if the Company Group has achieved less than 65% of the Group Revenues threshold defined in Clause 3.10.1 or 3.10.2.</w:t>
      </w:r>
    </w:p>
    <w:p>
      <w:pPr>
        <w:spacing w:after="0" w:line="72" w:lineRule="exact"/>
        <w:rPr>
          <w:sz w:val="20"/>
          <w:szCs w:val="20"/>
          <w:color w:val="auto"/>
        </w:rPr>
      </w:pPr>
    </w:p>
    <w:p>
      <w:pPr>
        <w:jc w:val="both"/>
        <w:ind w:left="640" w:hanging="634"/>
        <w:spacing w:after="0" w:line="263" w:lineRule="auto"/>
        <w:rPr>
          <w:sz w:val="20"/>
          <w:szCs w:val="20"/>
          <w:color w:val="auto"/>
        </w:rPr>
      </w:pPr>
      <w:r>
        <w:rPr>
          <w:rFonts w:ascii="Arial" w:cs="Arial" w:eastAsia="Arial" w:hAnsi="Arial"/>
          <w:sz w:val="19"/>
          <w:szCs w:val="19"/>
          <w:color w:val="auto"/>
        </w:rPr>
        <w:t>3.10.9 For purposes of the Earn Outs, the Group Revenues and the Group US Military Orders shall be determined by the Purchaser at the latest six months after the end of each Earn Out Year and such determination (the “</w:t>
      </w:r>
      <w:r>
        <w:rPr>
          <w:rFonts w:ascii="Arial" w:cs="Arial" w:eastAsia="Arial" w:hAnsi="Arial"/>
          <w:sz w:val="19"/>
          <w:szCs w:val="19"/>
          <w:b w:val="1"/>
          <w:bCs w:val="1"/>
          <w:color w:val="auto"/>
        </w:rPr>
        <w:t>Earnout</w:t>
      </w:r>
      <w:r>
        <w:rPr>
          <w:rFonts w:ascii="Arial" w:cs="Arial" w:eastAsia="Arial" w:hAnsi="Arial"/>
          <w:sz w:val="19"/>
          <w:szCs w:val="19"/>
          <w:color w:val="auto"/>
        </w:rPr>
        <w:t xml:space="preserve"> </w:t>
      </w:r>
      <w:r>
        <w:rPr>
          <w:rFonts w:ascii="Arial" w:cs="Arial" w:eastAsia="Arial" w:hAnsi="Arial"/>
          <w:sz w:val="19"/>
          <w:szCs w:val="19"/>
          <w:b w:val="1"/>
          <w:bCs w:val="1"/>
          <w:color w:val="auto"/>
        </w:rPr>
        <w:t>Determination</w:t>
      </w:r>
      <w:r>
        <w:rPr>
          <w:rFonts w:ascii="Arial" w:cs="Arial" w:eastAsia="Arial" w:hAnsi="Arial"/>
          <w:sz w:val="19"/>
          <w:szCs w:val="19"/>
          <w:color w:val="auto"/>
        </w:rPr>
        <w:t>”) shall be notified to the Seller in writing. The date when the Seller shall have received the Earnout</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Determination is referred to in this Agreement as the “</w:t>
      </w:r>
      <w:r>
        <w:rPr>
          <w:rFonts w:ascii="Arial" w:cs="Arial" w:eastAsia="Arial" w:hAnsi="Arial"/>
          <w:sz w:val="19"/>
          <w:szCs w:val="19"/>
          <w:b w:val="1"/>
          <w:bCs w:val="1"/>
          <w:color w:val="auto"/>
        </w:rPr>
        <w:t>Earnout Determination Date</w:t>
      </w:r>
      <w:r>
        <w:rPr>
          <w:rFonts w:ascii="Arial" w:cs="Arial" w:eastAsia="Arial" w:hAnsi="Arial"/>
          <w:sz w:val="19"/>
          <w:szCs w:val="19"/>
          <w:color w:val="auto"/>
        </w:rPr>
        <w:t>”.</w:t>
      </w:r>
    </w:p>
    <w:p>
      <w:pPr>
        <w:spacing w:after="0" w:line="62" w:lineRule="exact"/>
        <w:rPr>
          <w:sz w:val="20"/>
          <w:szCs w:val="20"/>
          <w:color w:val="auto"/>
        </w:rPr>
      </w:pPr>
    </w:p>
    <w:p>
      <w:pPr>
        <w:jc w:val="both"/>
        <w:ind w:left="640" w:right="20" w:hanging="634"/>
        <w:spacing w:after="0" w:line="267" w:lineRule="auto"/>
        <w:rPr>
          <w:sz w:val="20"/>
          <w:szCs w:val="20"/>
          <w:color w:val="auto"/>
        </w:rPr>
      </w:pPr>
      <w:r>
        <w:rPr>
          <w:rFonts w:ascii="Arial" w:cs="Arial" w:eastAsia="Arial" w:hAnsi="Arial"/>
          <w:sz w:val="20"/>
          <w:szCs w:val="20"/>
          <w:color w:val="auto"/>
        </w:rPr>
        <w:t>3.10.10 The Seller shall within 30 Business Days after the Earnout Determination Date (the "</w:t>
      </w:r>
      <w:r>
        <w:rPr>
          <w:rFonts w:ascii="Arial" w:cs="Arial" w:eastAsia="Arial" w:hAnsi="Arial"/>
          <w:sz w:val="20"/>
          <w:szCs w:val="20"/>
          <w:b w:val="1"/>
          <w:bCs w:val="1"/>
          <w:color w:val="auto"/>
        </w:rPr>
        <w:t>Earnout Review Period</w:t>
      </w:r>
      <w:r>
        <w:rPr>
          <w:rFonts w:ascii="Arial" w:cs="Arial" w:eastAsia="Arial" w:hAnsi="Arial"/>
          <w:sz w:val="20"/>
          <w:szCs w:val="20"/>
          <w:color w:val="auto"/>
        </w:rPr>
        <w:t>") notify the Purchaser that it either</w:t>
      </w:r>
    </w:p>
    <w:p>
      <w:pPr>
        <w:spacing w:after="0" w:line="61" w:lineRule="exact"/>
        <w:rPr>
          <w:sz w:val="20"/>
          <w:szCs w:val="20"/>
          <w:color w:val="auto"/>
        </w:rPr>
      </w:pPr>
    </w:p>
    <w:p>
      <w:pPr>
        <w:ind w:left="1140" w:hanging="497"/>
        <w:spacing w:after="0"/>
        <w:tabs>
          <w:tab w:leader="none" w:pos="1140" w:val="left"/>
        </w:tabs>
        <w:numPr>
          <w:ilvl w:val="0"/>
          <w:numId w:val="529"/>
        </w:numPr>
        <w:rPr>
          <w:rFonts w:ascii="Arial" w:cs="Arial" w:eastAsia="Arial" w:hAnsi="Arial"/>
          <w:sz w:val="20"/>
          <w:szCs w:val="20"/>
          <w:color w:val="auto"/>
        </w:rPr>
      </w:pPr>
      <w:r>
        <w:rPr>
          <w:rFonts w:ascii="Arial" w:cs="Arial" w:eastAsia="Arial" w:hAnsi="Arial"/>
          <w:sz w:val="20"/>
          <w:szCs w:val="20"/>
          <w:color w:val="auto"/>
        </w:rPr>
        <w:t>approves the Earnout Determination; or</w:t>
      </w:r>
    </w:p>
    <w:p>
      <w:pPr>
        <w:spacing w:after="0" w:line="107" w:lineRule="exact"/>
        <w:rPr>
          <w:rFonts w:ascii="Arial" w:cs="Arial" w:eastAsia="Arial" w:hAnsi="Arial"/>
          <w:sz w:val="20"/>
          <w:szCs w:val="20"/>
          <w:color w:val="auto"/>
        </w:rPr>
      </w:pPr>
    </w:p>
    <w:p>
      <w:pPr>
        <w:ind w:left="1140" w:hanging="497"/>
        <w:spacing w:after="0" w:line="287" w:lineRule="auto"/>
        <w:tabs>
          <w:tab w:leader="none" w:pos="1140" w:val="left"/>
        </w:tabs>
        <w:numPr>
          <w:ilvl w:val="0"/>
          <w:numId w:val="529"/>
        </w:numPr>
        <w:rPr>
          <w:rFonts w:ascii="Arial" w:cs="Arial" w:eastAsia="Arial" w:hAnsi="Arial"/>
          <w:sz w:val="19"/>
          <w:szCs w:val="19"/>
          <w:color w:val="auto"/>
        </w:rPr>
      </w:pPr>
      <w:r>
        <w:rPr>
          <w:rFonts w:ascii="Arial" w:cs="Arial" w:eastAsia="Arial" w:hAnsi="Arial"/>
          <w:sz w:val="19"/>
          <w:szCs w:val="19"/>
          <w:color w:val="auto"/>
        </w:rPr>
        <w:t>disagrees with the Earnout Determination, explaining in reasonable detail the matter it disagrees with, the reasons for that disagreement and its ensuing calculation of the relevant Earn Out criterion.</w:t>
      </w:r>
    </w:p>
    <w:p>
      <w:pPr>
        <w:spacing w:after="0" w:line="44" w:lineRule="exact"/>
        <w:rPr>
          <w:sz w:val="20"/>
          <w:szCs w:val="20"/>
          <w:color w:val="auto"/>
        </w:rPr>
      </w:pPr>
    </w:p>
    <w:p>
      <w:pPr>
        <w:jc w:val="both"/>
        <w:ind w:left="640" w:right="20" w:hanging="634"/>
        <w:spacing w:after="0" w:line="260" w:lineRule="auto"/>
        <w:rPr>
          <w:sz w:val="20"/>
          <w:szCs w:val="20"/>
          <w:color w:val="auto"/>
        </w:rPr>
      </w:pPr>
      <w:r>
        <w:rPr>
          <w:rFonts w:ascii="Arial" w:cs="Arial" w:eastAsia="Arial" w:hAnsi="Arial"/>
          <w:sz w:val="20"/>
          <w:szCs w:val="20"/>
          <w:color w:val="auto"/>
        </w:rPr>
        <w:t>3.10.11 If the Seller notifies its approval or does not notify disapproval within the Earnout Review Period, the Earnout Determination shall become final and binding on the Parties.</w:t>
      </w:r>
    </w:p>
    <w:p>
      <w:pPr>
        <w:spacing w:after="0" w:line="69" w:lineRule="exact"/>
        <w:rPr>
          <w:sz w:val="20"/>
          <w:szCs w:val="20"/>
          <w:color w:val="auto"/>
        </w:rPr>
      </w:pPr>
    </w:p>
    <w:p>
      <w:pPr>
        <w:jc w:val="both"/>
        <w:ind w:left="640" w:hanging="634"/>
        <w:spacing w:after="0" w:line="246" w:lineRule="auto"/>
        <w:rPr>
          <w:sz w:val="20"/>
          <w:szCs w:val="20"/>
          <w:color w:val="auto"/>
        </w:rPr>
      </w:pPr>
      <w:r>
        <w:rPr>
          <w:rFonts w:ascii="Arial" w:cs="Arial" w:eastAsia="Arial" w:hAnsi="Arial"/>
          <w:sz w:val="20"/>
          <w:szCs w:val="20"/>
          <w:color w:val="auto"/>
        </w:rPr>
        <w:t>3.10.12 If the Seller notifies disapproval within the Earnout Review Period, the Parties shall use all reasonable endeavours to resolve the matters in dispute. Any agreement being reached shall be expressed in a joint confirmation containing the agreed Earnout Determination which shall be signed by both Parties and which shall be final and binding on the Parties.</w:t>
      </w:r>
    </w:p>
    <w:p>
      <w:pPr>
        <w:spacing w:after="0" w:line="83" w:lineRule="exact"/>
        <w:rPr>
          <w:sz w:val="20"/>
          <w:szCs w:val="20"/>
          <w:color w:val="auto"/>
        </w:rPr>
      </w:pPr>
    </w:p>
    <w:p>
      <w:pPr>
        <w:jc w:val="both"/>
        <w:ind w:left="640" w:hanging="634"/>
        <w:spacing w:after="0" w:line="257" w:lineRule="auto"/>
        <w:rPr>
          <w:sz w:val="20"/>
          <w:szCs w:val="20"/>
          <w:color w:val="auto"/>
        </w:rPr>
      </w:pPr>
      <w:r>
        <w:rPr>
          <w:rFonts w:ascii="Arial" w:cs="Arial" w:eastAsia="Arial" w:hAnsi="Arial"/>
          <w:sz w:val="19"/>
          <w:szCs w:val="19"/>
          <w:color w:val="auto"/>
        </w:rPr>
        <w:t xml:space="preserve">3.10.13 If no agreement as per Sub-Clause 3.10.12 should have been reached within 20 Business Days after the end of the Earnout Review Period, the matters in dispute shall be finally decided by an arbitrating expert who — if the Parties do not come to an agreement on such expert — shall be appointed upon the request of either Party by the president of the </w:t>
      </w:r>
      <w:r>
        <w:rPr>
          <w:rFonts w:ascii="Arial" w:cs="Arial" w:eastAsia="Arial" w:hAnsi="Arial"/>
          <w:sz w:val="19"/>
          <w:szCs w:val="19"/>
          <w:i w:val="1"/>
          <w:iCs w:val="1"/>
          <w:color w:val="auto"/>
        </w:rPr>
        <w:t>Institut der Wirtschaftsprüfer in Deutschland e.V.</w:t>
      </w:r>
      <w:r>
        <w:rPr>
          <w:rFonts w:ascii="Arial" w:cs="Arial" w:eastAsia="Arial" w:hAnsi="Arial"/>
          <w:sz w:val="19"/>
          <w:szCs w:val="19"/>
          <w:color w:val="auto"/>
        </w:rPr>
        <w:t xml:space="preserve"> (the Institute of Chartered Accountants in Germany) in Düsseldorf. In his decision, the arbitrating expert shall not be allowed to make a decision for a matter in dispute which is outside the range defined by the positions taken by the Parties at the time of initiation of the arbitrating expert procedure. The Earnout Determination shall become final and binding for the Parties in the form determined in the decision of the arbitrating expert.</w:t>
      </w:r>
    </w:p>
    <w:p>
      <w:pPr>
        <w:spacing w:after="0" w:line="72" w:lineRule="exact"/>
        <w:rPr>
          <w:sz w:val="20"/>
          <w:szCs w:val="20"/>
          <w:color w:val="auto"/>
        </w:rPr>
      </w:pPr>
    </w:p>
    <w:p>
      <w:pPr>
        <w:jc w:val="both"/>
        <w:ind w:left="640" w:hanging="634"/>
        <w:spacing w:after="0" w:line="291" w:lineRule="auto"/>
        <w:rPr>
          <w:sz w:val="20"/>
          <w:szCs w:val="20"/>
          <w:color w:val="auto"/>
        </w:rPr>
      </w:pPr>
      <w:r>
        <w:rPr>
          <w:rFonts w:ascii="Arial" w:cs="Arial" w:eastAsia="Arial" w:hAnsi="Arial"/>
          <w:sz w:val="18"/>
          <w:szCs w:val="18"/>
          <w:color w:val="auto"/>
        </w:rPr>
        <w:t>3.10.14 Any Earn Out shall be paid within ten (10) Business Days after the Earnout Determination Date, but in the event of a dispute with regard to the Earnout Determination within twenty (20) Business Days after the Earnout Determination has become final and binding either by agreement or by the decision of the arbitrating expert.</w:t>
      </w:r>
    </w:p>
    <w:p>
      <w:pPr>
        <w:spacing w:after="0" w:line="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3.11</w:t>
      </w:r>
      <w:r>
        <w:rPr>
          <w:sz w:val="20"/>
          <w:szCs w:val="20"/>
          <w:color w:val="auto"/>
        </w:rPr>
        <w:tab/>
      </w:r>
      <w:r>
        <w:rPr>
          <w:rFonts w:ascii="Arial" w:cs="Arial" w:eastAsia="Arial" w:hAnsi="Arial"/>
          <w:sz w:val="18"/>
          <w:szCs w:val="18"/>
          <w:b w:val="1"/>
          <w:bCs w:val="1"/>
          <w:color w:val="auto"/>
        </w:rPr>
        <w:t>Earn Out II – Lockman Oustanding</w:t>
      </w:r>
    </w:p>
    <w:p>
      <w:pPr>
        <w:spacing w:after="0" w:line="11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 xml:space="preserve">The Company entered into the agreement with Lockman attached to this Agreement in a copy as </w:t>
      </w:r>
      <w:r>
        <w:rPr>
          <w:rFonts w:ascii="Arial" w:cs="Arial" w:eastAsia="Arial" w:hAnsi="Arial"/>
          <w:sz w:val="19"/>
          <w:szCs w:val="19"/>
          <w:u w:val="single" w:color="auto"/>
          <w:color w:val="auto"/>
        </w:rPr>
        <w:t>Appendix 3.11</w:t>
      </w:r>
      <w:r>
        <w:rPr>
          <w:rFonts w:ascii="Arial" w:cs="Arial" w:eastAsia="Arial" w:hAnsi="Arial"/>
          <w:sz w:val="19"/>
          <w:szCs w:val="19"/>
          <w:color w:val="auto"/>
        </w:rPr>
        <w:t xml:space="preserve"> (the “</w:t>
      </w:r>
      <w:r>
        <w:rPr>
          <w:rFonts w:ascii="Arial" w:cs="Arial" w:eastAsia="Arial" w:hAnsi="Arial"/>
          <w:sz w:val="19"/>
          <w:szCs w:val="19"/>
          <w:b w:val="1"/>
          <w:bCs w:val="1"/>
          <w:color w:val="auto"/>
        </w:rPr>
        <w:t>Lockman Repayment Agreement</w:t>
      </w:r>
      <w:r>
        <w:rPr>
          <w:rFonts w:ascii="Arial" w:cs="Arial" w:eastAsia="Arial" w:hAnsi="Arial"/>
          <w:sz w:val="19"/>
          <w:szCs w:val="19"/>
          <w:color w:val="auto"/>
        </w:rPr>
        <w:t>”) providing for an option to repay the Lockman Outstanding at a discounted amount of EUR 6,900,000 (the “</w:t>
      </w:r>
      <w:r>
        <w:rPr>
          <w:rFonts w:ascii="Arial" w:cs="Arial" w:eastAsia="Arial" w:hAnsi="Arial"/>
          <w:sz w:val="19"/>
          <w:szCs w:val="19"/>
          <w:b w:val="1"/>
          <w:bCs w:val="1"/>
          <w:color w:val="auto"/>
        </w:rPr>
        <w:t>Discounted Lockman Outstanding</w:t>
      </w:r>
      <w:r>
        <w:rPr>
          <w:rFonts w:ascii="Arial" w:cs="Arial" w:eastAsia="Arial" w:hAnsi="Arial"/>
          <w:sz w:val="19"/>
          <w:szCs w:val="19"/>
          <w:color w:val="auto"/>
        </w:rPr>
        <w:t>”) in full settlement of the Lockman Outstanding. According to its terms, the Lockman Repayment Agreement terminates automatically if the repayment has not been received on the Repayment Account on or prior to the Longstop Date (as both terms are defined in the Lockman Repayment Agreement). In the event the Closing Date is expected to occur on a date which makes it reasonably possible to make the repayment under Clause 3.5a) before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499" w:name="page500"/>
    <w:bookmarkEnd w:id="499"/>
    <w:p>
      <w:pPr>
        <w:jc w:val="both"/>
        <w:ind w:left="660"/>
        <w:spacing w:after="0" w:line="311" w:lineRule="auto"/>
        <w:rPr>
          <w:sz w:val="20"/>
          <w:szCs w:val="20"/>
          <w:color w:val="auto"/>
        </w:rPr>
      </w:pPr>
      <w:r>
        <w:rPr>
          <w:rFonts w:ascii="Arial" w:cs="Arial" w:eastAsia="Arial" w:hAnsi="Arial"/>
          <w:sz w:val="16"/>
          <w:szCs w:val="16"/>
          <w:color w:val="auto"/>
        </w:rPr>
        <w:t>Lockman Repayment Agreement has terminated (the Longstop Date must be at least two Business Days after the Closing Date), the Transaction Payments Statement will include a statement to the effect that the Discounted Lockman Outstanding is to be paid under Clause 3.5a) instead of the Lockman Outstanding and the payment due by the Purchaser under Clause 3.5a) shall be equal to the Discounted Lockman Outstanding. The Purchaser shall pay an additional purchase price to the Seller (“</w:t>
      </w:r>
      <w:r>
        <w:rPr>
          <w:rFonts w:ascii="Arial" w:cs="Arial" w:eastAsia="Arial" w:hAnsi="Arial"/>
          <w:sz w:val="16"/>
          <w:szCs w:val="16"/>
          <w:b w:val="1"/>
          <w:bCs w:val="1"/>
          <w:color w:val="auto"/>
        </w:rPr>
        <w:t>Earn Out II</w:t>
      </w:r>
      <w:r>
        <w:rPr>
          <w:rFonts w:ascii="Arial" w:cs="Arial" w:eastAsia="Arial" w:hAnsi="Arial"/>
          <w:sz w:val="16"/>
          <w:szCs w:val="16"/>
          <w:color w:val="auto"/>
        </w:rPr>
        <w:t>”) equal to the difference between the Lockman Outstanding and the Discounted Lockman Outstanding if (i) the payment under Clause 3.5a) in accordance with the provisions hereof has validly fully settled the obligation of repayment of principal under the Lockman Loan Agreement or (ii) if the condition as per (i) has not been met for a reason for which the Purchaser is at fault (</w:t>
      </w:r>
      <w:r>
        <w:rPr>
          <w:rFonts w:ascii="Arial" w:cs="Arial" w:eastAsia="Arial" w:hAnsi="Arial"/>
          <w:sz w:val="16"/>
          <w:szCs w:val="16"/>
          <w:i w:val="1"/>
          <w:iCs w:val="1"/>
          <w:color w:val="auto"/>
        </w:rPr>
        <w:t>es verschuldet hat</w:t>
      </w:r>
      <w:r>
        <w:rPr>
          <w:rFonts w:ascii="Arial" w:cs="Arial" w:eastAsia="Arial" w:hAnsi="Arial"/>
          <w:sz w:val="16"/>
          <w:szCs w:val="16"/>
          <w:color w:val="auto"/>
        </w:rPr>
        <w:t>).</w:t>
      </w:r>
    </w:p>
    <w:p>
      <w:pPr>
        <w:spacing w:after="0" w:line="3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3.12</w:t>
      </w:r>
      <w:r>
        <w:rPr>
          <w:sz w:val="20"/>
          <w:szCs w:val="20"/>
          <w:color w:val="auto"/>
        </w:rPr>
        <w:tab/>
      </w:r>
      <w:r>
        <w:rPr>
          <w:rFonts w:ascii="Arial" w:cs="Arial" w:eastAsia="Arial" w:hAnsi="Arial"/>
          <w:sz w:val="18"/>
          <w:szCs w:val="18"/>
          <w:b w:val="1"/>
          <w:bCs w:val="1"/>
          <w:color w:val="auto"/>
        </w:rPr>
        <w:t>Value Added Tax</w:t>
      </w:r>
    </w:p>
    <w:p>
      <w:pPr>
        <w:spacing w:after="0" w:line="114"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The Purchase Price, the Transaction Payments and the Earn-Outs are net amounts, i.e. plus German value added tax (</w:t>
      </w:r>
      <w:r>
        <w:rPr>
          <w:rFonts w:ascii="Arial" w:cs="Arial" w:eastAsia="Arial" w:hAnsi="Arial"/>
          <w:sz w:val="19"/>
          <w:szCs w:val="19"/>
          <w:i w:val="1"/>
          <w:iCs w:val="1"/>
          <w:color w:val="auto"/>
        </w:rPr>
        <w:t>Umsatzsteuer</w:t>
      </w:r>
      <w:r>
        <w:rPr>
          <w:rFonts w:ascii="Arial" w:cs="Arial" w:eastAsia="Arial" w:hAnsi="Arial"/>
          <w:sz w:val="19"/>
          <w:szCs w:val="19"/>
          <w:color w:val="auto"/>
        </w:rPr>
        <w:t>) or any comparable foreign sales tax if any. However, the Parties share the common view and will treat the Acquisition correspondingly in their respective Tax Returns that no German value added tax will accrue for the sale and the transfer of the Shares provided for in this Agreement since the sale and transfer of the Shares are not subject to value added tax in Germany (</w:t>
      </w:r>
      <w:r>
        <w:rPr>
          <w:rFonts w:ascii="Arial" w:cs="Arial" w:eastAsia="Arial" w:hAnsi="Arial"/>
          <w:sz w:val="19"/>
          <w:szCs w:val="19"/>
          <w:i w:val="1"/>
          <w:iCs w:val="1"/>
          <w:color w:val="auto"/>
        </w:rPr>
        <w:t>nicht umsatzsteuerbar</w:t>
      </w:r>
      <w:r>
        <w:rPr>
          <w:rFonts w:ascii="Arial" w:cs="Arial" w:eastAsia="Arial" w:hAnsi="Arial"/>
          <w:sz w:val="19"/>
          <w:szCs w:val="19"/>
          <w:color w:val="auto"/>
        </w:rPr>
        <w:t>) and/or are exempt from value added tax (</w:t>
      </w:r>
      <w:r>
        <w:rPr>
          <w:rFonts w:ascii="Arial" w:cs="Arial" w:eastAsia="Arial" w:hAnsi="Arial"/>
          <w:sz w:val="19"/>
          <w:szCs w:val="19"/>
          <w:i w:val="1"/>
          <w:iCs w:val="1"/>
          <w:color w:val="auto"/>
        </w:rPr>
        <w:t>umsatzsteuerfrei</w:t>
      </w:r>
      <w:r>
        <w:rPr>
          <w:rFonts w:ascii="Arial" w:cs="Arial" w:eastAsia="Arial" w:hAnsi="Arial"/>
          <w:sz w:val="19"/>
          <w:szCs w:val="19"/>
          <w:color w:val="auto"/>
        </w:rPr>
        <w:t>). The Seller shall not make use of any possibility to waive any exemption from value added tax applicable to the sale and transfer or otherwise treat the Acquisition as subject to value added tax. The Parties shall cooperate in good faith so as to ensure that their value added tax qualification of the sale and the transfer of the Shares, as set forth in this Clause 3.11, prevails. Should VAT be triggered as a result of non-compliance by the Seller with its obligation not to waive any VAT exemption or otherwise opt for the transaction contemplated in this agreement being subject to VAT, the Purchase Price, the Transaction Payments and the Earn-Outs shall be understood as a gross price inclusive of VAT.</w:t>
      </w:r>
    </w:p>
    <w:p>
      <w:pPr>
        <w:spacing w:after="0" w:line="70" w:lineRule="exact"/>
        <w:rPr>
          <w:sz w:val="20"/>
          <w:szCs w:val="20"/>
          <w:color w:val="auto"/>
        </w:rPr>
      </w:pPr>
    </w:p>
    <w:p>
      <w:pPr>
        <w:ind w:right="6320" w:firstLine="8"/>
        <w:spacing w:after="0" w:line="355" w:lineRule="auto"/>
        <w:tabs>
          <w:tab w:leader="none" w:pos="635" w:val="left"/>
        </w:tabs>
        <w:numPr>
          <w:ilvl w:val="0"/>
          <w:numId w:val="530"/>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 OF THE SELLER 4.1 Warranties</w:t>
      </w:r>
    </w:p>
    <w:p>
      <w:pPr>
        <w:spacing w:after="0" w:line="1"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Seller hereby guarantees to the Purchaser, by way of an independent promise of guarantee pursuant to Section 311 (1) BGB (</w:t>
      </w:r>
      <w:r>
        <w:rPr>
          <w:rFonts w:ascii="Arial" w:cs="Arial" w:eastAsia="Arial" w:hAnsi="Arial"/>
          <w:sz w:val="18"/>
          <w:szCs w:val="18"/>
          <w:i w:val="1"/>
          <w:iCs w:val="1"/>
          <w:color w:val="auto"/>
        </w:rPr>
        <w:t>selbständiges Garantieversprechen</w:t>
      </w:r>
      <w:r>
        <w:rPr>
          <w:rFonts w:ascii="Arial" w:cs="Arial" w:eastAsia="Arial" w:hAnsi="Arial"/>
          <w:sz w:val="18"/>
          <w:szCs w:val="18"/>
          <w:color w:val="auto"/>
        </w:rPr>
        <w:t>) that each Seller Warranty is true and accurate in all respects on the date of this Agreement and shall continue to remain true and accurate in all up to and including the Closing Date as if they had been repeated immediately before Closing by reference to the facts and circumstances then existing at Closing and on the basis that any reference in the Seller Warranties, whether express or implied, to the date of this Agreement is substituted by a reference to the Closing Date, if not expressly otherwise provided for in the Seller Warranties. The content and scope of the Seller Warranties (which shall not constitute guarantees as to the quality or durability pursuant to Secs. 443, 444 BGB) and the Seller’s liability arising thereunder shall be exclusively defined by the provisions of this Agreement and shall, in particular, be subject to the limitations set forth in Clauses 4.4, 10 and 11, which shall be an integral part of the Seller Warranties.</w:t>
      </w:r>
    </w:p>
    <w:p>
      <w:pPr>
        <w:spacing w:after="0" w:line="6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Warranties not Affected by Completion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Seller Warranties shall not in any respect be extinguished or affected by Closing.</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Separate and Independent Warranty</w:t>
      </w:r>
    </w:p>
    <w:p>
      <w:pPr>
        <w:spacing w:after="0" w:line="114"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Each of the Seller Warranties shall be construed as a separate and independent guarantee and (except where this Agreement provides otherwise), shall not be limited or restricted in its scope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00" w:name="page501"/>
    <w:bookmarkEnd w:id="500"/>
    <w:p>
      <w:pPr>
        <w:ind w:left="660"/>
        <w:spacing w:after="0"/>
        <w:rPr>
          <w:sz w:val="20"/>
          <w:szCs w:val="20"/>
          <w:color w:val="auto"/>
        </w:rPr>
      </w:pPr>
      <w:r>
        <w:rPr>
          <w:rFonts w:ascii="Arial" w:cs="Arial" w:eastAsia="Arial" w:hAnsi="Arial"/>
          <w:sz w:val="19"/>
          <w:szCs w:val="19"/>
          <w:color w:val="auto"/>
        </w:rPr>
        <w:t>by reference to, or inference from any other term of another Seller Warranty or any term of this Agreement.</w:t>
      </w:r>
    </w:p>
    <w:p>
      <w:pPr>
        <w:spacing w:after="0" w:line="11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Seller’s Liability in Case of a Breach of Seller’s Warranties</w:t>
      </w:r>
    </w:p>
    <w:p>
      <w:pPr>
        <w:spacing w:after="0" w:line="11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19"/>
          <w:szCs w:val="19"/>
          <w:color w:val="auto"/>
        </w:rPr>
        <w:t>In the event of any breach of any of the Seller’s warranties, the Purchaser shall first give the Seller the opportunity to remedy the breach (</w:t>
      </w:r>
      <w:r>
        <w:rPr>
          <w:rFonts w:ascii="Arial" w:cs="Arial" w:eastAsia="Arial" w:hAnsi="Arial"/>
          <w:sz w:val="19"/>
          <w:szCs w:val="19"/>
          <w:i w:val="1"/>
          <w:iCs w:val="1"/>
          <w:color w:val="auto"/>
        </w:rPr>
        <w:t>Naturalherstellung</w:t>
      </w:r>
      <w:r>
        <w:rPr>
          <w:rFonts w:ascii="Arial" w:cs="Arial" w:eastAsia="Arial" w:hAnsi="Arial"/>
          <w:sz w:val="19"/>
          <w:szCs w:val="19"/>
          <w:color w:val="auto"/>
        </w:rPr>
        <w:t>) within a reasonable period of time, at least three (3) months after receipt of a notice; if such remediation fails or Seller chooses not to remediate, the Seller shall pay to the Purchaser monetary damages (</w:t>
      </w:r>
      <w:r>
        <w:rPr>
          <w:rFonts w:ascii="Arial" w:cs="Arial" w:eastAsia="Arial" w:hAnsi="Arial"/>
          <w:sz w:val="19"/>
          <w:szCs w:val="19"/>
          <w:i w:val="1"/>
          <w:iCs w:val="1"/>
          <w:color w:val="auto"/>
        </w:rPr>
        <w:t>Schadenersatz in Geld</w:t>
      </w:r>
      <w:r>
        <w:rPr>
          <w:rFonts w:ascii="Arial" w:cs="Arial" w:eastAsia="Arial" w:hAnsi="Arial"/>
          <w:sz w:val="19"/>
          <w:szCs w:val="19"/>
          <w:color w:val="auto"/>
        </w:rPr>
        <w:t>), subject to the limitations set forth in this Sub-Clause 4.4 and Clauses 10 and 11 which shall apply to claims to monetary damages arising out of or in connection with the breach of a Seller warranty. The Purchaser shall without undue delay, at latest thirty (30) days after gaining knowledge of a breach of any Seller’s warranty, notify the Seller hereof, setting out the circumstances and facts giving raise to his claim and an estimate of his claim.</w:t>
      </w:r>
    </w:p>
    <w:p>
      <w:pPr>
        <w:spacing w:after="0" w:line="72"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4.4.2</w:t>
        <w:tab/>
        <w:t xml:space="preserve">If a third party asserts any claim against a Purchaser Indemnified Party which may result in any liability of the Seller for a breach of a Seller’s warranty, the Indemnification Procedures set forth in Sub-Clause 10.3 shall apply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w:t>
      </w:r>
    </w:p>
    <w:p>
      <w:pPr>
        <w:spacing w:after="0" w:line="78"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Arial" w:cs="Arial" w:eastAsia="Arial" w:hAnsi="Arial"/>
          <w:sz w:val="20"/>
          <w:szCs w:val="20"/>
          <w:color w:val="auto"/>
        </w:rPr>
        <w:t>4.4.3</w:t>
      </w:r>
      <w:r>
        <w:rPr>
          <w:sz w:val="20"/>
          <w:szCs w:val="20"/>
          <w:color w:val="auto"/>
        </w:rPr>
        <w:tab/>
      </w:r>
      <w:r>
        <w:rPr>
          <w:rFonts w:ascii="Arial" w:cs="Arial" w:eastAsia="Arial" w:hAnsi="Arial"/>
          <w:sz w:val="18"/>
          <w:szCs w:val="18"/>
          <w:color w:val="auto"/>
        </w:rPr>
        <w:t>All disclosures made by Disclosure Schedules in Schedule 1 against any of the Sellers Warranties falling below any materiality thresholds or containing any additional information which is not required to be disclosed according to the terms of the respective Sellers Warranty shall not be construed to broaden or expand the scope of the respective Sellers Warranty or change the materiality standards implied by the respective Sellers Warranty in whatsoever form.</w:t>
      </w:r>
    </w:p>
    <w:p>
      <w:pPr>
        <w:spacing w:after="0" w:line="47" w:lineRule="exact"/>
        <w:rPr>
          <w:sz w:val="20"/>
          <w:szCs w:val="20"/>
          <w:color w:val="auto"/>
        </w:rPr>
      </w:pPr>
    </w:p>
    <w:p>
      <w:pPr>
        <w:ind w:right="5860" w:firstLine="8"/>
        <w:spacing w:after="0" w:line="355" w:lineRule="auto"/>
        <w:tabs>
          <w:tab w:leader="none" w:pos="635" w:val="left"/>
        </w:tabs>
        <w:numPr>
          <w:ilvl w:val="0"/>
          <w:numId w:val="531"/>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 OF THE PURCHASER 5.1 Warranties</w:t>
      </w:r>
    </w:p>
    <w:p>
      <w:pPr>
        <w:spacing w:after="0" w:line="1" w:lineRule="exact"/>
        <w:rPr>
          <w:sz w:val="20"/>
          <w:szCs w:val="20"/>
          <w:color w:val="auto"/>
        </w:rPr>
      </w:pPr>
    </w:p>
    <w:p>
      <w:pPr>
        <w:jc w:val="both"/>
        <w:ind w:left="640" w:hanging="637"/>
        <w:spacing w:after="0" w:line="276" w:lineRule="auto"/>
        <w:rPr>
          <w:sz w:val="20"/>
          <w:szCs w:val="20"/>
          <w:color w:val="auto"/>
        </w:rPr>
      </w:pPr>
      <w:r>
        <w:rPr>
          <w:rFonts w:ascii="Arial" w:cs="Arial" w:eastAsia="Arial" w:hAnsi="Arial"/>
          <w:sz w:val="18"/>
          <w:szCs w:val="18"/>
          <w:color w:val="auto"/>
        </w:rPr>
        <w:t>The Purchaser hereby guarantees to the Seller, by way of an independent promise of guarantee pursuant to Section 311 (1) of the German Civil Code (</w:t>
      </w:r>
      <w:r>
        <w:rPr>
          <w:rFonts w:ascii="Arial" w:cs="Arial" w:eastAsia="Arial" w:hAnsi="Arial"/>
          <w:sz w:val="18"/>
          <w:szCs w:val="18"/>
          <w:i w:val="1"/>
          <w:iCs w:val="1"/>
          <w:color w:val="auto"/>
        </w:rPr>
        <w:t>selbständiges Garantieversprechen</w:t>
      </w:r>
      <w:r>
        <w:rPr>
          <w:rFonts w:ascii="Arial" w:cs="Arial" w:eastAsia="Arial" w:hAnsi="Arial"/>
          <w:sz w:val="18"/>
          <w:szCs w:val="18"/>
          <w:color w:val="auto"/>
        </w:rPr>
        <w:t>) that each Purchaser Warranty is true and accurate in all respects on the date of this Agreement and shall continue to remain true and accurate in all up to and including the Closing Date as if they had been repeated immediately before Closing by reference to the facts and circumstances then existing at Closing and on the basis that any reference in the Purchaser Warranties, whether express or implied, to the date of this Agreement is substituted by a reference to the Closing Date.</w:t>
      </w:r>
    </w:p>
    <w:p>
      <w:pPr>
        <w:spacing w:after="0" w:line="5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Warranties not Affected by Completion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Purchaser Warranties shall not in any respect be extinguished or affected by Closing.</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Separate and Independent Warranty</w:t>
      </w:r>
    </w:p>
    <w:p>
      <w:pPr>
        <w:spacing w:after="0" w:line="114"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Each of the Purchaser Warranties shall be construed as a separate and independent guarantee and (except where this Agreement provides otherwise), shall not be limited or restricted in its scope by reference to, or inference from any other term of another Purchaser Warranty or any term of this Agreement.</w:t>
      </w:r>
    </w:p>
    <w:p>
      <w:pPr>
        <w:spacing w:after="0" w:line="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color w:val="auto"/>
        </w:rPr>
        <w:t>Purchaser’s Liability in Case of a Breach of Purchaser’s Warranties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Sub-Clause 4.4 shall apply to the Purchaser Warranties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01" w:name="page502"/>
    <w:bookmarkEnd w:id="501"/>
    <w:p>
      <w:pPr>
        <w:ind w:left="640" w:hanging="632"/>
        <w:spacing w:after="0"/>
        <w:tabs>
          <w:tab w:leader="none" w:pos="640" w:val="left"/>
        </w:tabs>
        <w:numPr>
          <w:ilvl w:val="0"/>
          <w:numId w:val="532"/>
        </w:numPr>
        <w:rPr>
          <w:rFonts w:ascii="Arial" w:cs="Arial" w:eastAsia="Arial" w:hAnsi="Arial"/>
          <w:sz w:val="20"/>
          <w:szCs w:val="20"/>
          <w:b w:val="1"/>
          <w:bCs w:val="1"/>
          <w:color w:val="auto"/>
        </w:rPr>
      </w:pPr>
      <w:r>
        <w:rPr>
          <w:rFonts w:ascii="Arial" w:cs="Arial" w:eastAsia="Arial" w:hAnsi="Arial"/>
          <w:sz w:val="20"/>
          <w:szCs w:val="20"/>
          <w:b w:val="1"/>
          <w:bCs w:val="1"/>
          <w:color w:val="auto"/>
        </w:rPr>
        <w:t>BETWEEN SIGNING AND CLOSING</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Conduct of Business by the Company Group</w:t>
      </w:r>
    </w:p>
    <w:p>
      <w:pPr>
        <w:spacing w:after="0" w:line="114"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6.1.1</w:t>
        <w:tab/>
        <w:t>For the period commencing on the date hereof and ending on the Closing Date, the Seller will cause each Group Company to, except as expressly required hereby and except as (i) otherwise consented to in advance in writing by the Purchaser or (ii) required by law or any order of any governmental authority:</w:t>
      </w:r>
    </w:p>
    <w:p>
      <w:pPr>
        <w:spacing w:after="0" w:line="78" w:lineRule="exact"/>
        <w:rPr>
          <w:sz w:val="20"/>
          <w:szCs w:val="20"/>
          <w:color w:val="auto"/>
        </w:rPr>
      </w:pPr>
    </w:p>
    <w:p>
      <w:pPr>
        <w:jc w:val="both"/>
        <w:ind w:left="1140" w:right="20" w:hanging="497"/>
        <w:spacing w:after="0" w:line="269" w:lineRule="auto"/>
        <w:tabs>
          <w:tab w:leader="none" w:pos="1140" w:val="left"/>
        </w:tabs>
        <w:numPr>
          <w:ilvl w:val="0"/>
          <w:numId w:val="533"/>
        </w:numPr>
        <w:rPr>
          <w:rFonts w:ascii="Arial" w:cs="Arial" w:eastAsia="Arial" w:hAnsi="Arial"/>
          <w:sz w:val="19"/>
          <w:szCs w:val="19"/>
          <w:color w:val="auto"/>
        </w:rPr>
      </w:pPr>
      <w:r>
        <w:rPr>
          <w:rFonts w:ascii="Arial" w:cs="Arial" w:eastAsia="Arial" w:hAnsi="Arial"/>
          <w:sz w:val="19"/>
          <w:szCs w:val="19"/>
          <w:color w:val="auto"/>
        </w:rPr>
        <w:t>conduct its businesses in the Ordinary Course and not engage in any new line of business or enter into any agreement, transaction or activity or make any commitment with respect to a Group Company, except those in the Ordinary Course and not otherwise prohibited under this Sub-Clause 6.1;</w:t>
      </w:r>
    </w:p>
    <w:p>
      <w:pPr>
        <w:spacing w:after="0" w:line="61" w:lineRule="exact"/>
        <w:rPr>
          <w:rFonts w:ascii="Arial" w:cs="Arial" w:eastAsia="Arial" w:hAnsi="Arial"/>
          <w:sz w:val="19"/>
          <w:szCs w:val="19"/>
          <w:color w:val="auto"/>
        </w:rPr>
      </w:pPr>
    </w:p>
    <w:p>
      <w:pPr>
        <w:jc w:val="both"/>
        <w:ind w:left="1140" w:hanging="497"/>
        <w:spacing w:after="0" w:line="246" w:lineRule="auto"/>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preserve intact the goodwill and business organization of each Group Company, keep the Officers and Directors and the employees of each Group Company available to the Purchaser and preserve the relationships and goodwill of each Group Company with customers, distributors, suppliers, employees and other Persons having business relations with a Group Company;</w:t>
      </w:r>
    </w:p>
    <w:p>
      <w:pPr>
        <w:spacing w:after="0" w:line="83" w:lineRule="exact"/>
        <w:rPr>
          <w:rFonts w:ascii="Arial" w:cs="Arial" w:eastAsia="Arial" w:hAnsi="Arial"/>
          <w:sz w:val="20"/>
          <w:szCs w:val="20"/>
          <w:color w:val="auto"/>
        </w:rPr>
      </w:pPr>
    </w:p>
    <w:p>
      <w:pPr>
        <w:ind w:left="1140" w:hanging="497"/>
        <w:spacing w:after="0" w:line="287" w:lineRule="auto"/>
        <w:tabs>
          <w:tab w:leader="none" w:pos="1140" w:val="left"/>
        </w:tabs>
        <w:numPr>
          <w:ilvl w:val="0"/>
          <w:numId w:val="533"/>
        </w:numPr>
        <w:rPr>
          <w:rFonts w:ascii="Arial" w:cs="Arial" w:eastAsia="Arial" w:hAnsi="Arial"/>
          <w:sz w:val="19"/>
          <w:szCs w:val="19"/>
          <w:color w:val="auto"/>
        </w:rPr>
      </w:pPr>
      <w:r>
        <w:rPr>
          <w:rFonts w:ascii="Arial" w:cs="Arial" w:eastAsia="Arial" w:hAnsi="Arial"/>
          <w:sz w:val="19"/>
          <w:szCs w:val="19"/>
          <w:color w:val="auto"/>
        </w:rPr>
        <w:t>maintain its existence and good standing in its jurisdiction of organization and in each jurisdiction in which the ownership or leasing of its property or the conduct of its business requires such qualification;</w:t>
      </w:r>
    </w:p>
    <w:p>
      <w:pPr>
        <w:spacing w:after="0" w:line="44" w:lineRule="exact"/>
        <w:rPr>
          <w:rFonts w:ascii="Arial" w:cs="Arial" w:eastAsia="Arial" w:hAnsi="Arial"/>
          <w:sz w:val="19"/>
          <w:szCs w:val="19"/>
          <w:color w:val="auto"/>
        </w:rPr>
      </w:pPr>
    </w:p>
    <w:p>
      <w:pPr>
        <w:jc w:val="both"/>
        <w:ind w:left="1140" w:right="20" w:hanging="497"/>
        <w:spacing w:after="0" w:line="342" w:lineRule="auto"/>
        <w:tabs>
          <w:tab w:leader="none" w:pos="11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duly and timely file or cause to be filed all Tax Returns required to be filed with any Governmental Entity and promptly pay or cause to be paid when due all Taxes, assessments and governmental charges, including interest and penalties levied or assessed, unless diligently contested in good faith by appropriate proceedings;</w:t>
      </w:r>
    </w:p>
    <w:p>
      <w:pPr>
        <w:spacing w:after="0" w:line="9" w:lineRule="exact"/>
        <w:rPr>
          <w:rFonts w:ascii="Arial" w:cs="Arial" w:eastAsia="Arial" w:hAnsi="Arial"/>
          <w:sz w:val="16"/>
          <w:szCs w:val="16"/>
          <w:color w:val="auto"/>
        </w:rPr>
      </w:pPr>
    </w:p>
    <w:p>
      <w:pPr>
        <w:jc w:val="both"/>
        <w:ind w:left="1140" w:hanging="497"/>
        <w:spacing w:after="0" w:line="243" w:lineRule="auto"/>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maintain in existing condition and repair (ordinary wear and tear excepted), consistent with past practices, all buildings, offices, shops and other structures located on the premises of any Group Company, and all equipment, fixtures and other tangible personal property located on such premises, provided that any extraordinary wear and tear shall not be considered as a breach of this obligation if it occurs in the Ordinary Course and is not caused by grossly negligent or willful acts of directors, officers or employees of any Group Company;</w:t>
      </w:r>
    </w:p>
    <w:p>
      <w:pPr>
        <w:spacing w:after="0" w:line="87" w:lineRule="exact"/>
        <w:rPr>
          <w:rFonts w:ascii="Arial" w:cs="Arial" w:eastAsia="Arial" w:hAnsi="Arial"/>
          <w:sz w:val="20"/>
          <w:szCs w:val="20"/>
          <w:color w:val="auto"/>
        </w:rPr>
      </w:pPr>
    </w:p>
    <w:p>
      <w:pPr>
        <w:ind w:left="1140" w:hanging="497"/>
        <w:spacing w:after="0" w:line="316" w:lineRule="auto"/>
        <w:tabs>
          <w:tab w:leader="none" w:pos="11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not increase or decrease the registered capital, issue new shares or otherwise amend or modify the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of the Company or take any equivalent action with respect to the Subsidiary;</w:t>
      </w:r>
    </w:p>
    <w:p>
      <w:pPr>
        <w:spacing w:after="0" w:line="21" w:lineRule="exact"/>
        <w:rPr>
          <w:rFonts w:ascii="Arial" w:cs="Arial" w:eastAsia="Arial" w:hAnsi="Arial"/>
          <w:sz w:val="18"/>
          <w:szCs w:val="18"/>
          <w:color w:val="auto"/>
        </w:rPr>
      </w:pPr>
    </w:p>
    <w:p>
      <w:pPr>
        <w:jc w:val="both"/>
        <w:ind w:left="1140" w:hanging="497"/>
        <w:spacing w:after="0" w:line="246" w:lineRule="auto"/>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not authorize for issuance or issue and deliver any additional shares of its capital share or securities convertible into or exchangeable for shares of its capital share, or issue or grant any right, option or other commitment for the issuance of shares of its capital share, or split, combine or reclassify any shares of its capital share;</w:t>
      </w:r>
    </w:p>
    <w:p>
      <w:pPr>
        <w:spacing w:after="0" w:line="83" w:lineRule="exact"/>
        <w:rPr>
          <w:rFonts w:ascii="Arial" w:cs="Arial" w:eastAsia="Arial" w:hAnsi="Arial"/>
          <w:sz w:val="20"/>
          <w:szCs w:val="20"/>
          <w:color w:val="auto"/>
        </w:rPr>
      </w:pPr>
    </w:p>
    <w:p>
      <w:pPr>
        <w:ind w:left="1140" w:hanging="497"/>
        <w:spacing w:after="0"/>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not amend or modify its constitutional documents;</w:t>
      </w:r>
    </w:p>
    <w:p>
      <w:pPr>
        <w:spacing w:after="0" w:line="107" w:lineRule="exact"/>
        <w:rPr>
          <w:rFonts w:ascii="Arial" w:cs="Arial" w:eastAsia="Arial" w:hAnsi="Arial"/>
          <w:sz w:val="20"/>
          <w:szCs w:val="20"/>
          <w:color w:val="auto"/>
        </w:rPr>
      </w:pPr>
    </w:p>
    <w:p>
      <w:pPr>
        <w:ind w:left="1140" w:right="20" w:hanging="497"/>
        <w:spacing w:after="0" w:line="260" w:lineRule="auto"/>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not declare any dividend, pay or set aside for payment any dividend or other distribution or make any payment to any related parties other than the payment of salaries in the Ordinary Course;</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not do or allow to be done anything that would result in Leakage;</w:t>
      </w:r>
    </w:p>
    <w:p>
      <w:pPr>
        <w:spacing w:after="0" w:line="107" w:lineRule="exact"/>
        <w:rPr>
          <w:rFonts w:ascii="Arial" w:cs="Arial" w:eastAsia="Arial" w:hAnsi="Arial"/>
          <w:sz w:val="20"/>
          <w:szCs w:val="20"/>
          <w:color w:val="auto"/>
        </w:rPr>
      </w:pPr>
    </w:p>
    <w:p>
      <w:pPr>
        <w:ind w:left="1140" w:right="20" w:hanging="497"/>
        <w:spacing w:after="0" w:line="260" w:lineRule="auto"/>
        <w:tabs>
          <w:tab w:leader="none" w:pos="11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not create any subsidiary, acquire any capital share or other equity securities of any corporation or acquire any equity or ownership interest in any business or entity;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2" w:lineRule="exact"/>
        <w:rPr>
          <w:rFonts w:ascii="Arial" w:cs="Arial" w:eastAsia="Arial" w:hAnsi="Arial"/>
          <w:sz w:val="20"/>
          <w:szCs w:val="20"/>
          <w:color w:val="auto"/>
        </w:rPr>
      </w:pPr>
    </w:p>
    <w:p>
      <w:pPr>
        <w:ind w:left="4880" w:hanging="111"/>
        <w:spacing w:after="0"/>
        <w:tabs>
          <w:tab w:leader="none" w:pos="48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02" w:name="page503"/>
    <w:bookmarkEnd w:id="502"/>
    <w:p>
      <w:pPr>
        <w:jc w:val="both"/>
        <w:ind w:left="680" w:hanging="497"/>
        <w:spacing w:after="0" w:line="246" w:lineRule="auto"/>
        <w:tabs>
          <w:tab w:leader="none" w:pos="680" w:val="left"/>
        </w:tabs>
        <w:numPr>
          <w:ilvl w:val="0"/>
          <w:numId w:val="534"/>
        </w:numPr>
        <w:rPr>
          <w:rFonts w:ascii="Arial" w:cs="Arial" w:eastAsia="Arial" w:hAnsi="Arial"/>
          <w:sz w:val="20"/>
          <w:szCs w:val="20"/>
          <w:color w:val="auto"/>
        </w:rPr>
      </w:pPr>
      <w:r>
        <w:rPr>
          <w:rFonts w:ascii="Arial" w:cs="Arial" w:eastAsia="Arial" w:hAnsi="Arial"/>
          <w:sz w:val="20"/>
          <w:szCs w:val="20"/>
          <w:color w:val="auto"/>
        </w:rPr>
        <w:t>not dispose of or permit to lapse any right to the use of any patent, trademark, trade name, service mark, license or copyright of a Group Company (including any of the Company Intellectual Property), or dispose of or disclose to any Person, any trade secret, formula, process, technology or know-how of a Group Company not heretofore a matter of public knowledge;</w:t>
      </w:r>
    </w:p>
    <w:p>
      <w:pPr>
        <w:spacing w:after="0" w:line="83" w:lineRule="exact"/>
        <w:rPr>
          <w:rFonts w:ascii="Arial" w:cs="Arial" w:eastAsia="Arial" w:hAnsi="Arial"/>
          <w:sz w:val="20"/>
          <w:szCs w:val="20"/>
          <w:color w:val="auto"/>
        </w:rPr>
      </w:pPr>
    </w:p>
    <w:p>
      <w:pPr>
        <w:ind w:left="680" w:hanging="497"/>
        <w:spacing w:after="0"/>
        <w:tabs>
          <w:tab w:leader="none" w:pos="680" w:val="left"/>
        </w:tabs>
        <w:numPr>
          <w:ilvl w:val="0"/>
          <w:numId w:val="534"/>
        </w:numPr>
        <w:rPr>
          <w:rFonts w:ascii="Arial" w:cs="Arial" w:eastAsia="Arial" w:hAnsi="Arial"/>
          <w:sz w:val="20"/>
          <w:szCs w:val="20"/>
          <w:color w:val="auto"/>
        </w:rPr>
      </w:pPr>
      <w:r>
        <w:rPr>
          <w:rFonts w:ascii="Arial" w:cs="Arial" w:eastAsia="Arial" w:hAnsi="Arial"/>
          <w:sz w:val="20"/>
          <w:szCs w:val="20"/>
          <w:color w:val="auto"/>
        </w:rPr>
        <w:t>not</w:t>
      </w:r>
    </w:p>
    <w:p>
      <w:pPr>
        <w:spacing w:after="0" w:line="107" w:lineRule="exact"/>
        <w:rPr>
          <w:rFonts w:ascii="Arial" w:cs="Arial" w:eastAsia="Arial" w:hAnsi="Arial"/>
          <w:sz w:val="20"/>
          <w:szCs w:val="20"/>
          <w:color w:val="auto"/>
        </w:rPr>
      </w:pPr>
    </w:p>
    <w:p>
      <w:pPr>
        <w:ind w:left="1200" w:right="20" w:hanging="504"/>
        <w:spacing w:after="0" w:line="260" w:lineRule="auto"/>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sell or transfer any material asset, other than finished goods or other current assets sold in the Ordinary Course;</w:t>
      </w:r>
    </w:p>
    <w:p>
      <w:pPr>
        <w:spacing w:after="0" w:line="68" w:lineRule="exact"/>
        <w:rPr>
          <w:rFonts w:ascii="Arial" w:cs="Arial" w:eastAsia="Arial" w:hAnsi="Arial"/>
          <w:sz w:val="20"/>
          <w:szCs w:val="20"/>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create, incur or assume any indebtedness secured by any asset of a Group Company;</w:t>
      </w:r>
    </w:p>
    <w:p>
      <w:pPr>
        <w:spacing w:after="0" w:line="107" w:lineRule="exact"/>
        <w:rPr>
          <w:rFonts w:ascii="Arial" w:cs="Arial" w:eastAsia="Arial" w:hAnsi="Arial"/>
          <w:sz w:val="20"/>
          <w:szCs w:val="20"/>
          <w:color w:val="auto"/>
        </w:rPr>
      </w:pPr>
    </w:p>
    <w:p>
      <w:pPr>
        <w:ind w:left="1200" w:hanging="504"/>
        <w:spacing w:after="0" w:line="260" w:lineRule="auto"/>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grant, create, incur or suffer to exist any Lien on any asset of a Group Company other than Permitted Liens;</w:t>
      </w:r>
    </w:p>
    <w:p>
      <w:pPr>
        <w:spacing w:after="0" w:line="68" w:lineRule="exact"/>
        <w:rPr>
          <w:rFonts w:ascii="Arial" w:cs="Arial" w:eastAsia="Arial" w:hAnsi="Arial"/>
          <w:sz w:val="20"/>
          <w:szCs w:val="20"/>
          <w:color w:val="auto"/>
        </w:rPr>
      </w:pPr>
    </w:p>
    <w:p>
      <w:pPr>
        <w:ind w:left="1200" w:right="20" w:hanging="504"/>
        <w:spacing w:after="0" w:line="260" w:lineRule="auto"/>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incur any liability or obligation (absolute, accrued or contingent) (including the guaranty of a liability or obligation of any other Person), except in the Ordinary Course;</w:t>
      </w:r>
    </w:p>
    <w:p>
      <w:pPr>
        <w:spacing w:after="0" w:line="68" w:lineRule="exact"/>
        <w:rPr>
          <w:rFonts w:ascii="Arial" w:cs="Arial" w:eastAsia="Arial" w:hAnsi="Arial"/>
          <w:sz w:val="20"/>
          <w:szCs w:val="20"/>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write-off any guaranteed check, note or account receivable, except in the Ordinary Course;</w:t>
      </w:r>
    </w:p>
    <w:p>
      <w:pPr>
        <w:spacing w:after="0" w:line="107" w:lineRule="exact"/>
        <w:rPr>
          <w:rFonts w:ascii="Arial" w:cs="Arial" w:eastAsia="Arial" w:hAnsi="Arial"/>
          <w:sz w:val="20"/>
          <w:szCs w:val="20"/>
          <w:color w:val="auto"/>
        </w:rPr>
      </w:pPr>
    </w:p>
    <w:p>
      <w:pPr>
        <w:jc w:val="both"/>
        <w:ind w:left="1200" w:hanging="504"/>
        <w:spacing w:after="0" w:line="282" w:lineRule="auto"/>
        <w:tabs>
          <w:tab w:leader="none" w:pos="120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write-down the value of any asset or investment on the books or records of a Group Company, except for depreciation and amortization in the Ordinary Course, provided that any extraordinary write-down shall not be considered as a breach of this obligation if it occurs in good faith and is not caused by grossly negligent or willful acts of directors, officers or employees of any Group Company;</w:t>
      </w:r>
    </w:p>
    <w:p>
      <w:pPr>
        <w:spacing w:after="0" w:line="53" w:lineRule="exact"/>
        <w:rPr>
          <w:rFonts w:ascii="Arial" w:cs="Arial" w:eastAsia="Arial" w:hAnsi="Arial"/>
          <w:sz w:val="18"/>
          <w:szCs w:val="18"/>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cancel any debt or waive any claim or right;</w:t>
      </w:r>
    </w:p>
    <w:p>
      <w:pPr>
        <w:spacing w:after="0" w:line="107" w:lineRule="exact"/>
        <w:rPr>
          <w:rFonts w:ascii="Arial" w:cs="Arial" w:eastAsia="Arial" w:hAnsi="Arial"/>
          <w:sz w:val="20"/>
          <w:szCs w:val="20"/>
          <w:color w:val="auto"/>
        </w:rPr>
      </w:pPr>
    </w:p>
    <w:p>
      <w:pPr>
        <w:jc w:val="both"/>
        <w:ind w:left="1200" w:hanging="504"/>
        <w:spacing w:after="0" w:line="250" w:lineRule="auto"/>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make any commitment for any capital expenditure to be made on or following the date hereof in excess of €50,000.00 in the case of any single expenditure or €150,000.00 in the case of all capital expenditures; or</w:t>
      </w:r>
    </w:p>
    <w:p>
      <w:pPr>
        <w:spacing w:after="0" w:line="77" w:lineRule="exact"/>
        <w:rPr>
          <w:rFonts w:ascii="Arial" w:cs="Arial" w:eastAsia="Arial" w:hAnsi="Arial"/>
          <w:sz w:val="20"/>
          <w:szCs w:val="20"/>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enter into any material contract or agreement without the written consent of the Purchaser.</w:t>
      </w:r>
    </w:p>
    <w:p>
      <w:pPr>
        <w:spacing w:after="0" w:line="107" w:lineRule="exact"/>
        <w:rPr>
          <w:rFonts w:ascii="Arial" w:cs="Arial" w:eastAsia="Arial" w:hAnsi="Arial"/>
          <w:sz w:val="20"/>
          <w:szCs w:val="20"/>
          <w:color w:val="auto"/>
        </w:rPr>
      </w:pPr>
    </w:p>
    <w:p>
      <w:pPr>
        <w:jc w:val="both"/>
        <w:ind w:left="680" w:hanging="497"/>
        <w:spacing w:after="0" w:line="291" w:lineRule="auto"/>
        <w:tabs>
          <w:tab w:leader="none" w:pos="6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not increase in any manner the base compensation of, or enter into any new bonus or incentive agreement or arrangement with, any of its employees, Officers or Directors or consultants, except in the Ordinary Course; provided, however, that no action described in this Sub-Clause 6.1.1n) shall be taken with respect to:</w:t>
      </w:r>
    </w:p>
    <w:p>
      <w:pPr>
        <w:spacing w:after="0" w:line="43" w:lineRule="exact"/>
        <w:rPr>
          <w:rFonts w:ascii="Arial" w:cs="Arial" w:eastAsia="Arial" w:hAnsi="Arial"/>
          <w:sz w:val="18"/>
          <w:szCs w:val="18"/>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Officer or Director of a Group Company; or</w:t>
      </w:r>
    </w:p>
    <w:p>
      <w:pPr>
        <w:spacing w:after="0" w:line="107" w:lineRule="exact"/>
        <w:rPr>
          <w:rFonts w:ascii="Arial" w:cs="Arial" w:eastAsia="Arial" w:hAnsi="Arial"/>
          <w:sz w:val="20"/>
          <w:szCs w:val="20"/>
          <w:color w:val="auto"/>
        </w:rPr>
      </w:pPr>
    </w:p>
    <w:p>
      <w:pPr>
        <w:ind w:left="1200" w:hanging="504"/>
        <w:spacing w:after="0" w:line="287" w:lineRule="auto"/>
        <w:tabs>
          <w:tab w:leader="none" w:pos="1200" w:val="left"/>
        </w:tabs>
        <w:numPr>
          <w:ilvl w:val="1"/>
          <w:numId w:val="534"/>
        </w:numPr>
        <w:rPr>
          <w:rFonts w:ascii="Arial" w:cs="Arial" w:eastAsia="Arial" w:hAnsi="Arial"/>
          <w:sz w:val="19"/>
          <w:szCs w:val="19"/>
          <w:color w:val="auto"/>
        </w:rPr>
      </w:pPr>
      <w:r>
        <w:rPr>
          <w:rFonts w:ascii="Arial" w:cs="Arial" w:eastAsia="Arial" w:hAnsi="Arial"/>
          <w:sz w:val="19"/>
          <w:szCs w:val="19"/>
          <w:color w:val="auto"/>
        </w:rPr>
        <w:t>any Person whose annualized compensation is €50,000 or more or whose annual compensation for the 12-month period following the date hereof is expected to be €50,000 or more;</w:t>
      </w:r>
    </w:p>
    <w:p>
      <w:pPr>
        <w:spacing w:after="0" w:line="44" w:lineRule="exact"/>
        <w:rPr>
          <w:rFonts w:ascii="Arial" w:cs="Arial" w:eastAsia="Arial" w:hAnsi="Arial"/>
          <w:sz w:val="19"/>
          <w:szCs w:val="19"/>
          <w:color w:val="auto"/>
        </w:rPr>
      </w:pPr>
    </w:p>
    <w:p>
      <w:pPr>
        <w:jc w:val="both"/>
        <w:ind w:left="680" w:hanging="497"/>
        <w:spacing w:after="0" w:line="306" w:lineRule="auto"/>
        <w:tabs>
          <w:tab w:leader="none" w:pos="6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not pay or agree to pay any additional pension, retirement allowance or other employee benefit under any Company Benefit Plan to any of its employees or consultants, whether past or present, except in the Ordinary Course; provided, however, that neither no Group Company shall take any action described in this Sub-Clause</w:t>
      </w:r>
    </w:p>
    <w:p>
      <w:pPr>
        <w:ind w:left="680"/>
        <w:spacing w:after="0"/>
        <w:rPr>
          <w:rFonts w:ascii="Arial" w:cs="Arial" w:eastAsia="Arial" w:hAnsi="Arial"/>
          <w:sz w:val="16"/>
          <w:szCs w:val="16"/>
          <w:color w:val="auto"/>
        </w:rPr>
      </w:pPr>
      <w:r>
        <w:rPr>
          <w:rFonts w:ascii="Arial" w:cs="Arial" w:eastAsia="Arial" w:hAnsi="Arial"/>
          <w:sz w:val="20"/>
          <w:szCs w:val="20"/>
          <w:color w:val="auto"/>
        </w:rPr>
        <w:t>6.1.1o) with respect to:</w:t>
      </w:r>
    </w:p>
    <w:p>
      <w:pPr>
        <w:spacing w:after="0" w:line="91" w:lineRule="exact"/>
        <w:rPr>
          <w:rFonts w:ascii="Arial" w:cs="Arial" w:eastAsia="Arial" w:hAnsi="Arial"/>
          <w:sz w:val="16"/>
          <w:szCs w:val="16"/>
          <w:color w:val="auto"/>
        </w:rPr>
      </w:pPr>
    </w:p>
    <w:p>
      <w:pPr>
        <w:ind w:left="1200" w:hanging="504"/>
        <w:spacing w:after="0"/>
        <w:tabs>
          <w:tab w:leader="none" w:pos="1200" w:val="left"/>
        </w:tabs>
        <w:numPr>
          <w:ilvl w:val="1"/>
          <w:numId w:val="534"/>
        </w:numPr>
        <w:rPr>
          <w:rFonts w:ascii="Arial" w:cs="Arial" w:eastAsia="Arial" w:hAnsi="Arial"/>
          <w:sz w:val="20"/>
          <w:szCs w:val="20"/>
          <w:color w:val="auto"/>
        </w:rPr>
      </w:pPr>
      <w:r>
        <w:rPr>
          <w:rFonts w:ascii="Arial" w:cs="Arial" w:eastAsia="Arial" w:hAnsi="Arial"/>
          <w:sz w:val="20"/>
          <w:szCs w:val="20"/>
          <w:color w:val="auto"/>
        </w:rPr>
        <w:t>any Officer or Director of a Group Company;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1" w:lineRule="exact"/>
        <w:rPr>
          <w:rFonts w:ascii="Arial" w:cs="Arial" w:eastAsia="Arial" w:hAnsi="Arial"/>
          <w:sz w:val="20"/>
          <w:szCs w:val="20"/>
          <w:color w:val="auto"/>
        </w:rPr>
      </w:pPr>
    </w:p>
    <w:p>
      <w:pPr>
        <w:ind w:left="4420" w:hanging="111"/>
        <w:spacing w:after="0"/>
        <w:tabs>
          <w:tab w:leader="none" w:pos="4420" w:val="left"/>
        </w:tabs>
        <w:numPr>
          <w:ilvl w:val="2"/>
          <w:numId w:val="534"/>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03" w:name="page504"/>
    <w:bookmarkEnd w:id="503"/>
    <w:p>
      <w:pPr>
        <w:ind w:left="1640" w:hanging="504"/>
        <w:spacing w:after="0" w:line="287" w:lineRule="auto"/>
        <w:tabs>
          <w:tab w:leader="none" w:pos="1640" w:val="left"/>
        </w:tabs>
        <w:numPr>
          <w:ilvl w:val="1"/>
          <w:numId w:val="535"/>
        </w:numPr>
        <w:rPr>
          <w:rFonts w:ascii="Arial" w:cs="Arial" w:eastAsia="Arial" w:hAnsi="Arial"/>
          <w:sz w:val="19"/>
          <w:szCs w:val="19"/>
          <w:color w:val="auto"/>
        </w:rPr>
      </w:pPr>
      <w:r>
        <w:rPr>
          <w:rFonts w:ascii="Arial" w:cs="Arial" w:eastAsia="Arial" w:hAnsi="Arial"/>
          <w:sz w:val="19"/>
          <w:szCs w:val="19"/>
          <w:color w:val="auto"/>
        </w:rPr>
        <w:t>any Person whose annualized compensation is €50,000 or more or whose annual compensation for the 12-month period following the date hereof is expected to be €50,000 or more;</w:t>
      </w:r>
    </w:p>
    <w:p>
      <w:pPr>
        <w:spacing w:after="0" w:line="44" w:lineRule="exact"/>
        <w:rPr>
          <w:rFonts w:ascii="Arial" w:cs="Arial" w:eastAsia="Arial" w:hAnsi="Arial"/>
          <w:sz w:val="19"/>
          <w:szCs w:val="19"/>
          <w:color w:val="auto"/>
        </w:rPr>
      </w:pPr>
    </w:p>
    <w:p>
      <w:pPr>
        <w:jc w:val="both"/>
        <w:ind w:left="1120" w:hanging="497"/>
        <w:spacing w:after="0" w:line="250" w:lineRule="auto"/>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not adopt, amend or terminate any Company Benefit Plan or increase the benefits provided under any Company Benefit Plan (unless foreseen for in such a Plan), or promise or commit to undertake any of the foregoing in the future;</w:t>
      </w:r>
    </w:p>
    <w:p>
      <w:pPr>
        <w:spacing w:after="0" w:line="77"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not enter into a works council agreement (</w:t>
      </w:r>
      <w:r>
        <w:rPr>
          <w:rFonts w:ascii="Arial" w:cs="Arial" w:eastAsia="Arial" w:hAnsi="Arial"/>
          <w:sz w:val="20"/>
          <w:szCs w:val="20"/>
          <w:i w:val="1"/>
          <w:iCs w:val="1"/>
          <w:color w:val="auto"/>
        </w:rPr>
        <w:t>Betriebsvereinbarung</w:t>
      </w:r>
      <w:r>
        <w:rPr>
          <w:rFonts w:ascii="Arial" w:cs="Arial" w:eastAsia="Arial" w:hAnsi="Arial"/>
          <w:sz w:val="20"/>
          <w:szCs w:val="20"/>
          <w:color w:val="auto"/>
        </w:rPr>
        <w:t>), collective labour agreement (</w:t>
      </w:r>
      <w:r>
        <w:rPr>
          <w:rFonts w:ascii="Arial" w:cs="Arial" w:eastAsia="Arial" w:hAnsi="Arial"/>
          <w:sz w:val="20"/>
          <w:szCs w:val="20"/>
          <w:i w:val="1"/>
          <w:iCs w:val="1"/>
          <w:color w:val="auto"/>
        </w:rPr>
        <w:t>Tarifvertrag</w:t>
      </w:r>
      <w:r>
        <w:rPr>
          <w:rFonts w:ascii="Arial" w:cs="Arial" w:eastAsia="Arial" w:hAnsi="Arial"/>
          <w:sz w:val="20"/>
          <w:szCs w:val="20"/>
          <w:color w:val="auto"/>
        </w:rPr>
        <w:t>) or other collective bargaining agreement;</w:t>
      </w:r>
    </w:p>
    <w:p>
      <w:pPr>
        <w:spacing w:after="0" w:line="68" w:lineRule="exact"/>
        <w:rPr>
          <w:rFonts w:ascii="Arial" w:cs="Arial" w:eastAsia="Arial" w:hAnsi="Arial"/>
          <w:sz w:val="20"/>
          <w:szCs w:val="20"/>
          <w:color w:val="auto"/>
        </w:rPr>
      </w:pPr>
    </w:p>
    <w:p>
      <w:pPr>
        <w:jc w:val="both"/>
        <w:ind w:left="1120" w:right="20" w:hanging="497"/>
        <w:spacing w:after="0" w:line="291" w:lineRule="auto"/>
        <w:tabs>
          <w:tab w:leader="none" w:pos="11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not amend or terminate any existing Employment Agreement or enter into any new Employment Agreement if the aggregate of annual salary and other benefits under such agreement exceeds € 60,000, provided that the planned employment of an electronic developer with a annual salary of € 80,000 is accepted by Purchaser;</w:t>
      </w:r>
    </w:p>
    <w:p>
      <w:pPr>
        <w:spacing w:after="0" w:line="43" w:lineRule="exact"/>
        <w:rPr>
          <w:rFonts w:ascii="Arial" w:cs="Arial" w:eastAsia="Arial" w:hAnsi="Arial"/>
          <w:sz w:val="18"/>
          <w:szCs w:val="18"/>
          <w:color w:val="auto"/>
        </w:rPr>
      </w:pPr>
    </w:p>
    <w:p>
      <w:pPr>
        <w:ind w:left="1120" w:hanging="497"/>
        <w:spacing w:after="0"/>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maintain supplies and inventory at levels that are in the Ordinary Course;</w:t>
      </w:r>
    </w:p>
    <w:p>
      <w:pPr>
        <w:spacing w:after="0" w:line="107"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continue to extend customers credit, collect accounts receivable and pay accounts payable and similar obligations in the Ordinary Course;</w:t>
      </w:r>
    </w:p>
    <w:p>
      <w:pPr>
        <w:spacing w:after="0" w:line="68" w:lineRule="exact"/>
        <w:rPr>
          <w:rFonts w:ascii="Arial" w:cs="Arial" w:eastAsia="Arial" w:hAnsi="Arial"/>
          <w:sz w:val="20"/>
          <w:szCs w:val="20"/>
          <w:color w:val="auto"/>
        </w:rPr>
      </w:pPr>
    </w:p>
    <w:p>
      <w:pPr>
        <w:jc w:val="both"/>
        <w:ind w:left="1120" w:hanging="497"/>
        <w:spacing w:after="0" w:line="263" w:lineRule="auto"/>
        <w:tabs>
          <w:tab w:leader="none" w:pos="1120" w:val="left"/>
        </w:tabs>
        <w:numPr>
          <w:ilvl w:val="0"/>
          <w:numId w:val="536"/>
        </w:numPr>
        <w:rPr>
          <w:rFonts w:ascii="Arial" w:cs="Arial" w:eastAsia="Arial" w:hAnsi="Arial"/>
          <w:sz w:val="19"/>
          <w:szCs w:val="19"/>
          <w:color w:val="auto"/>
        </w:rPr>
      </w:pPr>
      <w:r>
        <w:rPr>
          <w:rFonts w:ascii="Arial" w:cs="Arial" w:eastAsia="Arial" w:hAnsi="Arial"/>
          <w:sz w:val="19"/>
          <w:szCs w:val="19"/>
          <w:color w:val="auto"/>
        </w:rPr>
        <w:t>perform in all material respects all of its obligations under, and not default or suffer to exist any event or condition that with notice or lapse of time or both could constitute a material default under, any Company Contract (except those being contested in good faith) and not enter into, assume or amend any contract or commitment that is or would be a Company Contract other than in the Ordinary Course;</w:t>
      </w:r>
    </w:p>
    <w:p>
      <w:pPr>
        <w:spacing w:after="0" w:line="68" w:lineRule="exact"/>
        <w:rPr>
          <w:rFonts w:ascii="Arial" w:cs="Arial" w:eastAsia="Arial" w:hAnsi="Arial"/>
          <w:sz w:val="19"/>
          <w:szCs w:val="19"/>
          <w:color w:val="auto"/>
        </w:rPr>
      </w:pPr>
    </w:p>
    <w:p>
      <w:pPr>
        <w:jc w:val="both"/>
        <w:ind w:left="1120" w:hanging="497"/>
        <w:spacing w:after="0" w:line="250" w:lineRule="auto"/>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not pay, discharge or satisfy any claim, liability or obligation (absolute, contingent or otherwise) other than the payment, discharge or satisfaction in the Ordinary Course of claims, liabilities and obligations reflected or reserved against in the Balance Sheets or incurred in the Ordinary Course;</w:t>
      </w:r>
    </w:p>
    <w:p>
      <w:pPr>
        <w:spacing w:after="0" w:line="77" w:lineRule="exact"/>
        <w:rPr>
          <w:rFonts w:ascii="Arial" w:cs="Arial" w:eastAsia="Arial" w:hAnsi="Arial"/>
          <w:sz w:val="20"/>
          <w:szCs w:val="20"/>
          <w:color w:val="auto"/>
        </w:rPr>
      </w:pPr>
    </w:p>
    <w:p>
      <w:pPr>
        <w:ind w:left="1120" w:hanging="497"/>
        <w:spacing w:after="0" w:line="287" w:lineRule="auto"/>
        <w:tabs>
          <w:tab w:leader="none" w:pos="1120" w:val="left"/>
        </w:tabs>
        <w:numPr>
          <w:ilvl w:val="0"/>
          <w:numId w:val="536"/>
        </w:numPr>
        <w:rPr>
          <w:rFonts w:ascii="Arial" w:cs="Arial" w:eastAsia="Arial" w:hAnsi="Arial"/>
          <w:sz w:val="19"/>
          <w:szCs w:val="19"/>
          <w:color w:val="auto"/>
        </w:rPr>
      </w:pPr>
      <w:r>
        <w:rPr>
          <w:rFonts w:ascii="Arial" w:cs="Arial" w:eastAsia="Arial" w:hAnsi="Arial"/>
          <w:sz w:val="19"/>
          <w:szCs w:val="19"/>
          <w:color w:val="auto"/>
        </w:rPr>
        <w:t>maintain in full force and effect and in the same amounts policies of insurance comparable in amount and scope of coverage to that now maintained by or on behalf of the relevant Group Company;</w:t>
      </w:r>
    </w:p>
    <w:p>
      <w:pPr>
        <w:spacing w:after="0" w:line="44" w:lineRule="exact"/>
        <w:rPr>
          <w:rFonts w:ascii="Arial" w:cs="Arial" w:eastAsia="Arial" w:hAnsi="Arial"/>
          <w:sz w:val="19"/>
          <w:szCs w:val="19"/>
          <w:color w:val="auto"/>
        </w:rPr>
      </w:pPr>
    </w:p>
    <w:p>
      <w:pPr>
        <w:ind w:left="1120" w:hanging="497"/>
        <w:spacing w:after="0"/>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continue to maintain its books and records in accordance with GAAP;</w:t>
      </w:r>
    </w:p>
    <w:p>
      <w:pPr>
        <w:spacing w:after="0" w:line="107" w:lineRule="exact"/>
        <w:rPr>
          <w:rFonts w:ascii="Arial" w:cs="Arial" w:eastAsia="Arial" w:hAnsi="Arial"/>
          <w:sz w:val="20"/>
          <w:szCs w:val="20"/>
          <w:color w:val="auto"/>
        </w:rPr>
      </w:pPr>
    </w:p>
    <w:p>
      <w:pPr>
        <w:ind w:left="1120" w:hanging="497"/>
        <w:spacing w:after="0"/>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continue its cash management practices in the Ordinary Course;</w:t>
      </w:r>
    </w:p>
    <w:p>
      <w:pPr>
        <w:spacing w:after="0" w:line="107" w:lineRule="exact"/>
        <w:rPr>
          <w:rFonts w:ascii="Arial" w:cs="Arial" w:eastAsia="Arial" w:hAnsi="Arial"/>
          <w:sz w:val="20"/>
          <w:szCs w:val="20"/>
          <w:color w:val="auto"/>
        </w:rPr>
      </w:pPr>
    </w:p>
    <w:p>
      <w:pPr>
        <w:jc w:val="both"/>
        <w:ind w:left="1120" w:hanging="497"/>
        <w:spacing w:after="0" w:line="242" w:lineRule="auto"/>
        <w:tabs>
          <w:tab w:leader="none" w:pos="1120" w:val="left"/>
        </w:tabs>
        <w:numPr>
          <w:ilvl w:val="0"/>
          <w:numId w:val="536"/>
        </w:numPr>
        <w:rPr>
          <w:rFonts w:ascii="Arial" w:cs="Arial" w:eastAsia="Arial" w:hAnsi="Arial"/>
          <w:sz w:val="20"/>
          <w:szCs w:val="20"/>
          <w:color w:val="auto"/>
        </w:rPr>
      </w:pPr>
      <w:r>
        <w:rPr>
          <w:rFonts w:ascii="Arial" w:cs="Arial" w:eastAsia="Arial" w:hAnsi="Arial"/>
          <w:sz w:val="20"/>
          <w:szCs w:val="20"/>
          <w:color w:val="auto"/>
        </w:rPr>
        <w:t>not make or change any election relating to Taxes, change an annual accounting period, adopt or change any accounting method, file any amended Tax Return, enter into any closing agreement, settle any Tax claim or assessment relating to a Group Company, surrender any right to claim a refund of Taxes, consent to any extension or waiver of the limitation period applicable to any Tax claim or assessment relating to a Group Company, or take any other similar action relating to the filing of any Tax Return or the payment of any Tax, if such election, adoption, change, amendment, agreement, settlement, surrender, consent or other action would have the effect of increasing the Tax liability of the Purchaser or a Group Company for any period ending after the Locked Box Date or decreasing any Tax attribute of a Group Company existing on the Locked Box Date; and</w:t>
      </w:r>
    </w:p>
    <w:p>
      <w:pPr>
        <w:spacing w:after="0" w:line="86" w:lineRule="exact"/>
        <w:rPr>
          <w:sz w:val="20"/>
          <w:szCs w:val="20"/>
          <w:color w:val="auto"/>
        </w:rPr>
      </w:pPr>
    </w:p>
    <w:p>
      <w:pPr>
        <w:ind w:left="1120" w:hanging="497"/>
        <w:spacing w:after="0" w:line="260" w:lineRule="auto"/>
        <w:tabs>
          <w:tab w:leader="none" w:pos="1120" w:val="left"/>
        </w:tabs>
        <w:numPr>
          <w:ilvl w:val="0"/>
          <w:numId w:val="537"/>
        </w:numPr>
        <w:rPr>
          <w:rFonts w:ascii="Arial" w:cs="Arial" w:eastAsia="Arial" w:hAnsi="Arial"/>
          <w:sz w:val="20"/>
          <w:szCs w:val="20"/>
          <w:color w:val="auto"/>
        </w:rPr>
      </w:pPr>
      <w:r>
        <w:rPr>
          <w:rFonts w:ascii="Arial" w:cs="Arial" w:eastAsia="Arial" w:hAnsi="Arial"/>
          <w:sz w:val="20"/>
          <w:szCs w:val="20"/>
          <w:color w:val="auto"/>
        </w:rPr>
        <w:t>not authorize, or commit or agree to take, any of the foregoing actions that are prohibited by this Sub-Clause 6.1.</w:t>
      </w:r>
    </w:p>
    <w:p>
      <w:pPr>
        <w:spacing w:after="0" w:line="69" w:lineRule="exact"/>
        <w:rPr>
          <w:sz w:val="20"/>
          <w:szCs w:val="20"/>
          <w:color w:val="auto"/>
        </w:rPr>
      </w:pPr>
    </w:p>
    <w:p>
      <w:pPr>
        <w:jc w:val="both"/>
        <w:ind w:left="620" w:right="20" w:hanging="634"/>
        <w:spacing w:after="0" w:line="250" w:lineRule="auto"/>
        <w:tabs>
          <w:tab w:leader="none" w:pos="600" w:val="left"/>
        </w:tabs>
        <w:rPr>
          <w:sz w:val="20"/>
          <w:szCs w:val="20"/>
          <w:color w:val="auto"/>
        </w:rPr>
      </w:pPr>
      <w:r>
        <w:rPr>
          <w:rFonts w:ascii="Arial" w:cs="Arial" w:eastAsia="Arial" w:hAnsi="Arial"/>
          <w:sz w:val="20"/>
          <w:szCs w:val="20"/>
          <w:color w:val="auto"/>
        </w:rPr>
        <w:t>6.1.2</w:t>
        <w:tab/>
        <w:t>In connection with the continued operation of each Group Company during the period commencing on the date hereof and ending on the Closing Date, the Seller shall confer, and shall cause the Company to confer, in good faith on a regular and frequent basis with the Purchaser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878" w:right="999" w:bottom="1440" w:gutter="0" w:footer="0" w:header="0"/>
        </w:sectPr>
      </w:pPr>
    </w:p>
    <w:bookmarkStart w:id="504" w:name="page505"/>
    <w:bookmarkEnd w:id="504"/>
    <w:p>
      <w:pPr>
        <w:jc w:val="both"/>
        <w:ind w:left="640" w:right="20"/>
        <w:spacing w:after="0" w:line="291" w:lineRule="auto"/>
        <w:rPr>
          <w:sz w:val="20"/>
          <w:szCs w:val="20"/>
          <w:color w:val="auto"/>
        </w:rPr>
      </w:pPr>
      <w:r>
        <w:rPr>
          <w:rFonts w:ascii="Arial" w:cs="Arial" w:eastAsia="Arial" w:hAnsi="Arial"/>
          <w:sz w:val="18"/>
          <w:szCs w:val="18"/>
          <w:color w:val="auto"/>
        </w:rPr>
        <w:t>regarding operational matters and the general status of on-going operations of the Company Group. The Seller hereby acknowledges that the Purchaser does not and shall not waive any right it may have hereunder as a result of such consultations unless the Purchaser expressly agrees with such operational measures in writing.</w:t>
      </w:r>
    </w:p>
    <w:p>
      <w:pPr>
        <w:spacing w:after="0" w:line="44"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6.1.3</w:t>
        <w:tab/>
        <w:t>The Seller shall not, and shall cause each Group Company not to, take any action that would, or that could reasonably be expected to, result in any warranty of the Seller set forth herein to become untrue.</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Inspection and Access to Information</w:t>
      </w:r>
    </w:p>
    <w:p>
      <w:pPr>
        <w:spacing w:after="0" w:line="114"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During the period commencing on the date hereof and ending on the Closing Date, the Seller will, and will cause each Group Company and their respective Officers and Directors, employees, auditors and agents to:</w:t>
      </w:r>
    </w:p>
    <w:p>
      <w:pPr>
        <w:spacing w:after="0" w:line="44" w:lineRule="exact"/>
        <w:rPr>
          <w:sz w:val="20"/>
          <w:szCs w:val="20"/>
          <w:color w:val="auto"/>
        </w:rPr>
      </w:pPr>
    </w:p>
    <w:p>
      <w:pPr>
        <w:jc w:val="both"/>
        <w:ind w:left="1140" w:hanging="497"/>
        <w:spacing w:after="0" w:line="260" w:lineRule="auto"/>
        <w:tabs>
          <w:tab w:leader="none" w:pos="1140" w:val="left"/>
        </w:tabs>
        <w:numPr>
          <w:ilvl w:val="0"/>
          <w:numId w:val="538"/>
        </w:numPr>
        <w:rPr>
          <w:rFonts w:ascii="Arial" w:cs="Arial" w:eastAsia="Arial" w:hAnsi="Arial"/>
          <w:sz w:val="19"/>
          <w:szCs w:val="19"/>
          <w:color w:val="auto"/>
        </w:rPr>
      </w:pPr>
      <w:r>
        <w:rPr>
          <w:rFonts w:ascii="Arial" w:cs="Arial" w:eastAsia="Arial" w:hAnsi="Arial"/>
          <w:sz w:val="19"/>
          <w:szCs w:val="19"/>
          <w:color w:val="auto"/>
        </w:rPr>
        <w:t>provide – within the limits of applicable laws such as Data Protection Laws – the Purchaser and its accountants, investment bankers, counsel, environmental consultants and other authorised representatives full access, during reasonable hours and under reasonable circumstances, to any and all of its premises, employees (including executive officers), properties, contracts, commitments, books, records and other information (including Tax Returns filed and those in preparation); and</w:t>
      </w:r>
    </w:p>
    <w:p>
      <w:pPr>
        <w:spacing w:after="0" w:line="72" w:lineRule="exact"/>
        <w:rPr>
          <w:rFonts w:ascii="Arial" w:cs="Arial" w:eastAsia="Arial" w:hAnsi="Arial"/>
          <w:sz w:val="19"/>
          <w:szCs w:val="19"/>
          <w:color w:val="auto"/>
        </w:rPr>
      </w:pPr>
    </w:p>
    <w:p>
      <w:pPr>
        <w:jc w:val="both"/>
        <w:ind w:left="1140" w:hanging="497"/>
        <w:spacing w:after="0" w:line="278" w:lineRule="auto"/>
        <w:tabs>
          <w:tab w:leader="none" w:pos="11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furnish – within the limits of applicable laws such as Data Protection Laws – to the Purchaser and its authorised representatives, promptly upon request, any and all financial, technical and operating data and other information pertaining to a Group Company and otherwise fully cooperate with the conduct of due diligence by the Purchaser and its representatives, including permission to collect samples of soil, water or other substances which such representatives may reasonably request permission to collect and analyse.</w:t>
      </w:r>
    </w:p>
    <w:p>
      <w:pPr>
        <w:spacing w:after="0" w:line="5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Notices of Certain Events</w:t>
      </w:r>
    </w:p>
    <w:p>
      <w:pPr>
        <w:spacing w:after="0" w:line="114"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6.3.1</w:t>
        <w:tab/>
        <w:t>During the period commencing on the date hereof and ending on the Closing Date, the Seller shall promptly notify the Purchaser of:</w:t>
      </w:r>
    </w:p>
    <w:p>
      <w:pPr>
        <w:spacing w:after="0" w:line="69" w:lineRule="exact"/>
        <w:rPr>
          <w:sz w:val="20"/>
          <w:szCs w:val="20"/>
          <w:color w:val="auto"/>
        </w:rPr>
      </w:pPr>
    </w:p>
    <w:p>
      <w:pPr>
        <w:jc w:val="both"/>
        <w:ind w:left="1140" w:right="20" w:hanging="497"/>
        <w:spacing w:after="0" w:line="316" w:lineRule="auto"/>
        <w:tabs>
          <w:tab w:leader="none" w:pos="11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change or event that, individually or in the aggregate, has had or could reasonably be expected to have a Material Adverse Effect on or otherwise result in any Seller Warranty being inaccurate in any material respect;</w:t>
      </w:r>
    </w:p>
    <w:p>
      <w:pPr>
        <w:spacing w:after="0" w:line="21" w:lineRule="exact"/>
        <w:rPr>
          <w:rFonts w:ascii="Arial" w:cs="Arial" w:eastAsia="Arial" w:hAnsi="Arial"/>
          <w:sz w:val="18"/>
          <w:szCs w:val="18"/>
          <w:color w:val="auto"/>
        </w:rPr>
      </w:pPr>
    </w:p>
    <w:p>
      <w:pPr>
        <w:ind w:left="1140" w:hanging="497"/>
        <w:spacing w:after="0" w:line="260" w:lineRule="auto"/>
        <w:tabs>
          <w:tab w:leader="none" w:pos="1140" w:val="left"/>
        </w:tabs>
        <w:numPr>
          <w:ilvl w:val="0"/>
          <w:numId w:val="539"/>
        </w:numPr>
        <w:rPr>
          <w:rFonts w:ascii="Arial" w:cs="Arial" w:eastAsia="Arial" w:hAnsi="Arial"/>
          <w:sz w:val="20"/>
          <w:szCs w:val="20"/>
          <w:color w:val="auto"/>
        </w:rPr>
      </w:pPr>
      <w:r>
        <w:rPr>
          <w:rFonts w:ascii="Arial" w:cs="Arial" w:eastAsia="Arial" w:hAnsi="Arial"/>
          <w:sz w:val="20"/>
          <w:szCs w:val="20"/>
          <w:color w:val="auto"/>
        </w:rPr>
        <w:t>any notice or other communication from any Person alleging that the consent of such Person is or may be required in connection with the transactions contemplated hereby;</w:t>
      </w:r>
    </w:p>
    <w:p>
      <w:pPr>
        <w:spacing w:after="0" w:line="68" w:lineRule="exact"/>
        <w:rPr>
          <w:rFonts w:ascii="Arial" w:cs="Arial" w:eastAsia="Arial" w:hAnsi="Arial"/>
          <w:sz w:val="20"/>
          <w:szCs w:val="20"/>
          <w:color w:val="auto"/>
        </w:rPr>
      </w:pPr>
    </w:p>
    <w:p>
      <w:pPr>
        <w:ind w:left="1140" w:right="20" w:hanging="497"/>
        <w:spacing w:after="0" w:line="260" w:lineRule="auto"/>
        <w:tabs>
          <w:tab w:leader="none" w:pos="1140" w:val="left"/>
        </w:tabs>
        <w:numPr>
          <w:ilvl w:val="0"/>
          <w:numId w:val="539"/>
        </w:numPr>
        <w:rPr>
          <w:rFonts w:ascii="Arial" w:cs="Arial" w:eastAsia="Arial" w:hAnsi="Arial"/>
          <w:sz w:val="20"/>
          <w:szCs w:val="20"/>
          <w:color w:val="auto"/>
        </w:rPr>
      </w:pPr>
      <w:r>
        <w:rPr>
          <w:rFonts w:ascii="Arial" w:cs="Arial" w:eastAsia="Arial" w:hAnsi="Arial"/>
          <w:sz w:val="20"/>
          <w:szCs w:val="20"/>
          <w:color w:val="auto"/>
        </w:rPr>
        <w:t>any notice or other communication from any Governmental Entity in connection with the transactions contemplated hereby;</w:t>
      </w:r>
    </w:p>
    <w:p>
      <w:pPr>
        <w:spacing w:after="0" w:line="68" w:lineRule="exact"/>
        <w:rPr>
          <w:rFonts w:ascii="Arial" w:cs="Arial" w:eastAsia="Arial" w:hAnsi="Arial"/>
          <w:sz w:val="20"/>
          <w:szCs w:val="20"/>
          <w:color w:val="auto"/>
        </w:rPr>
      </w:pPr>
    </w:p>
    <w:p>
      <w:pPr>
        <w:jc w:val="both"/>
        <w:ind w:left="1140" w:hanging="497"/>
        <w:spacing w:after="0" w:line="263" w:lineRule="auto"/>
        <w:tabs>
          <w:tab w:leader="none" w:pos="1140" w:val="left"/>
        </w:tabs>
        <w:numPr>
          <w:ilvl w:val="0"/>
          <w:numId w:val="539"/>
        </w:numPr>
        <w:rPr>
          <w:rFonts w:ascii="Arial" w:cs="Arial" w:eastAsia="Arial" w:hAnsi="Arial"/>
          <w:sz w:val="19"/>
          <w:szCs w:val="19"/>
          <w:color w:val="auto"/>
        </w:rPr>
      </w:pPr>
      <w:r>
        <w:rPr>
          <w:rFonts w:ascii="Arial" w:cs="Arial" w:eastAsia="Arial" w:hAnsi="Arial"/>
          <w:sz w:val="19"/>
          <w:szCs w:val="19"/>
          <w:color w:val="auto"/>
        </w:rPr>
        <w:t>any action, suit, claim, investigation or proceeding commenced or, to the Knowledge of the Company Group, threatened against, relating to or involving or otherwise affecting a Group Company that, if pending on the date hereof, would have been required to have been disclosed pursuant to Disclosure Schedule 10 or that relates to the consummation of the transactions contemplated hereby; and</w:t>
      </w:r>
    </w:p>
    <w:p>
      <w:pPr>
        <w:spacing w:after="0" w:line="68" w:lineRule="exact"/>
        <w:rPr>
          <w:rFonts w:ascii="Arial" w:cs="Arial" w:eastAsia="Arial" w:hAnsi="Arial"/>
          <w:sz w:val="19"/>
          <w:szCs w:val="19"/>
          <w:color w:val="auto"/>
        </w:rPr>
      </w:pPr>
    </w:p>
    <w:p>
      <w:pPr>
        <w:jc w:val="both"/>
        <w:ind w:left="1140" w:hanging="497"/>
        <w:spacing w:after="0" w:line="246" w:lineRule="auto"/>
        <w:tabs>
          <w:tab w:leader="none" w:pos="1140" w:val="left"/>
        </w:tabs>
        <w:numPr>
          <w:ilvl w:val="0"/>
          <w:numId w:val="539"/>
        </w:numPr>
        <w:rPr>
          <w:rFonts w:ascii="Arial" w:cs="Arial" w:eastAsia="Arial" w:hAnsi="Arial"/>
          <w:sz w:val="20"/>
          <w:szCs w:val="20"/>
          <w:color w:val="auto"/>
        </w:rPr>
      </w:pPr>
      <w:r>
        <w:rPr>
          <w:rFonts w:ascii="Arial" w:cs="Arial" w:eastAsia="Arial" w:hAnsi="Arial"/>
          <w:sz w:val="20"/>
          <w:szCs w:val="20"/>
          <w:color w:val="auto"/>
        </w:rPr>
        <w:t>(i) the damage or destruction by fire or other casualty of any material asset or material part thereof of a Group Company or (ii) any asset or part thereof becoming the subject of any proceeding (or, to the Knowledge of the Company Group, any threatened proceeding) for the taking thereof or of any right relating thereto by condemnation, eminent domain or other similar governmental action.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7" w:lineRule="exact"/>
        <w:rPr>
          <w:rFonts w:ascii="Arial" w:cs="Arial" w:eastAsia="Arial" w:hAnsi="Arial"/>
          <w:sz w:val="20"/>
          <w:szCs w:val="20"/>
          <w:color w:val="auto"/>
        </w:rPr>
      </w:pPr>
    </w:p>
    <w:p>
      <w:pPr>
        <w:ind w:left="4880" w:hanging="111"/>
        <w:spacing w:after="0"/>
        <w:tabs>
          <w:tab w:leader="none" w:pos="488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05" w:name="page506"/>
    <w:bookmarkEnd w:id="505"/>
    <w:p>
      <w:pPr>
        <w:jc w:val="both"/>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6.3.2</w:t>
        <w:tab/>
        <w:t>The Seller hereby acknowledges that the Purchaser does not and shall not waive any right it may have hereunder as a result of such notifications.</w:t>
      </w:r>
    </w:p>
    <w:p>
      <w:pPr>
        <w:spacing w:after="0" w:line="69" w:lineRule="exact"/>
        <w:rPr>
          <w:sz w:val="20"/>
          <w:szCs w:val="20"/>
          <w:color w:val="auto"/>
        </w:rPr>
      </w:pPr>
    </w:p>
    <w:p>
      <w:pPr>
        <w:jc w:val="both"/>
        <w:ind w:left="640" w:right="20" w:hanging="634"/>
        <w:spacing w:after="0" w:line="316" w:lineRule="auto"/>
        <w:tabs>
          <w:tab w:leader="none" w:pos="62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8"/>
          <w:szCs w:val="18"/>
          <w:color w:val="auto"/>
        </w:rPr>
        <w:t>During the period according to Sub-Clause 6.3.1, the Purchaser shall promptly notify the Seller of any developments regarding the AWV Notification Process (see Clause 6.6.3), especially notices received from BMWi.</w:t>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Interim Unaudited Financials</w:t>
      </w:r>
    </w:p>
    <w:p>
      <w:pPr>
        <w:spacing w:after="0" w:line="114" w:lineRule="exact"/>
        <w:rPr>
          <w:sz w:val="20"/>
          <w:szCs w:val="20"/>
          <w:color w:val="auto"/>
        </w:rPr>
      </w:pPr>
    </w:p>
    <w:p>
      <w:pPr>
        <w:jc w:val="both"/>
        <w:ind w:left="640" w:hanging="634"/>
        <w:spacing w:after="0" w:line="243" w:lineRule="auto"/>
        <w:tabs>
          <w:tab w:leader="none" w:pos="620" w:val="left"/>
        </w:tabs>
        <w:rPr>
          <w:sz w:val="20"/>
          <w:szCs w:val="20"/>
          <w:color w:val="auto"/>
        </w:rPr>
      </w:pPr>
      <w:r>
        <w:rPr>
          <w:rFonts w:ascii="Arial" w:cs="Arial" w:eastAsia="Arial" w:hAnsi="Arial"/>
          <w:sz w:val="20"/>
          <w:szCs w:val="20"/>
          <w:color w:val="auto"/>
        </w:rPr>
        <w:t>6.4.1</w:t>
        <w:tab/>
        <w:t>During the period commencing on the date hereof and ending on the Closing Date, as promptly as practicable following each end of a calendar month subsequent to the end of the most recent fiscal year for a Group Company and prior to the Closing Date, the Seller shall cause the Company Group to deliver to the Purchaser periodic unaudited financial reports in the form that it customarily prepares for its internal purposes concerning the Company Group and, if available, unaudited statements of the financial position of the Company Group as of the last day of each accounting period and statements of income and changes in financial position of such entity for the period then ended.</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6.4.2</w:t>
      </w:r>
      <w:r>
        <w:rPr>
          <w:sz w:val="20"/>
          <w:szCs w:val="20"/>
          <w:color w:val="auto"/>
        </w:rPr>
        <w:tab/>
      </w:r>
      <w:r>
        <w:rPr>
          <w:rFonts w:ascii="Arial" w:cs="Arial" w:eastAsia="Arial" w:hAnsi="Arial"/>
          <w:sz w:val="16"/>
          <w:szCs w:val="16"/>
          <w:color w:val="auto"/>
        </w:rPr>
        <w:t>The Seller covenants that such unaudited interim statements:</w:t>
      </w:r>
    </w:p>
    <w:p>
      <w:pPr>
        <w:spacing w:after="0" w:line="108" w:lineRule="exact"/>
        <w:rPr>
          <w:sz w:val="20"/>
          <w:szCs w:val="20"/>
          <w:color w:val="auto"/>
        </w:rPr>
      </w:pPr>
    </w:p>
    <w:p>
      <w:pPr>
        <w:ind w:left="1140" w:right="20" w:hanging="497"/>
        <w:spacing w:after="0" w:line="316" w:lineRule="auto"/>
        <w:tabs>
          <w:tab w:leader="none" w:pos="11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shall present fairly – within the limits inherent to such financial reports – the financial condition of the applicable Group Company and the related results of its operations for the respective periods then ended, and</w:t>
      </w:r>
    </w:p>
    <w:p>
      <w:pPr>
        <w:spacing w:after="0" w:line="21" w:lineRule="exact"/>
        <w:rPr>
          <w:rFonts w:ascii="Arial" w:cs="Arial" w:eastAsia="Arial" w:hAnsi="Arial"/>
          <w:sz w:val="18"/>
          <w:szCs w:val="18"/>
          <w:color w:val="auto"/>
        </w:rPr>
      </w:pPr>
    </w:p>
    <w:p>
      <w:pPr>
        <w:ind w:left="1140" w:hanging="497"/>
        <w:spacing w:after="0"/>
        <w:tabs>
          <w:tab w:leader="none" w:pos="1140" w:val="left"/>
        </w:tabs>
        <w:numPr>
          <w:ilvl w:val="0"/>
          <w:numId w:val="540"/>
        </w:numPr>
        <w:rPr>
          <w:rFonts w:ascii="Arial" w:cs="Arial" w:eastAsia="Arial" w:hAnsi="Arial"/>
          <w:sz w:val="20"/>
          <w:szCs w:val="20"/>
          <w:color w:val="auto"/>
        </w:rPr>
      </w:pPr>
      <w:r>
        <w:rPr>
          <w:rFonts w:ascii="Arial" w:cs="Arial" w:eastAsia="Arial" w:hAnsi="Arial"/>
          <w:sz w:val="20"/>
          <w:szCs w:val="20"/>
          <w:color w:val="auto"/>
        </w:rPr>
        <w:t>shall be prepared on a basis consistent with prior interim periods.</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b w:val="1"/>
          <w:bCs w:val="1"/>
          <w:color w:val="auto"/>
        </w:rPr>
        <w:t>No Solicitation of Transactions</w:t>
      </w:r>
    </w:p>
    <w:p>
      <w:pPr>
        <w:spacing w:after="0" w:line="114" w:lineRule="exact"/>
        <w:rPr>
          <w:sz w:val="20"/>
          <w:szCs w:val="20"/>
          <w:color w:val="auto"/>
        </w:rPr>
      </w:pPr>
    </w:p>
    <w:p>
      <w:pPr>
        <w:jc w:val="both"/>
        <w:ind w:left="640" w:hanging="634"/>
        <w:spacing w:after="0" w:line="273" w:lineRule="auto"/>
        <w:tabs>
          <w:tab w:leader="none" w:pos="62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18"/>
          <w:szCs w:val="18"/>
          <w:color w:val="auto"/>
        </w:rPr>
        <w:t>During the period commencing on the date hereof and ending on the Closing Date, the Seller and the Shareholders will not, and will cause each Group Company not to, directly or indirectly, through any Officer or Director, manager or agent of any of them or otherwise, initiate, solicit or encourage (including by way of furnishing non-public information or assistance), or enter into negotiations or discussions of any type, directly or indirectly, or enter into a confidentiality agreement, letter of intent or purchase agreement, merger agreement or other similar agreement with any Person other than the Purchaser with respect to a sale of all or any substantial portion of the assets of a Group Company, or a merger, consolidation, business combination, sale of all or any substantial portion of the capital share of a Group Company, or the liquidation or similar extraordinary transaction with respect to a Group Company.</w:t>
      </w:r>
    </w:p>
    <w:p>
      <w:pPr>
        <w:spacing w:after="0" w:line="60" w:lineRule="exact"/>
        <w:rPr>
          <w:sz w:val="20"/>
          <w:szCs w:val="20"/>
          <w:color w:val="auto"/>
        </w:rPr>
      </w:pPr>
    </w:p>
    <w:p>
      <w:pPr>
        <w:jc w:val="both"/>
        <w:ind w:left="640" w:hanging="634"/>
        <w:spacing w:after="0" w:line="243" w:lineRule="auto"/>
        <w:tabs>
          <w:tab w:leader="none" w:pos="620" w:val="left"/>
        </w:tabs>
        <w:rPr>
          <w:sz w:val="20"/>
          <w:szCs w:val="20"/>
          <w:color w:val="auto"/>
        </w:rPr>
      </w:pPr>
      <w:r>
        <w:rPr>
          <w:rFonts w:ascii="Arial" w:cs="Arial" w:eastAsia="Arial" w:hAnsi="Arial"/>
          <w:sz w:val="20"/>
          <w:szCs w:val="20"/>
          <w:color w:val="auto"/>
        </w:rPr>
        <w:t>6.5.2</w:t>
        <w:tab/>
        <w:t>The Seller shall notify the Purchaser orally (within five (5) Business Day) and in writing (as promptly as practicable, but not earlier than orally) of all relevant terms of any inquiry or proposal by a third party to do any of the foregoing that the Seller or the Company or any of its respective Affiliates or any of their respective Officers or Directors, partners, managers, employees, investment bankers, financial advisors, attorneys, accountants or other representatives may receive after the date hereof relating to any of such matters. In the event such inquiry or proposal is in writing, the Seller shall deliver to the Purchaser a copy of such inquiry or proposal together with such written notice.</w:t>
      </w:r>
    </w:p>
    <w:p>
      <w:pPr>
        <w:spacing w:after="0" w:line="7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6"/>
          <w:szCs w:val="16"/>
          <w:b w:val="1"/>
          <w:bCs w:val="1"/>
          <w:color w:val="auto"/>
        </w:rPr>
        <w:t>Reasonable Efforts; Further Assurances; Cooperation</w:t>
      </w:r>
    </w:p>
    <w:p>
      <w:pPr>
        <w:spacing w:after="0" w:line="114" w:lineRule="exact"/>
        <w:rPr>
          <w:sz w:val="20"/>
          <w:szCs w:val="20"/>
          <w:color w:val="auto"/>
        </w:rPr>
      </w:pPr>
    </w:p>
    <w:p>
      <w:pPr>
        <w:jc w:val="both"/>
        <w:ind w:left="640" w:hanging="634"/>
        <w:spacing w:after="0" w:line="244" w:lineRule="auto"/>
        <w:tabs>
          <w:tab w:leader="none" w:pos="620" w:val="left"/>
        </w:tabs>
        <w:rPr>
          <w:sz w:val="20"/>
          <w:szCs w:val="20"/>
          <w:color w:val="auto"/>
        </w:rPr>
      </w:pPr>
      <w:r>
        <w:rPr>
          <w:rFonts w:ascii="Arial" w:cs="Arial" w:eastAsia="Arial" w:hAnsi="Arial"/>
          <w:sz w:val="20"/>
          <w:szCs w:val="20"/>
          <w:color w:val="auto"/>
        </w:rPr>
        <w:t>6.6.1</w:t>
        <w:tab/>
        <w:t>During the period commencing on the date hereof and ending on the Closing Date, and subject to the other provisions hereof, each Party shall each use its reasonable efforts to take, or cause to be taken, and do, or cause to be done, all things necessary, proper or advisable under Applicable Law to obtain all regulatory approvals and to satisfy all conditions to its obligations hereunder and to cause the transactions contemplated herein to be effected as soon as practicable,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06" w:name="page507"/>
    <w:bookmarkEnd w:id="506"/>
    <w:p>
      <w:pPr>
        <w:jc w:val="both"/>
        <w:ind w:left="180"/>
        <w:spacing w:after="0" w:line="291" w:lineRule="auto"/>
        <w:rPr>
          <w:sz w:val="20"/>
          <w:szCs w:val="20"/>
          <w:color w:val="auto"/>
        </w:rPr>
      </w:pPr>
      <w:r>
        <w:rPr>
          <w:rFonts w:ascii="Arial" w:cs="Arial" w:eastAsia="Arial" w:hAnsi="Arial"/>
          <w:sz w:val="18"/>
          <w:szCs w:val="18"/>
          <w:color w:val="auto"/>
        </w:rPr>
        <w:t>but in any event on or prior to the Expiration Date, in accordance with the terms hereof and shall cooperate fully with each other Party and its officers, directors, employees, agents, counsel, accountants and other designees in connection with any step required to be taken as a part of its obligations hereunder, including the following:</w:t>
      </w:r>
    </w:p>
    <w:p>
      <w:pPr>
        <w:spacing w:after="0" w:line="44" w:lineRule="exact"/>
        <w:rPr>
          <w:sz w:val="20"/>
          <w:szCs w:val="20"/>
          <w:color w:val="auto"/>
        </w:rPr>
      </w:pPr>
    </w:p>
    <w:p>
      <w:pPr>
        <w:jc w:val="both"/>
        <w:ind w:left="180" w:hanging="634"/>
        <w:spacing w:after="0" w:line="273" w:lineRule="auto"/>
        <w:tabs>
          <w:tab w:leader="none" w:pos="160" w:val="left"/>
        </w:tabs>
        <w:rPr>
          <w:sz w:val="20"/>
          <w:szCs w:val="20"/>
          <w:color w:val="auto"/>
        </w:rPr>
      </w:pPr>
      <w:r>
        <w:rPr>
          <w:rFonts w:ascii="Arial" w:cs="Arial" w:eastAsia="Arial" w:hAnsi="Arial"/>
          <w:sz w:val="20"/>
          <w:szCs w:val="20"/>
          <w:color w:val="auto"/>
        </w:rPr>
        <w:t>6.6.2</w:t>
      </w:r>
      <w:r>
        <w:rPr>
          <w:sz w:val="20"/>
          <w:szCs w:val="20"/>
          <w:color w:val="auto"/>
        </w:rPr>
        <w:tab/>
      </w:r>
      <w:r>
        <w:rPr>
          <w:rFonts w:ascii="Arial" w:cs="Arial" w:eastAsia="Arial" w:hAnsi="Arial"/>
          <w:sz w:val="18"/>
          <w:szCs w:val="18"/>
          <w:color w:val="auto"/>
        </w:rPr>
        <w:t>During the period commencing on the date hereof and ending on the Closing Date, each Party promptly shall make all filings and submissions and shall take all other actions necessary, proper or advisable under Applicable Laws to obtain any required approval of any Governmental Entity with jurisdiction over the transactions contemplated hereby (except that the Purchaser shall have no obligation to take or consent to the taking of any action required by any such Governmental Entity that could materially adversely affect a Group Company or the transactions contemplated by this Agreement or the Purchaser Ancillary Documents). Each Party and the Shareholders shall furnish all information and documents required for any application or other filing to be made pursuant to any Applicable Law in connection with the transactions contemplated hereby or as contemplated in Clause 6.6.3 below.</w:t>
      </w:r>
    </w:p>
    <w:p>
      <w:pPr>
        <w:spacing w:after="0" w:line="60" w:lineRule="exact"/>
        <w:rPr>
          <w:sz w:val="20"/>
          <w:szCs w:val="20"/>
          <w:color w:val="auto"/>
        </w:rPr>
      </w:pPr>
    </w:p>
    <w:p>
      <w:pPr>
        <w:jc w:val="both"/>
        <w:ind w:left="180" w:hanging="634"/>
        <w:spacing w:after="0" w:line="271" w:lineRule="auto"/>
        <w:tabs>
          <w:tab w:leader="none" w:pos="160" w:val="left"/>
        </w:tabs>
        <w:rPr>
          <w:sz w:val="20"/>
          <w:szCs w:val="20"/>
          <w:color w:val="auto"/>
        </w:rPr>
      </w:pPr>
      <w:r>
        <w:rPr>
          <w:rFonts w:ascii="Arial" w:cs="Arial" w:eastAsia="Arial" w:hAnsi="Arial"/>
          <w:sz w:val="20"/>
          <w:szCs w:val="20"/>
          <w:color w:val="auto"/>
        </w:rPr>
        <w:t>6.6.3</w:t>
      </w:r>
      <w:r>
        <w:rPr>
          <w:sz w:val="20"/>
          <w:szCs w:val="20"/>
          <w:color w:val="auto"/>
        </w:rPr>
        <w:tab/>
      </w:r>
      <w:r>
        <w:rPr>
          <w:rFonts w:ascii="Arial" w:cs="Arial" w:eastAsia="Arial" w:hAnsi="Arial"/>
          <w:sz w:val="18"/>
          <w:szCs w:val="18"/>
          <w:color w:val="auto"/>
        </w:rPr>
        <w:t>Without in any way limiting the foregoing contained in this Sub-Clause 6.6, promptly after execution and delivery of this Agreement, the Purchaser shall notify the German Federal Ministry for the Economy and Energy (</w:t>
      </w:r>
      <w:r>
        <w:rPr>
          <w:rFonts w:ascii="Arial" w:cs="Arial" w:eastAsia="Arial" w:hAnsi="Arial"/>
          <w:sz w:val="18"/>
          <w:szCs w:val="18"/>
          <w:i w:val="1"/>
          <w:iCs w:val="1"/>
          <w:color w:val="auto"/>
        </w:rPr>
        <w:t>Bundesministerium für Wirtschaft und Energie</w:t>
      </w:r>
      <w:r>
        <w:rPr>
          <w:rFonts w:ascii="Arial" w:cs="Arial" w:eastAsia="Arial" w:hAnsi="Arial"/>
          <w:sz w:val="18"/>
          <w:szCs w:val="18"/>
          <w:color w:val="auto"/>
        </w:rPr>
        <w:t>) (“</w:t>
      </w:r>
      <w:r>
        <w:rPr>
          <w:rFonts w:ascii="Arial" w:cs="Arial" w:eastAsia="Arial" w:hAnsi="Arial"/>
          <w:sz w:val="18"/>
          <w:szCs w:val="18"/>
          <w:b w:val="1"/>
          <w:bCs w:val="1"/>
          <w:color w:val="auto"/>
        </w:rPr>
        <w:t>BMWi</w:t>
      </w:r>
      <w:r>
        <w:rPr>
          <w:rFonts w:ascii="Arial" w:cs="Arial" w:eastAsia="Arial" w:hAnsi="Arial"/>
          <w:sz w:val="18"/>
          <w:szCs w:val="18"/>
          <w:color w:val="auto"/>
        </w:rPr>
        <w:t>”) of the signing of this Agreement in the form and with the substance required for such notifications under Section 55 para 3 AWV and (as a precaution) under Section 60 para 3 AWV (the “</w:t>
      </w:r>
      <w:r>
        <w:rPr>
          <w:rFonts w:ascii="Arial" w:cs="Arial" w:eastAsia="Arial" w:hAnsi="Arial"/>
          <w:sz w:val="18"/>
          <w:szCs w:val="18"/>
          <w:b w:val="1"/>
          <w:bCs w:val="1"/>
          <w:color w:val="auto"/>
        </w:rPr>
        <w:t>AWV Notification</w:t>
      </w:r>
      <w:r>
        <w:rPr>
          <w:rFonts w:ascii="Arial" w:cs="Arial" w:eastAsia="Arial" w:hAnsi="Arial"/>
          <w:sz w:val="18"/>
          <w:szCs w:val="18"/>
          <w:color w:val="auto"/>
        </w:rPr>
        <w:t>”). The Purchaser shall at the same time request issuance of a certificate of non-objection (</w:t>
      </w:r>
      <w:r>
        <w:rPr>
          <w:rFonts w:ascii="Arial" w:cs="Arial" w:eastAsia="Arial" w:hAnsi="Arial"/>
          <w:sz w:val="18"/>
          <w:szCs w:val="18"/>
          <w:i w:val="1"/>
          <w:iCs w:val="1"/>
          <w:color w:val="auto"/>
        </w:rPr>
        <w:t>Unbedenklichkeitsbescheinigung</w:t>
      </w:r>
      <w:r>
        <w:rPr>
          <w:rFonts w:ascii="Arial" w:cs="Arial" w:eastAsia="Arial" w:hAnsi="Arial"/>
          <w:sz w:val="18"/>
          <w:szCs w:val="18"/>
          <w:color w:val="auto"/>
        </w:rPr>
        <w:t>) under Section 58 AWV (“</w:t>
      </w:r>
      <w:r>
        <w:rPr>
          <w:rFonts w:ascii="Arial" w:cs="Arial" w:eastAsia="Arial" w:hAnsi="Arial"/>
          <w:sz w:val="18"/>
          <w:szCs w:val="18"/>
          <w:b w:val="1"/>
          <w:bCs w:val="1"/>
          <w:color w:val="auto"/>
        </w:rPr>
        <w:t>AWV Section 58 Clearance</w:t>
      </w:r>
      <w:r>
        <w:rPr>
          <w:rFonts w:ascii="Arial" w:cs="Arial" w:eastAsia="Arial" w:hAnsi="Arial"/>
          <w:sz w:val="18"/>
          <w:szCs w:val="18"/>
          <w:color w:val="auto"/>
        </w:rPr>
        <w:t>”) and, as a precaution, confirmation that the acquisition of the Shares is not subject to review under Section 60 AWV (“</w:t>
      </w:r>
      <w:r>
        <w:rPr>
          <w:rFonts w:ascii="Arial" w:cs="Arial" w:eastAsia="Arial" w:hAnsi="Arial"/>
          <w:sz w:val="18"/>
          <w:szCs w:val="18"/>
          <w:b w:val="1"/>
          <w:bCs w:val="1"/>
          <w:color w:val="auto"/>
        </w:rPr>
        <w:t>AWV</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60 Confirmation</w:t>
      </w:r>
      <w:r>
        <w:rPr>
          <w:rFonts w:ascii="Arial" w:cs="Arial" w:eastAsia="Arial" w:hAnsi="Arial"/>
          <w:sz w:val="18"/>
          <w:szCs w:val="18"/>
          <w:color w:val="auto"/>
        </w:rPr>
        <w:t>”). Any steps in that regard taken after the date hereof shall be taken in prior consultation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Seller and require the consent of the Seller not to be unreasonably withheld. The Purchaser may not withdraw any filings without the express written prior consent of the Seller.</w:t>
      </w:r>
    </w:p>
    <w:p>
      <w:pPr>
        <w:spacing w:after="0" w:line="66" w:lineRule="exact"/>
        <w:rPr>
          <w:sz w:val="20"/>
          <w:szCs w:val="20"/>
          <w:color w:val="auto"/>
        </w:rPr>
      </w:pPr>
    </w:p>
    <w:p>
      <w:pPr>
        <w:jc w:val="both"/>
        <w:ind w:left="200"/>
        <w:spacing w:after="0" w:line="256" w:lineRule="auto"/>
        <w:rPr>
          <w:sz w:val="20"/>
          <w:szCs w:val="20"/>
          <w:color w:val="auto"/>
        </w:rPr>
      </w:pPr>
      <w:r>
        <w:rPr>
          <w:rFonts w:ascii="Arial" w:cs="Arial" w:eastAsia="Arial" w:hAnsi="Arial"/>
          <w:sz w:val="19"/>
          <w:szCs w:val="19"/>
          <w:color w:val="auto"/>
        </w:rPr>
        <w:t>For the avoidance of doubt, each of AWV Section 58 Clearance and AWV Section 60 Confirmation and any substitute therefor under Clauses 7.1.1a) and 7.1.1b) shall be deemed in existence only if not subject to or accompanied by orders of BMWi or any other Governmental Entity which the Purchaser has not, in its free discretion, decided to accept by waiving the relevant closing condition under Clauses 7.1.1a) and 7.1.1b). In the event the Purchaser should have decided to accept such orders, the Purchaser shall as from Closing use its rights as shareholder of the Company to cause the Company Group to comply with such orders. In case BMWi rescinds the relevant clearance due to the non-conformation of the Purchaser or a Group Company to any such orders in the time period after the Closing Date, the Purchaser shall not have any rights to rescind this agreement or to unwind this agreement in any way.</w:t>
      </w:r>
    </w:p>
    <w:p>
      <w:pPr>
        <w:spacing w:after="0" w:line="76" w:lineRule="exact"/>
        <w:rPr>
          <w:sz w:val="20"/>
          <w:szCs w:val="20"/>
          <w:color w:val="auto"/>
        </w:rPr>
      </w:pPr>
    </w:p>
    <w:p>
      <w:pPr>
        <w:jc w:val="both"/>
        <w:ind w:left="200"/>
        <w:spacing w:after="0" w:line="246" w:lineRule="auto"/>
        <w:rPr>
          <w:sz w:val="20"/>
          <w:szCs w:val="20"/>
          <w:color w:val="auto"/>
        </w:rPr>
      </w:pPr>
      <w:r>
        <w:rPr>
          <w:rFonts w:ascii="Arial" w:cs="Arial" w:eastAsia="Arial" w:hAnsi="Arial"/>
          <w:sz w:val="20"/>
          <w:szCs w:val="20"/>
          <w:color w:val="auto"/>
        </w:rPr>
        <w:t>The Parties agree that the Purchaser shall be under obligation to accept orders of BMWi or any other Governmental Entity (i.e. that in the following cases it shall not be in Purchaser’s free discretion whether to accept or not within the meaning of the preceding paragraph) which do not involve more than the following obligations (“</w:t>
      </w:r>
      <w:r>
        <w:rPr>
          <w:rFonts w:ascii="Arial" w:cs="Arial" w:eastAsia="Arial" w:hAnsi="Arial"/>
          <w:sz w:val="20"/>
          <w:szCs w:val="20"/>
          <w:b w:val="1"/>
          <w:bCs w:val="1"/>
          <w:color w:val="auto"/>
        </w:rPr>
        <w:t>Permitted</w:t>
      </w:r>
      <w:r>
        <w:rPr>
          <w:rFonts w:ascii="Arial" w:cs="Arial" w:eastAsia="Arial" w:hAnsi="Arial"/>
          <w:sz w:val="20"/>
          <w:szCs w:val="20"/>
          <w:color w:val="auto"/>
        </w:rPr>
        <w:t xml:space="preserve"> </w:t>
      </w:r>
      <w:r>
        <w:rPr>
          <w:rFonts w:ascii="Arial" w:cs="Arial" w:eastAsia="Arial" w:hAnsi="Arial"/>
          <w:sz w:val="20"/>
          <w:szCs w:val="20"/>
          <w:b w:val="1"/>
          <w:bCs w:val="1"/>
          <w:color w:val="auto"/>
        </w:rPr>
        <w:t>Orders</w:t>
      </w:r>
      <w:r>
        <w:rPr>
          <w:rFonts w:ascii="Arial" w:cs="Arial" w:eastAsia="Arial" w:hAnsi="Arial"/>
          <w:sz w:val="20"/>
          <w:szCs w:val="20"/>
          <w:color w:val="auto"/>
        </w:rPr>
        <w:t>”):</w:t>
      </w:r>
    </w:p>
    <w:p>
      <w:pPr>
        <w:spacing w:after="0" w:line="83" w:lineRule="exact"/>
        <w:rPr>
          <w:sz w:val="20"/>
          <w:szCs w:val="20"/>
          <w:color w:val="auto"/>
        </w:rPr>
      </w:pPr>
    </w:p>
    <w:p>
      <w:pPr>
        <w:ind w:left="1200" w:hanging="504"/>
        <w:spacing w:after="0" w:line="260" w:lineRule="auto"/>
        <w:tabs>
          <w:tab w:leader="none" w:pos="1200" w:val="left"/>
        </w:tabs>
        <w:numPr>
          <w:ilvl w:val="0"/>
          <w:numId w:val="541"/>
        </w:numPr>
        <w:rPr>
          <w:rFonts w:ascii="Arial" w:cs="Arial" w:eastAsia="Arial" w:hAnsi="Arial"/>
          <w:sz w:val="20"/>
          <w:szCs w:val="20"/>
          <w:color w:val="auto"/>
        </w:rPr>
      </w:pPr>
      <w:r>
        <w:rPr>
          <w:rFonts w:ascii="Arial" w:cs="Arial" w:eastAsia="Arial" w:hAnsi="Arial"/>
          <w:sz w:val="20"/>
          <w:szCs w:val="20"/>
          <w:color w:val="auto"/>
        </w:rPr>
        <w:t>keeping the products currently produced and developed by the Company Group outside the scope of application of the U.S. International Traffic in Arms Regulations,</w:t>
      </w:r>
    </w:p>
    <w:p>
      <w:pPr>
        <w:spacing w:after="0" w:line="68" w:lineRule="exact"/>
        <w:rPr>
          <w:rFonts w:ascii="Arial" w:cs="Arial" w:eastAsia="Arial" w:hAnsi="Arial"/>
          <w:sz w:val="20"/>
          <w:szCs w:val="20"/>
          <w:color w:val="auto"/>
        </w:rPr>
      </w:pPr>
    </w:p>
    <w:p>
      <w:pPr>
        <w:jc w:val="both"/>
        <w:ind w:left="1200" w:hanging="504"/>
        <w:spacing w:after="0" w:line="246" w:lineRule="auto"/>
        <w:tabs>
          <w:tab w:leader="none" w:pos="1200" w:val="left"/>
        </w:tabs>
        <w:numPr>
          <w:ilvl w:val="0"/>
          <w:numId w:val="541"/>
        </w:numPr>
        <w:rPr>
          <w:rFonts w:ascii="Arial" w:cs="Arial" w:eastAsia="Arial" w:hAnsi="Arial"/>
          <w:sz w:val="20"/>
          <w:szCs w:val="20"/>
          <w:color w:val="auto"/>
        </w:rPr>
      </w:pPr>
      <w:r>
        <w:rPr>
          <w:rFonts w:ascii="Arial" w:cs="Arial" w:eastAsia="Arial" w:hAnsi="Arial"/>
          <w:sz w:val="20"/>
          <w:szCs w:val="20"/>
          <w:color w:val="auto"/>
        </w:rPr>
        <w:t xml:space="preserve">ensuring the security of supply of German state entities (federal or regional – </w:t>
      </w:r>
      <w:r>
        <w:rPr>
          <w:rFonts w:ascii="Arial" w:cs="Arial" w:eastAsia="Arial" w:hAnsi="Arial"/>
          <w:sz w:val="20"/>
          <w:szCs w:val="20"/>
          <w:i w:val="1"/>
          <w:iCs w:val="1"/>
          <w:color w:val="auto"/>
        </w:rPr>
        <w:t>Bundes- oder</w:t>
      </w:r>
      <w:r>
        <w:rPr>
          <w:rFonts w:ascii="Arial" w:cs="Arial" w:eastAsia="Arial" w:hAnsi="Arial"/>
          <w:sz w:val="20"/>
          <w:szCs w:val="20"/>
          <w:color w:val="auto"/>
        </w:rPr>
        <w:t xml:space="preserve"> </w:t>
      </w:r>
      <w:r>
        <w:rPr>
          <w:rFonts w:ascii="Arial" w:cs="Arial" w:eastAsia="Arial" w:hAnsi="Arial"/>
          <w:sz w:val="20"/>
          <w:szCs w:val="20"/>
          <w:i w:val="1"/>
          <w:iCs w:val="1"/>
          <w:color w:val="auto"/>
        </w:rPr>
        <w:t>Landesstellen</w:t>
      </w:r>
      <w:r>
        <w:rPr>
          <w:rFonts w:ascii="Arial" w:cs="Arial" w:eastAsia="Arial" w:hAnsi="Arial"/>
          <w:sz w:val="20"/>
          <w:szCs w:val="20"/>
          <w:color w:val="auto"/>
        </w:rPr>
        <w:t>) with these products, unless the terms of the relevant supplies entail additional costs or</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liability risks of the Company Group in comparison to such supplies in the past exceeding EUR 2 Mio.,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7" w:lineRule="exact"/>
        <w:rPr>
          <w:rFonts w:ascii="Arial" w:cs="Arial" w:eastAsia="Arial" w:hAnsi="Arial"/>
          <w:sz w:val="20"/>
          <w:szCs w:val="20"/>
          <w:color w:val="auto"/>
        </w:rPr>
      </w:pPr>
    </w:p>
    <w:p>
      <w:pPr>
        <w:ind w:left="4420" w:hanging="111"/>
        <w:spacing w:after="0"/>
        <w:tabs>
          <w:tab w:leader="none" w:pos="442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07" w:name="page508"/>
    <w:bookmarkEnd w:id="507"/>
    <w:p>
      <w:pPr>
        <w:ind w:left="1640" w:hanging="504"/>
        <w:spacing w:after="0"/>
        <w:tabs>
          <w:tab w:leader="none" w:pos="1640" w:val="left"/>
        </w:tabs>
        <w:numPr>
          <w:ilvl w:val="0"/>
          <w:numId w:val="542"/>
        </w:numPr>
        <w:rPr>
          <w:rFonts w:ascii="Arial" w:cs="Arial" w:eastAsia="Arial" w:hAnsi="Arial"/>
          <w:sz w:val="19"/>
          <w:szCs w:val="19"/>
          <w:color w:val="auto"/>
        </w:rPr>
      </w:pPr>
      <w:r>
        <w:rPr>
          <w:rFonts w:ascii="Arial" w:cs="Arial" w:eastAsia="Arial" w:hAnsi="Arial"/>
          <w:sz w:val="19"/>
          <w:szCs w:val="19"/>
          <w:color w:val="auto"/>
        </w:rPr>
        <w:t>maintaining a production site in Germany for a period of up to five (5) years from the Closing Date.</w:t>
      </w:r>
    </w:p>
    <w:p>
      <w:pPr>
        <w:spacing w:after="0" w:line="119" w:lineRule="exact"/>
        <w:rPr>
          <w:sz w:val="20"/>
          <w:szCs w:val="20"/>
          <w:color w:val="auto"/>
        </w:rPr>
      </w:pPr>
    </w:p>
    <w:p>
      <w:pPr>
        <w:jc w:val="both"/>
        <w:ind w:left="620"/>
        <w:spacing w:after="0" w:line="287" w:lineRule="auto"/>
        <w:rPr>
          <w:sz w:val="20"/>
          <w:szCs w:val="20"/>
          <w:color w:val="auto"/>
        </w:rPr>
      </w:pPr>
      <w:r>
        <w:rPr>
          <w:rFonts w:ascii="Arial" w:cs="Arial" w:eastAsia="Arial" w:hAnsi="Arial"/>
          <w:sz w:val="19"/>
          <w:szCs w:val="19"/>
          <w:color w:val="auto"/>
        </w:rPr>
        <w:t>The Purchaser shall furthermore consider any other orders than Permitted Orders in good faith provided that, for the avoidance of doubt, the Purchaser remains free in its decision whether or not to accept them.</w:t>
      </w:r>
    </w:p>
    <w:p>
      <w:pPr>
        <w:spacing w:after="0" w:line="44"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Parties furthermore agree that in case the BMWi or any other Governmental Entity request the conclusion of a mitigation agreement with the Purchaser or the Company instead of issuing orders, the Purchaser shall accept terms of such a mitigation agreement corresponding to the Permitted Orders.</w:t>
      </w:r>
    </w:p>
    <w:p>
      <w:pPr>
        <w:spacing w:after="0" w:line="78" w:lineRule="exact"/>
        <w:rPr>
          <w:sz w:val="20"/>
          <w:szCs w:val="20"/>
          <w:color w:val="auto"/>
        </w:rPr>
      </w:pPr>
    </w:p>
    <w:p>
      <w:pPr>
        <w:jc w:val="both"/>
        <w:ind w:left="620" w:hanging="634"/>
        <w:spacing w:after="0" w:line="246" w:lineRule="auto"/>
        <w:tabs>
          <w:tab w:leader="none" w:pos="600" w:val="left"/>
        </w:tabs>
        <w:rPr>
          <w:sz w:val="20"/>
          <w:szCs w:val="20"/>
          <w:color w:val="auto"/>
        </w:rPr>
      </w:pPr>
      <w:r>
        <w:rPr>
          <w:rFonts w:ascii="Arial" w:cs="Arial" w:eastAsia="Arial" w:hAnsi="Arial"/>
          <w:sz w:val="20"/>
          <w:szCs w:val="20"/>
          <w:color w:val="auto"/>
        </w:rPr>
        <w:t>6.6.4</w:t>
        <w:tab/>
        <w:t>During the period commencing on the date hereof and ending on the Closing Date, in the event any claim, action, suit, investigation or other proceeding by any Governmental Entity or other Person is commenced that questions the validity or legality of the Acquisition or any other transaction contemplated hereby or seeks damages in connection therewith, the Parties shall:</w:t>
      </w:r>
    </w:p>
    <w:p>
      <w:pPr>
        <w:spacing w:after="0" w:line="83" w:lineRule="exact"/>
        <w:rPr>
          <w:sz w:val="20"/>
          <w:szCs w:val="20"/>
          <w:color w:val="auto"/>
        </w:rPr>
      </w:pPr>
    </w:p>
    <w:p>
      <w:pPr>
        <w:ind w:left="1120" w:hanging="497"/>
        <w:spacing w:after="0" w:line="260" w:lineRule="auto"/>
        <w:tabs>
          <w:tab w:leader="none" w:pos="1120" w:val="left"/>
        </w:tabs>
        <w:numPr>
          <w:ilvl w:val="0"/>
          <w:numId w:val="543"/>
        </w:numPr>
        <w:rPr>
          <w:rFonts w:ascii="Arial" w:cs="Arial" w:eastAsia="Arial" w:hAnsi="Arial"/>
          <w:sz w:val="20"/>
          <w:szCs w:val="20"/>
          <w:color w:val="auto"/>
        </w:rPr>
      </w:pPr>
      <w:r>
        <w:rPr>
          <w:rFonts w:ascii="Arial" w:cs="Arial" w:eastAsia="Arial" w:hAnsi="Arial"/>
          <w:sz w:val="20"/>
          <w:szCs w:val="20"/>
          <w:color w:val="auto"/>
        </w:rPr>
        <w:t>cooperate and use all commercially reasonable efforts to defend against such claim, action, suit, investigation or other proceeding,</w:t>
      </w:r>
    </w:p>
    <w:p>
      <w:pPr>
        <w:spacing w:after="0" w:line="68"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43"/>
        </w:numPr>
        <w:rPr>
          <w:rFonts w:ascii="Arial" w:cs="Arial" w:eastAsia="Arial" w:hAnsi="Arial"/>
          <w:sz w:val="20"/>
          <w:szCs w:val="20"/>
          <w:color w:val="auto"/>
        </w:rPr>
      </w:pPr>
      <w:r>
        <w:rPr>
          <w:rFonts w:ascii="Arial" w:cs="Arial" w:eastAsia="Arial" w:hAnsi="Arial"/>
          <w:sz w:val="20"/>
          <w:szCs w:val="20"/>
          <w:color w:val="auto"/>
        </w:rPr>
        <w:t>in the event an injunction or other order is issued in any such action, suit or other proceeding, use all commercially reasonable efforts to have such injunction or other order lifted, and</w:t>
      </w:r>
    </w:p>
    <w:p>
      <w:pPr>
        <w:spacing w:after="0" w:line="68"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43"/>
        </w:numPr>
        <w:rPr>
          <w:rFonts w:ascii="Arial" w:cs="Arial" w:eastAsia="Arial" w:hAnsi="Arial"/>
          <w:sz w:val="20"/>
          <w:szCs w:val="20"/>
          <w:color w:val="auto"/>
        </w:rPr>
      </w:pPr>
      <w:r>
        <w:rPr>
          <w:rFonts w:ascii="Arial" w:cs="Arial" w:eastAsia="Arial" w:hAnsi="Arial"/>
          <w:sz w:val="20"/>
          <w:szCs w:val="20"/>
          <w:color w:val="auto"/>
        </w:rPr>
        <w:t>cooperate reasonably regarding any other impediment to the consummation of the transactions contemplated hereby.</w:t>
      </w:r>
    </w:p>
    <w:p>
      <w:pPr>
        <w:spacing w:after="0" w:line="69" w:lineRule="exact"/>
        <w:rPr>
          <w:sz w:val="20"/>
          <w:szCs w:val="20"/>
          <w:color w:val="auto"/>
        </w:rPr>
      </w:pPr>
    </w:p>
    <w:p>
      <w:pPr>
        <w:jc w:val="both"/>
        <w:ind w:left="620" w:hanging="634"/>
        <w:spacing w:after="0" w:line="250" w:lineRule="auto"/>
        <w:tabs>
          <w:tab w:leader="none" w:pos="600" w:val="left"/>
        </w:tabs>
        <w:rPr>
          <w:sz w:val="20"/>
          <w:szCs w:val="20"/>
          <w:color w:val="auto"/>
        </w:rPr>
      </w:pPr>
      <w:r>
        <w:rPr>
          <w:rFonts w:ascii="Arial" w:cs="Arial" w:eastAsia="Arial" w:hAnsi="Arial"/>
          <w:sz w:val="20"/>
          <w:szCs w:val="20"/>
          <w:color w:val="auto"/>
        </w:rPr>
        <w:t>6.6.5</w:t>
        <w:tab/>
        <w:t>During the period commencing on the date hereof and ending on the Closing Date, the Seller shall cause the Company Group to give all notices to third parties and use its reasonable efforts (in consultation with the Purchaser) to obtain all third-party consents:</w:t>
      </w:r>
    </w:p>
    <w:p>
      <w:pPr>
        <w:spacing w:after="0" w:line="78" w:lineRule="exact"/>
        <w:rPr>
          <w:sz w:val="20"/>
          <w:szCs w:val="20"/>
          <w:color w:val="auto"/>
        </w:rPr>
      </w:pPr>
    </w:p>
    <w:p>
      <w:pPr>
        <w:ind w:left="1120" w:hanging="497"/>
        <w:spacing w:after="0"/>
        <w:tabs>
          <w:tab w:leader="none" w:pos="1120" w:val="left"/>
        </w:tabs>
        <w:numPr>
          <w:ilvl w:val="0"/>
          <w:numId w:val="544"/>
        </w:numPr>
        <w:rPr>
          <w:rFonts w:ascii="Arial" w:cs="Arial" w:eastAsia="Arial" w:hAnsi="Arial"/>
          <w:sz w:val="20"/>
          <w:szCs w:val="20"/>
          <w:color w:val="auto"/>
        </w:rPr>
      </w:pPr>
      <w:r>
        <w:rPr>
          <w:rFonts w:ascii="Arial" w:cs="Arial" w:eastAsia="Arial" w:hAnsi="Arial"/>
          <w:sz w:val="20"/>
          <w:szCs w:val="20"/>
          <w:color w:val="auto"/>
        </w:rPr>
        <w:t>necessary, proper or advisable to consummate the transactions contemplated hereby;</w:t>
      </w:r>
    </w:p>
    <w:p>
      <w:pPr>
        <w:spacing w:after="0" w:line="107" w:lineRule="exact"/>
        <w:rPr>
          <w:rFonts w:ascii="Arial" w:cs="Arial" w:eastAsia="Arial" w:hAnsi="Arial"/>
          <w:sz w:val="20"/>
          <w:szCs w:val="20"/>
          <w:color w:val="auto"/>
        </w:rPr>
      </w:pPr>
    </w:p>
    <w:p>
      <w:pPr>
        <w:ind w:left="1120" w:hanging="497"/>
        <w:spacing w:after="0"/>
        <w:tabs>
          <w:tab w:leader="none" w:pos="1120" w:val="left"/>
        </w:tabs>
        <w:numPr>
          <w:ilvl w:val="0"/>
          <w:numId w:val="544"/>
        </w:numPr>
        <w:rPr>
          <w:rFonts w:ascii="Arial" w:cs="Arial" w:eastAsia="Arial" w:hAnsi="Arial"/>
          <w:sz w:val="20"/>
          <w:szCs w:val="20"/>
          <w:color w:val="auto"/>
        </w:rPr>
      </w:pPr>
      <w:r>
        <w:rPr>
          <w:rFonts w:ascii="Arial" w:cs="Arial" w:eastAsia="Arial" w:hAnsi="Arial"/>
          <w:sz w:val="20"/>
          <w:szCs w:val="20"/>
          <w:color w:val="auto"/>
        </w:rPr>
        <w:t>required to be given or obtained;</w:t>
      </w:r>
    </w:p>
    <w:p>
      <w:pPr>
        <w:spacing w:after="0" w:line="107"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44"/>
        </w:numPr>
        <w:rPr>
          <w:rFonts w:ascii="Arial" w:cs="Arial" w:eastAsia="Arial" w:hAnsi="Arial"/>
          <w:sz w:val="20"/>
          <w:szCs w:val="20"/>
          <w:color w:val="auto"/>
        </w:rPr>
      </w:pPr>
      <w:r>
        <w:rPr>
          <w:rFonts w:ascii="Arial" w:cs="Arial" w:eastAsia="Arial" w:hAnsi="Arial"/>
          <w:sz w:val="20"/>
          <w:szCs w:val="20"/>
          <w:color w:val="auto"/>
        </w:rPr>
        <w:t>required to avoid a breach of or default under any Company Contract in connection with the consummation of the transactions contemplated hereby;</w:t>
      </w:r>
    </w:p>
    <w:p>
      <w:pPr>
        <w:spacing w:after="0" w:line="68" w:lineRule="exact"/>
        <w:rPr>
          <w:rFonts w:ascii="Arial" w:cs="Arial" w:eastAsia="Arial" w:hAnsi="Arial"/>
          <w:sz w:val="20"/>
          <w:szCs w:val="20"/>
          <w:color w:val="auto"/>
        </w:rPr>
      </w:pPr>
    </w:p>
    <w:p>
      <w:pPr>
        <w:ind w:left="1120" w:hanging="497"/>
        <w:spacing w:after="0"/>
        <w:tabs>
          <w:tab w:leader="none" w:pos="1120" w:val="left"/>
        </w:tabs>
        <w:numPr>
          <w:ilvl w:val="0"/>
          <w:numId w:val="544"/>
        </w:numPr>
        <w:rPr>
          <w:rFonts w:ascii="Arial" w:cs="Arial" w:eastAsia="Arial" w:hAnsi="Arial"/>
          <w:sz w:val="20"/>
          <w:szCs w:val="20"/>
          <w:color w:val="auto"/>
        </w:rPr>
      </w:pPr>
      <w:r>
        <w:rPr>
          <w:rFonts w:ascii="Arial" w:cs="Arial" w:eastAsia="Arial" w:hAnsi="Arial"/>
          <w:sz w:val="20"/>
          <w:szCs w:val="20"/>
          <w:color w:val="auto"/>
        </w:rPr>
        <w:t>required to prevent a Material Adverse Effect occurring prior to, on or following the Closing Date.</w:t>
      </w:r>
    </w:p>
    <w:p>
      <w:pPr>
        <w:spacing w:after="0" w:line="108" w:lineRule="exact"/>
        <w:rPr>
          <w:sz w:val="20"/>
          <w:szCs w:val="20"/>
          <w:color w:val="auto"/>
        </w:rPr>
      </w:pPr>
    </w:p>
    <w:p>
      <w:pPr>
        <w:ind w:left="620" w:hanging="634"/>
        <w:spacing w:after="0" w:line="260" w:lineRule="auto"/>
        <w:tabs>
          <w:tab w:leader="none" w:pos="600" w:val="left"/>
        </w:tabs>
        <w:rPr>
          <w:sz w:val="20"/>
          <w:szCs w:val="20"/>
          <w:color w:val="auto"/>
        </w:rPr>
      </w:pPr>
      <w:r>
        <w:rPr>
          <w:rFonts w:ascii="Arial" w:cs="Arial" w:eastAsia="Arial" w:hAnsi="Arial"/>
          <w:sz w:val="20"/>
          <w:szCs w:val="20"/>
          <w:color w:val="auto"/>
        </w:rPr>
        <w:t>6.6.6</w:t>
        <w:tab/>
        <w:t>During the period commencing on the date hereof and ending on the Closing Date, the Seller, on the one hand, and the Purchaser, on the other hand, shall give prompt notice to the other Party of:</w:t>
      </w:r>
    </w:p>
    <w:p>
      <w:pPr>
        <w:spacing w:after="0" w:line="69" w:lineRule="exact"/>
        <w:rPr>
          <w:sz w:val="20"/>
          <w:szCs w:val="20"/>
          <w:color w:val="auto"/>
        </w:rPr>
      </w:pPr>
    </w:p>
    <w:p>
      <w:pPr>
        <w:jc w:val="both"/>
        <w:ind w:left="1120" w:hanging="497"/>
        <w:spacing w:after="0" w:line="246" w:lineRule="auto"/>
        <w:tabs>
          <w:tab w:leader="none" w:pos="1120" w:val="left"/>
        </w:tabs>
        <w:numPr>
          <w:ilvl w:val="0"/>
          <w:numId w:val="545"/>
        </w:numPr>
        <w:rPr>
          <w:rFonts w:ascii="Arial" w:cs="Arial" w:eastAsia="Arial" w:hAnsi="Arial"/>
          <w:sz w:val="20"/>
          <w:szCs w:val="20"/>
          <w:color w:val="auto"/>
        </w:rPr>
      </w:pPr>
      <w:r>
        <w:rPr>
          <w:rFonts w:ascii="Arial" w:cs="Arial" w:eastAsia="Arial" w:hAnsi="Arial"/>
          <w:sz w:val="20"/>
          <w:szCs w:val="20"/>
          <w:color w:val="auto"/>
        </w:rPr>
        <w:t>the occurrence, or failure to occur, of any event, the occurrence or failure of which would be likely to cause any warranty of the Seller, any Shareholder or the Purchaser, as the case may be, contained herein to be untrue or inaccurate at any time from the date hereof to the Closing Date or that will or may result in the failure to satisfy any condition specified in Clause 7; and</w:t>
      </w:r>
    </w:p>
    <w:p>
      <w:pPr>
        <w:spacing w:after="0" w:line="83" w:lineRule="exact"/>
        <w:rPr>
          <w:rFonts w:ascii="Arial" w:cs="Arial" w:eastAsia="Arial" w:hAnsi="Arial"/>
          <w:sz w:val="20"/>
          <w:szCs w:val="20"/>
          <w:color w:val="auto"/>
        </w:rPr>
      </w:pPr>
    </w:p>
    <w:p>
      <w:pPr>
        <w:ind w:left="1120" w:right="20" w:hanging="497"/>
        <w:spacing w:after="0" w:line="287" w:lineRule="auto"/>
        <w:tabs>
          <w:tab w:leader="none" w:pos="1120" w:val="left"/>
        </w:tabs>
        <w:numPr>
          <w:ilvl w:val="0"/>
          <w:numId w:val="545"/>
        </w:numPr>
        <w:rPr>
          <w:rFonts w:ascii="Arial" w:cs="Arial" w:eastAsia="Arial" w:hAnsi="Arial"/>
          <w:sz w:val="19"/>
          <w:szCs w:val="19"/>
          <w:color w:val="auto"/>
        </w:rPr>
      </w:pPr>
      <w:r>
        <w:rPr>
          <w:rFonts w:ascii="Arial" w:cs="Arial" w:eastAsia="Arial" w:hAnsi="Arial"/>
          <w:sz w:val="19"/>
          <w:szCs w:val="19"/>
          <w:color w:val="auto"/>
        </w:rPr>
        <w:t>any failure of the Seller, any Shareholder or the Purchaser, as the case may be, to comply with or satisfy any covenant, condition or agreement to be complied with or satisfied by any of them hereunder.</w:t>
      </w:r>
    </w:p>
    <w:p>
      <w:pPr>
        <w:spacing w:after="0" w:line="44" w:lineRule="exact"/>
        <w:rPr>
          <w:sz w:val="20"/>
          <w:szCs w:val="20"/>
          <w:color w:val="auto"/>
        </w:rPr>
      </w:pPr>
    </w:p>
    <w:p>
      <w:pPr>
        <w:ind w:left="620" w:right="20" w:hanging="634"/>
        <w:spacing w:after="0" w:line="260" w:lineRule="auto"/>
        <w:tabs>
          <w:tab w:leader="none" w:pos="600" w:val="left"/>
        </w:tabs>
        <w:rPr>
          <w:sz w:val="20"/>
          <w:szCs w:val="20"/>
          <w:color w:val="auto"/>
        </w:rPr>
      </w:pPr>
      <w:r>
        <w:rPr>
          <w:rFonts w:ascii="Arial" w:cs="Arial" w:eastAsia="Arial" w:hAnsi="Arial"/>
          <w:sz w:val="20"/>
          <w:szCs w:val="20"/>
          <w:color w:val="auto"/>
        </w:rPr>
        <w:t>6.6.7</w:t>
        <w:tab/>
        <w:t>The Seller and the Purchaser hereby acknowledge that the Purchaser or the Seller – as the case may be – do not and shall not waive any right they may have hereunder as a result of such notifications.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8" w:right="999" w:bottom="1440" w:gutter="0" w:footer="0" w:header="0"/>
        </w:sectPr>
      </w:pPr>
    </w:p>
    <w:bookmarkStart w:id="508" w:name="page509"/>
    <w:bookmarkEnd w:id="508"/>
    <w:p>
      <w:pPr>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6.6.8</w:t>
        <w:tab/>
        <w:t>The Seller shall cause the Group Companies to do all things required to be done by a Group Company pursuant to this Agreement.</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6"/>
          <w:szCs w:val="16"/>
          <w:b w:val="1"/>
          <w:bCs w:val="1"/>
          <w:color w:val="auto"/>
        </w:rPr>
        <w:t>Supplements to Disclosure Schedules</w:t>
      </w:r>
    </w:p>
    <w:p>
      <w:pPr>
        <w:spacing w:after="0" w:line="114" w:lineRule="exact"/>
        <w:rPr>
          <w:sz w:val="20"/>
          <w:szCs w:val="20"/>
          <w:color w:val="auto"/>
        </w:rPr>
      </w:pPr>
    </w:p>
    <w:p>
      <w:pPr>
        <w:ind w:left="640" w:hanging="634"/>
        <w:spacing w:after="0" w:line="287" w:lineRule="auto"/>
        <w:tabs>
          <w:tab w:leader="none" w:pos="620" w:val="left"/>
        </w:tabs>
        <w:rPr>
          <w:sz w:val="20"/>
          <w:szCs w:val="20"/>
          <w:color w:val="auto"/>
        </w:rPr>
      </w:pPr>
      <w:r>
        <w:rPr>
          <w:rFonts w:ascii="Arial" w:cs="Arial" w:eastAsia="Arial" w:hAnsi="Arial"/>
          <w:sz w:val="20"/>
          <w:szCs w:val="20"/>
          <w:color w:val="auto"/>
        </w:rPr>
        <w:t>6.7.1</w:t>
      </w:r>
      <w:r>
        <w:rPr>
          <w:sz w:val="20"/>
          <w:szCs w:val="20"/>
          <w:color w:val="auto"/>
        </w:rPr>
        <w:tab/>
      </w:r>
      <w:r>
        <w:rPr>
          <w:rFonts w:ascii="Arial" w:cs="Arial" w:eastAsia="Arial" w:hAnsi="Arial"/>
          <w:sz w:val="19"/>
          <w:szCs w:val="19"/>
          <w:color w:val="auto"/>
        </w:rPr>
        <w:t>From time to time up to the Closing, the Seller shall promptly supplement or amend the Disclosure Schedules that it has delivered with respect to any matter first existing or occurring following the date hereof that:</w:t>
      </w:r>
    </w:p>
    <w:p>
      <w:pPr>
        <w:spacing w:after="0" w:line="44" w:lineRule="exact"/>
        <w:rPr>
          <w:sz w:val="20"/>
          <w:szCs w:val="20"/>
          <w:color w:val="auto"/>
        </w:rPr>
      </w:pPr>
    </w:p>
    <w:p>
      <w:pPr>
        <w:ind w:left="1140" w:right="20" w:hanging="497"/>
        <w:spacing w:after="0" w:line="260" w:lineRule="auto"/>
        <w:tabs>
          <w:tab w:leader="none" w:pos="1140" w:val="left"/>
        </w:tabs>
        <w:numPr>
          <w:ilvl w:val="0"/>
          <w:numId w:val="546"/>
        </w:numPr>
        <w:rPr>
          <w:rFonts w:ascii="Arial" w:cs="Arial" w:eastAsia="Arial" w:hAnsi="Arial"/>
          <w:sz w:val="20"/>
          <w:szCs w:val="20"/>
          <w:color w:val="auto"/>
        </w:rPr>
      </w:pPr>
      <w:r>
        <w:rPr>
          <w:rFonts w:ascii="Arial" w:cs="Arial" w:eastAsia="Arial" w:hAnsi="Arial"/>
          <w:sz w:val="20"/>
          <w:szCs w:val="20"/>
          <w:color w:val="auto"/>
        </w:rPr>
        <w:t>if existing or occurring at or prior to the date hereof, would have been required to be set forth or described in the Disclosure Schedules, or</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is necessary to correct any information in the Disclosure Schedules that has been rendered inaccurate thereby.</w:t>
      </w:r>
    </w:p>
    <w:p>
      <w:pPr>
        <w:spacing w:after="0" w:line="154"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6.7.2</w:t>
        <w:tab/>
        <w:t>No supplement or amendment to any Disclosure Schedule shall have any effect for the purpose of determining satisfaction of the conditions set forth in Sub-Clause 7.1 or the obligations of the Seller under Sub-Clause 10.1 or the liability of the Seller for breach of any of the Seller Warranties.</w:t>
      </w:r>
    </w:p>
    <w:p>
      <w:pPr>
        <w:spacing w:after="0" w:line="72" w:lineRule="exact"/>
        <w:rPr>
          <w:sz w:val="20"/>
          <w:szCs w:val="20"/>
          <w:color w:val="auto"/>
        </w:rPr>
      </w:pPr>
    </w:p>
    <w:p>
      <w:pPr>
        <w:ind w:left="640" w:hanging="632"/>
        <w:spacing w:after="0"/>
        <w:tabs>
          <w:tab w:leader="none" w:pos="640" w:val="left"/>
        </w:tabs>
        <w:numPr>
          <w:ilvl w:val="0"/>
          <w:numId w:val="547"/>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CLOSING</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Conditions to Obligations of the Purchaser</w:t>
      </w:r>
    </w:p>
    <w:p>
      <w:pPr>
        <w:spacing w:after="0" w:line="114" w:lineRule="exact"/>
        <w:rPr>
          <w:sz w:val="20"/>
          <w:szCs w:val="20"/>
          <w:color w:val="auto"/>
        </w:rPr>
      </w:pPr>
    </w:p>
    <w:p>
      <w:pPr>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7.1.1</w:t>
        <w:tab/>
        <w:t>The obligations of the Purchaser to consummate the transactions contemplated hereby shall be subject to the fulfilment at or prior to the Closing of each of the following additional conditions:</w:t>
      </w:r>
    </w:p>
    <w:p>
      <w:pPr>
        <w:spacing w:after="0" w:line="69" w:lineRule="exact"/>
        <w:rPr>
          <w:sz w:val="20"/>
          <w:szCs w:val="20"/>
          <w:color w:val="auto"/>
        </w:rPr>
      </w:pPr>
    </w:p>
    <w:p>
      <w:pPr>
        <w:jc w:val="both"/>
        <w:ind w:left="1140" w:hanging="497"/>
        <w:spacing w:after="0" w:line="250" w:lineRule="auto"/>
        <w:tabs>
          <w:tab w:leader="none" w:pos="1140" w:val="left"/>
        </w:tabs>
        <w:numPr>
          <w:ilvl w:val="0"/>
          <w:numId w:val="548"/>
        </w:numPr>
        <w:rPr>
          <w:rFonts w:ascii="Arial" w:cs="Arial" w:eastAsia="Arial" w:hAnsi="Arial"/>
          <w:sz w:val="20"/>
          <w:szCs w:val="20"/>
          <w:color w:val="auto"/>
        </w:rPr>
      </w:pPr>
      <w:r>
        <w:rPr>
          <w:rFonts w:ascii="Arial" w:cs="Arial" w:eastAsia="Arial" w:hAnsi="Arial"/>
          <w:sz w:val="20"/>
          <w:szCs w:val="20"/>
          <w:u w:val="single" w:color="auto"/>
          <w:color w:val="auto"/>
        </w:rPr>
        <w:t>Clearance under Sections 55-62 AWV</w:t>
      </w:r>
      <w:r>
        <w:rPr>
          <w:rFonts w:ascii="Arial" w:cs="Arial" w:eastAsia="Arial" w:hAnsi="Arial"/>
          <w:sz w:val="20"/>
          <w:szCs w:val="20"/>
          <w:color w:val="auto"/>
        </w:rPr>
        <w:t xml:space="preserve">. Clearance under Sections 55-62 AWV (cross-sectoral review of acquisitions of undertakings – </w:t>
      </w:r>
      <w:r>
        <w:rPr>
          <w:rFonts w:ascii="Arial" w:cs="Arial" w:eastAsia="Arial" w:hAnsi="Arial"/>
          <w:sz w:val="20"/>
          <w:szCs w:val="20"/>
          <w:i w:val="1"/>
          <w:iCs w:val="1"/>
          <w:color w:val="auto"/>
        </w:rPr>
        <w:t>sektorübergreifende Prüfung von Unternehmenserwerben</w:t>
      </w:r>
      <w:r>
        <w:rPr>
          <w:rFonts w:ascii="Arial" w:cs="Arial" w:eastAsia="Arial" w:hAnsi="Arial"/>
          <w:sz w:val="20"/>
          <w:szCs w:val="20"/>
          <w:color w:val="auto"/>
        </w:rPr>
        <w:t>) has been achieved by the occurrence of one of the following conditions in (i) through (iii):</w:t>
      </w:r>
    </w:p>
    <w:p>
      <w:pPr>
        <w:spacing w:after="0" w:line="77" w:lineRule="exact"/>
        <w:rPr>
          <w:rFonts w:ascii="Arial" w:cs="Arial" w:eastAsia="Arial" w:hAnsi="Arial"/>
          <w:sz w:val="20"/>
          <w:szCs w:val="20"/>
          <w:color w:val="auto"/>
        </w:rPr>
      </w:pPr>
    </w:p>
    <w:p>
      <w:pPr>
        <w:ind w:left="1660" w:hanging="504"/>
        <w:spacing w:after="0"/>
        <w:tabs>
          <w:tab w:leader="none" w:pos="1660" w:val="left"/>
        </w:tabs>
        <w:numPr>
          <w:ilvl w:val="1"/>
          <w:numId w:val="548"/>
        </w:numPr>
        <w:rPr>
          <w:rFonts w:ascii="Arial" w:cs="Arial" w:eastAsia="Arial" w:hAnsi="Arial"/>
          <w:sz w:val="20"/>
          <w:szCs w:val="20"/>
          <w:color w:val="auto"/>
        </w:rPr>
      </w:pPr>
      <w:r>
        <w:rPr>
          <w:rFonts w:ascii="Arial" w:cs="Arial" w:eastAsia="Arial" w:hAnsi="Arial"/>
          <w:sz w:val="20"/>
          <w:szCs w:val="20"/>
          <w:color w:val="auto"/>
        </w:rPr>
        <w:t>AWV Section 58 Clearance has been received by the Purchaser;</w:t>
      </w:r>
    </w:p>
    <w:p>
      <w:pPr>
        <w:spacing w:after="0" w:line="107" w:lineRule="exact"/>
        <w:rPr>
          <w:rFonts w:ascii="Arial" w:cs="Arial" w:eastAsia="Arial" w:hAnsi="Arial"/>
          <w:sz w:val="20"/>
          <w:szCs w:val="20"/>
          <w:color w:val="auto"/>
        </w:rPr>
      </w:pPr>
    </w:p>
    <w:p>
      <w:pPr>
        <w:jc w:val="both"/>
        <w:ind w:left="1660" w:hanging="504"/>
        <w:spacing w:after="0" w:line="282" w:lineRule="auto"/>
        <w:tabs>
          <w:tab w:leader="none" w:pos="166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in the event (i) has not occurred, AWV Section 58 Clearance is deemed granted pursuant to Section 58 para. 2 AWV because the two month period after receipt by BMWi of the request for AWV Section 58 Clearance has expired without the Purchaser having received notice of the commencement of review (</w:t>
      </w:r>
      <w:r>
        <w:rPr>
          <w:rFonts w:ascii="Arial" w:cs="Arial" w:eastAsia="Arial" w:hAnsi="Arial"/>
          <w:sz w:val="18"/>
          <w:szCs w:val="18"/>
          <w:i w:val="1"/>
          <w:iCs w:val="1"/>
          <w:color w:val="auto"/>
        </w:rPr>
        <w:t>Eröffnung des Prüfverfahrens</w:t>
      </w:r>
      <w:r>
        <w:rPr>
          <w:rFonts w:ascii="Arial" w:cs="Arial" w:eastAsia="Arial" w:hAnsi="Arial"/>
          <w:sz w:val="18"/>
          <w:szCs w:val="18"/>
          <w:color w:val="auto"/>
        </w:rPr>
        <w:t>) (“</w:t>
      </w:r>
      <w:r>
        <w:rPr>
          <w:rFonts w:ascii="Arial" w:cs="Arial" w:eastAsia="Arial" w:hAnsi="Arial"/>
          <w:sz w:val="18"/>
          <w:szCs w:val="18"/>
          <w:b w:val="1"/>
          <w:bCs w:val="1"/>
          <w:color w:val="auto"/>
        </w:rPr>
        <w:t>AWV Section 55 Commencement Notice</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jc w:val="both"/>
        <w:ind w:left="1660" w:hanging="504"/>
        <w:spacing w:after="0" w:line="244" w:lineRule="auto"/>
        <w:tabs>
          <w:tab w:leader="none" w:pos="1660" w:val="left"/>
        </w:tabs>
        <w:numPr>
          <w:ilvl w:val="1"/>
          <w:numId w:val="548"/>
        </w:numPr>
        <w:rPr>
          <w:rFonts w:ascii="Arial" w:cs="Arial" w:eastAsia="Arial" w:hAnsi="Arial"/>
          <w:sz w:val="20"/>
          <w:szCs w:val="20"/>
          <w:color w:val="auto"/>
        </w:rPr>
      </w:pPr>
      <w:r>
        <w:rPr>
          <w:rFonts w:ascii="Arial" w:cs="Arial" w:eastAsia="Arial" w:hAnsi="Arial"/>
          <w:sz w:val="20"/>
          <w:szCs w:val="20"/>
          <w:color w:val="auto"/>
        </w:rPr>
        <w:t>in the event AWV Section 55 Commencement Notice has been received by the Purchaser within such two month period, (x) the time period until which BMWi can issue prohibition or orders under Section 59 AWV has expired without any such prohibition or order (other than Permitted Orders) having been issued or (y) BMWi has confirmed to the Purchaser in writing that no such prohibition or orders (other than Permitted Orders) will be issued.</w:t>
      </w:r>
    </w:p>
    <w:p>
      <w:pPr>
        <w:spacing w:after="0" w:line="86" w:lineRule="exact"/>
        <w:rPr>
          <w:rFonts w:ascii="Arial" w:cs="Arial" w:eastAsia="Arial" w:hAnsi="Arial"/>
          <w:sz w:val="20"/>
          <w:szCs w:val="20"/>
          <w:color w:val="auto"/>
        </w:rPr>
      </w:pPr>
    </w:p>
    <w:p>
      <w:pPr>
        <w:jc w:val="both"/>
        <w:ind w:left="1140" w:hanging="497"/>
        <w:spacing w:after="0" w:line="250" w:lineRule="auto"/>
        <w:tabs>
          <w:tab w:leader="none" w:pos="1140" w:val="left"/>
        </w:tabs>
        <w:numPr>
          <w:ilvl w:val="0"/>
          <w:numId w:val="548"/>
        </w:numPr>
        <w:rPr>
          <w:rFonts w:ascii="Arial" w:cs="Arial" w:eastAsia="Arial" w:hAnsi="Arial"/>
          <w:sz w:val="20"/>
          <w:szCs w:val="20"/>
          <w:color w:val="auto"/>
        </w:rPr>
      </w:pPr>
      <w:r>
        <w:rPr>
          <w:rFonts w:ascii="Arial" w:cs="Arial" w:eastAsia="Arial" w:hAnsi="Arial"/>
          <w:sz w:val="20"/>
          <w:szCs w:val="20"/>
          <w:u w:val="single" w:color="auto"/>
          <w:color w:val="auto"/>
        </w:rPr>
        <w:t>Clearance under Sections 60-62 AWV</w:t>
      </w:r>
      <w:r>
        <w:rPr>
          <w:rFonts w:ascii="Arial" w:cs="Arial" w:eastAsia="Arial" w:hAnsi="Arial"/>
          <w:sz w:val="20"/>
          <w:szCs w:val="20"/>
          <w:color w:val="auto"/>
        </w:rPr>
        <w:t xml:space="preserve">. Clearance under Sections 60-62 AWV (sector specific review of acquisitions of undertakings – </w:t>
      </w:r>
      <w:r>
        <w:rPr>
          <w:rFonts w:ascii="Arial" w:cs="Arial" w:eastAsia="Arial" w:hAnsi="Arial"/>
          <w:sz w:val="20"/>
          <w:szCs w:val="20"/>
          <w:i w:val="1"/>
          <w:iCs w:val="1"/>
          <w:color w:val="auto"/>
        </w:rPr>
        <w:t>sektorspezifische Prüfung von Unternehmenserwerben</w:t>
      </w:r>
      <w:r>
        <w:rPr>
          <w:rFonts w:ascii="Arial" w:cs="Arial" w:eastAsia="Arial" w:hAnsi="Arial"/>
          <w:sz w:val="20"/>
          <w:szCs w:val="20"/>
          <w:color w:val="auto"/>
        </w:rPr>
        <w:t>) has been achieved by the occurrence of one of the following conditions in (i) through (iv):</w:t>
      </w:r>
    </w:p>
    <w:p>
      <w:pPr>
        <w:spacing w:after="0" w:line="77" w:lineRule="exact"/>
        <w:rPr>
          <w:rFonts w:ascii="Arial" w:cs="Arial" w:eastAsia="Arial" w:hAnsi="Arial"/>
          <w:sz w:val="20"/>
          <w:szCs w:val="20"/>
          <w:color w:val="auto"/>
        </w:rPr>
      </w:pPr>
    </w:p>
    <w:p>
      <w:pPr>
        <w:ind w:left="1660" w:hanging="504"/>
        <w:spacing w:after="0"/>
        <w:tabs>
          <w:tab w:leader="none" w:pos="1660" w:val="left"/>
        </w:tabs>
        <w:numPr>
          <w:ilvl w:val="1"/>
          <w:numId w:val="548"/>
        </w:numPr>
        <w:rPr>
          <w:rFonts w:ascii="Arial" w:cs="Arial" w:eastAsia="Arial" w:hAnsi="Arial"/>
          <w:sz w:val="20"/>
          <w:szCs w:val="20"/>
          <w:color w:val="auto"/>
        </w:rPr>
      </w:pPr>
      <w:r>
        <w:rPr>
          <w:rFonts w:ascii="Arial" w:cs="Arial" w:eastAsia="Arial" w:hAnsi="Arial"/>
          <w:sz w:val="20"/>
          <w:szCs w:val="20"/>
          <w:color w:val="auto"/>
        </w:rPr>
        <w:t>AWV Section 60 Confirmation has been received by the Purchaser;</w:t>
      </w:r>
    </w:p>
    <w:p>
      <w:pPr>
        <w:spacing w:after="0" w:line="107" w:lineRule="exact"/>
        <w:rPr>
          <w:rFonts w:ascii="Arial" w:cs="Arial" w:eastAsia="Arial" w:hAnsi="Arial"/>
          <w:sz w:val="20"/>
          <w:szCs w:val="20"/>
          <w:color w:val="auto"/>
        </w:rPr>
      </w:pPr>
    </w:p>
    <w:p>
      <w:pPr>
        <w:ind w:left="1660" w:right="20" w:hanging="504"/>
        <w:spacing w:after="0" w:line="260" w:lineRule="auto"/>
        <w:tabs>
          <w:tab w:leader="none" w:pos="1660" w:val="left"/>
        </w:tabs>
        <w:numPr>
          <w:ilvl w:val="1"/>
          <w:numId w:val="548"/>
        </w:numPr>
        <w:rPr>
          <w:rFonts w:ascii="Arial" w:cs="Arial" w:eastAsia="Arial" w:hAnsi="Arial"/>
          <w:sz w:val="20"/>
          <w:szCs w:val="20"/>
          <w:color w:val="auto"/>
        </w:rPr>
      </w:pPr>
      <w:r>
        <w:rPr>
          <w:rFonts w:ascii="Arial" w:cs="Arial" w:eastAsia="Arial" w:hAnsi="Arial"/>
          <w:sz w:val="20"/>
          <w:szCs w:val="20"/>
          <w:color w:val="auto"/>
        </w:rPr>
        <w:t>in the event (i) has not occured, the Purchaser has received notification by BMWi that the acquisition of the Shares has been released (</w:t>
      </w:r>
      <w:r>
        <w:rPr>
          <w:rFonts w:ascii="Arial" w:cs="Arial" w:eastAsia="Arial" w:hAnsi="Arial"/>
          <w:sz w:val="20"/>
          <w:szCs w:val="20"/>
          <w:i w:val="1"/>
          <w:iCs w:val="1"/>
          <w:color w:val="auto"/>
        </w:rPr>
        <w:t>freigegeben</w:t>
      </w:r>
      <w:r>
        <w:rPr>
          <w:rFonts w:ascii="Arial" w:cs="Arial" w:eastAsia="Arial" w:hAnsi="Arial"/>
          <w:sz w:val="20"/>
          <w:szCs w:val="20"/>
          <w:color w:val="auto"/>
        </w:rPr>
        <w:t>) under Section 61 AWV;</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2" w:lineRule="exact"/>
        <w:rPr>
          <w:rFonts w:ascii="Arial" w:cs="Arial" w:eastAsia="Arial" w:hAnsi="Arial"/>
          <w:sz w:val="20"/>
          <w:szCs w:val="20"/>
          <w:color w:val="auto"/>
        </w:rPr>
      </w:pPr>
    </w:p>
    <w:p>
      <w:pPr>
        <w:ind w:left="4880" w:hanging="111"/>
        <w:spacing w:after="0"/>
        <w:tabs>
          <w:tab w:leader="none" w:pos="4880" w:val="left"/>
        </w:tabs>
        <w:numPr>
          <w:ilvl w:val="2"/>
          <w:numId w:val="548"/>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09" w:name="page510"/>
    <w:bookmarkEnd w:id="509"/>
    <w:p>
      <w:pPr>
        <w:jc w:val="both"/>
        <w:ind w:left="1640" w:hanging="504"/>
        <w:spacing w:after="0" w:line="269" w:lineRule="auto"/>
        <w:tabs>
          <w:tab w:leader="none" w:pos="1640" w:val="left"/>
        </w:tabs>
        <w:numPr>
          <w:ilvl w:val="1"/>
          <w:numId w:val="549"/>
        </w:numPr>
        <w:rPr>
          <w:rFonts w:ascii="Arial" w:cs="Arial" w:eastAsia="Arial" w:hAnsi="Arial"/>
          <w:sz w:val="19"/>
          <w:szCs w:val="19"/>
          <w:color w:val="auto"/>
        </w:rPr>
      </w:pPr>
      <w:r>
        <w:rPr>
          <w:rFonts w:ascii="Arial" w:cs="Arial" w:eastAsia="Arial" w:hAnsi="Arial"/>
          <w:sz w:val="19"/>
          <w:szCs w:val="19"/>
          <w:color w:val="auto"/>
        </w:rPr>
        <w:t>in the event (ii) has not occurred, the three month period after AWV Notification pursuant to Section 61 AWV has expired without the Purchaser having received notice of the commencement of review (</w:t>
      </w:r>
      <w:r>
        <w:rPr>
          <w:rFonts w:ascii="Arial" w:cs="Arial" w:eastAsia="Arial" w:hAnsi="Arial"/>
          <w:sz w:val="19"/>
          <w:szCs w:val="19"/>
          <w:i w:val="1"/>
          <w:iCs w:val="1"/>
          <w:color w:val="auto"/>
        </w:rPr>
        <w:t>Eröffnung des Prüfverfahrens</w:t>
      </w:r>
      <w:r>
        <w:rPr>
          <w:rFonts w:ascii="Arial" w:cs="Arial" w:eastAsia="Arial" w:hAnsi="Arial"/>
          <w:sz w:val="19"/>
          <w:szCs w:val="19"/>
          <w:color w:val="auto"/>
        </w:rPr>
        <w:t>) (“</w:t>
      </w:r>
      <w:r>
        <w:rPr>
          <w:rFonts w:ascii="Arial" w:cs="Arial" w:eastAsia="Arial" w:hAnsi="Arial"/>
          <w:sz w:val="19"/>
          <w:szCs w:val="19"/>
          <w:b w:val="1"/>
          <w:bCs w:val="1"/>
          <w:color w:val="auto"/>
        </w:rPr>
        <w:t>AWV Section 61 Commencement Notice</w:t>
      </w:r>
      <w:r>
        <w:rPr>
          <w:rFonts w:ascii="Arial" w:cs="Arial" w:eastAsia="Arial" w:hAnsi="Arial"/>
          <w:sz w:val="19"/>
          <w:szCs w:val="19"/>
          <w:color w:val="auto"/>
        </w:rPr>
        <w:t>”);</w:t>
      </w:r>
    </w:p>
    <w:p>
      <w:pPr>
        <w:spacing w:after="0" w:line="61" w:lineRule="exact"/>
        <w:rPr>
          <w:rFonts w:ascii="Arial" w:cs="Arial" w:eastAsia="Arial" w:hAnsi="Arial"/>
          <w:sz w:val="19"/>
          <w:szCs w:val="19"/>
          <w:color w:val="auto"/>
        </w:rPr>
      </w:pPr>
    </w:p>
    <w:p>
      <w:pPr>
        <w:jc w:val="both"/>
        <w:ind w:left="1640" w:hanging="504"/>
        <w:spacing w:after="0" w:line="246" w:lineRule="auto"/>
        <w:tabs>
          <w:tab w:leader="none" w:pos="1640" w:val="left"/>
        </w:tabs>
        <w:numPr>
          <w:ilvl w:val="1"/>
          <w:numId w:val="549"/>
        </w:numPr>
        <w:rPr>
          <w:rFonts w:ascii="Arial" w:cs="Arial" w:eastAsia="Arial" w:hAnsi="Arial"/>
          <w:sz w:val="20"/>
          <w:szCs w:val="20"/>
          <w:color w:val="auto"/>
        </w:rPr>
      </w:pPr>
      <w:r>
        <w:rPr>
          <w:rFonts w:ascii="Arial" w:cs="Arial" w:eastAsia="Arial" w:hAnsi="Arial"/>
          <w:sz w:val="20"/>
          <w:szCs w:val="20"/>
          <w:color w:val="auto"/>
        </w:rPr>
        <w:t>in the event AWV Section 61 Commencement Notice has been received by the Purchaser within such three month period, the time period until which BMWi can issue prohibition or orders (other than Permitted Orders) under Section 62 AWV has expired without any such prohibition or order (other than Permitted Orders) having been issued.</w:t>
      </w:r>
    </w:p>
    <w:p>
      <w:pPr>
        <w:spacing w:after="0" w:line="83" w:lineRule="exact"/>
        <w:rPr>
          <w:rFonts w:ascii="Arial" w:cs="Arial" w:eastAsia="Arial" w:hAnsi="Arial"/>
          <w:sz w:val="20"/>
          <w:szCs w:val="20"/>
          <w:color w:val="auto"/>
        </w:rPr>
      </w:pPr>
    </w:p>
    <w:p>
      <w:pPr>
        <w:jc w:val="both"/>
        <w:ind w:left="1120" w:hanging="497"/>
        <w:spacing w:after="0" w:line="259" w:lineRule="auto"/>
        <w:tabs>
          <w:tab w:leader="none" w:pos="1120" w:val="left"/>
        </w:tabs>
        <w:numPr>
          <w:ilvl w:val="0"/>
          <w:numId w:val="550"/>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There shall be no effective injunction, writ or preliminary restraining order or any order of any nature issued by a Governmental Entity of competent jurisdiction to the effect that the Acquisition may not be consummated as provided herein, no proceeding or lawsuit shall have been commenced by any Governmental Entity for the purpose of obtaining any such injunction, writ or preliminary restraining order and no written notice shall have been received from any Governmental Entity indicating an intent to restrain, prevent, materially delay or restructure the transactions contemplated hereby.</w:t>
      </w:r>
    </w:p>
    <w:p>
      <w:pPr>
        <w:spacing w:after="0" w:line="70" w:lineRule="exact"/>
        <w:rPr>
          <w:rFonts w:ascii="Arial" w:cs="Arial" w:eastAsia="Arial" w:hAnsi="Arial"/>
          <w:sz w:val="19"/>
          <w:szCs w:val="19"/>
          <w:color w:val="auto"/>
        </w:rPr>
      </w:pPr>
    </w:p>
    <w:p>
      <w:pPr>
        <w:jc w:val="both"/>
        <w:ind w:left="1120" w:hanging="497"/>
        <w:spacing w:after="0" w:line="259" w:lineRule="auto"/>
        <w:tabs>
          <w:tab w:leader="none" w:pos="1120" w:val="left"/>
        </w:tabs>
        <w:numPr>
          <w:ilvl w:val="0"/>
          <w:numId w:val="550"/>
        </w:numPr>
        <w:rPr>
          <w:rFonts w:ascii="Arial" w:cs="Arial" w:eastAsia="Arial" w:hAnsi="Arial"/>
          <w:sz w:val="19"/>
          <w:szCs w:val="19"/>
          <w:color w:val="auto"/>
        </w:rPr>
      </w:pPr>
      <w:r>
        <w:rPr>
          <w:rFonts w:ascii="Arial" w:cs="Arial" w:eastAsia="Arial" w:hAnsi="Arial"/>
          <w:sz w:val="19"/>
          <w:szCs w:val="19"/>
          <w:u w:val="single" w:color="auto"/>
          <w:color w:val="auto"/>
        </w:rPr>
        <w:t>Warranties</w:t>
      </w:r>
      <w:r>
        <w:rPr>
          <w:rFonts w:ascii="Arial" w:cs="Arial" w:eastAsia="Arial" w:hAnsi="Arial"/>
          <w:sz w:val="19"/>
          <w:szCs w:val="19"/>
          <w:color w:val="auto"/>
        </w:rPr>
        <w:t>. The Fundamental Seller’s Warranties and the Seller’s Warranties in Clauses 5, 7, 10, 11, 16, 17, 18, 19, 20, 21, 23, 25, 26 and 35 shall have been true and correct and complete in all material respects as of the date hereof and shall be true and correct and complete in all material respects as of the Closing Date as though made on and as of the Closing Date, provided that “</w:t>
      </w:r>
      <w:r>
        <w:rPr>
          <w:rFonts w:ascii="Arial" w:cs="Arial" w:eastAsia="Arial" w:hAnsi="Arial"/>
          <w:sz w:val="19"/>
          <w:szCs w:val="19"/>
          <w:b w:val="1"/>
          <w:bCs w:val="1"/>
          <w:color w:val="auto"/>
        </w:rPr>
        <w:t>material</w:t>
      </w:r>
      <w:r>
        <w:rPr>
          <w:rFonts w:ascii="Arial" w:cs="Arial" w:eastAsia="Arial" w:hAnsi="Arial"/>
          <w:sz w:val="19"/>
          <w:szCs w:val="19"/>
          <w:color w:val="auto"/>
        </w:rPr>
        <w:t>” for the purposes of this clause 7.1.1d) shall mean a breach which has an aggregate negative impact on the Company Group of more than EUR 6,500,000 and has not been cured prior to the Closing.</w:t>
      </w:r>
    </w:p>
    <w:p>
      <w:pPr>
        <w:spacing w:after="0" w:line="70" w:lineRule="exact"/>
        <w:rPr>
          <w:rFonts w:ascii="Arial" w:cs="Arial" w:eastAsia="Arial" w:hAnsi="Arial"/>
          <w:sz w:val="19"/>
          <w:szCs w:val="19"/>
          <w:color w:val="auto"/>
        </w:rPr>
      </w:pPr>
    </w:p>
    <w:p>
      <w:pPr>
        <w:jc w:val="both"/>
        <w:ind w:left="1120" w:hanging="497"/>
        <w:spacing w:after="0" w:line="250" w:lineRule="auto"/>
        <w:tabs>
          <w:tab w:leader="none" w:pos="1120" w:val="left"/>
        </w:tabs>
        <w:numPr>
          <w:ilvl w:val="0"/>
          <w:numId w:val="550"/>
        </w:numPr>
        <w:rPr>
          <w:rFonts w:ascii="Arial" w:cs="Arial" w:eastAsia="Arial" w:hAnsi="Arial"/>
          <w:sz w:val="20"/>
          <w:szCs w:val="20"/>
          <w:color w:val="auto"/>
        </w:rPr>
      </w:pPr>
      <w:r>
        <w:rPr>
          <w:rFonts w:ascii="Arial" w:cs="Arial" w:eastAsia="Arial" w:hAnsi="Arial"/>
          <w:sz w:val="20"/>
          <w:szCs w:val="20"/>
          <w:u w:val="single" w:color="auto"/>
          <w:color w:val="auto"/>
        </w:rPr>
        <w:t>Performance of Obligations of the Seller and the Company</w:t>
      </w:r>
      <w:r>
        <w:rPr>
          <w:rFonts w:ascii="Arial" w:cs="Arial" w:eastAsia="Arial" w:hAnsi="Arial"/>
          <w:sz w:val="20"/>
          <w:szCs w:val="20"/>
          <w:color w:val="auto"/>
        </w:rPr>
        <w:t>. The Seller and the Company shall have performed in all material respects all covenants and agreements required to be performed by each of them hereunder at or prior to the Closing.</w:t>
      </w:r>
    </w:p>
    <w:p>
      <w:pPr>
        <w:spacing w:after="0" w:line="77" w:lineRule="exact"/>
        <w:rPr>
          <w:rFonts w:ascii="Arial" w:cs="Arial" w:eastAsia="Arial" w:hAnsi="Arial"/>
          <w:sz w:val="20"/>
          <w:szCs w:val="20"/>
          <w:color w:val="auto"/>
        </w:rPr>
      </w:pPr>
    </w:p>
    <w:p>
      <w:pPr>
        <w:ind w:left="1120" w:hanging="497"/>
        <w:spacing w:after="0" w:line="260" w:lineRule="auto"/>
        <w:tabs>
          <w:tab w:leader="none" w:pos="1120" w:val="left"/>
        </w:tabs>
        <w:numPr>
          <w:ilvl w:val="0"/>
          <w:numId w:val="550"/>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Between the date hereof and the Closing Date, there shall not have occurred any Material Adverse Effect that has not been cured prior to the Closing.</w:t>
      </w:r>
    </w:p>
    <w:p>
      <w:pPr>
        <w:spacing w:after="0" w:line="68" w:lineRule="exact"/>
        <w:rPr>
          <w:rFonts w:ascii="Arial" w:cs="Arial" w:eastAsia="Arial" w:hAnsi="Arial"/>
          <w:sz w:val="20"/>
          <w:szCs w:val="20"/>
          <w:color w:val="auto"/>
        </w:rPr>
      </w:pPr>
    </w:p>
    <w:p>
      <w:pPr>
        <w:jc w:val="both"/>
        <w:ind w:left="1120" w:hanging="497"/>
        <w:spacing w:after="0" w:line="273" w:lineRule="auto"/>
        <w:tabs>
          <w:tab w:leader="none" w:pos="112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Lockman Outstanding; Release of Liens</w:t>
      </w:r>
      <w:r>
        <w:rPr>
          <w:rFonts w:ascii="Arial" w:cs="Arial" w:eastAsia="Arial" w:hAnsi="Arial"/>
          <w:sz w:val="18"/>
          <w:szCs w:val="18"/>
          <w:color w:val="auto"/>
        </w:rPr>
        <w:t>. In the event the Closing Date is expected to occur on a date which does not make it reasonably possible to make the repayment under Clause 3.5a) before the Lockman Repayment Agreement has terminated, the Seller shall have delivered to the Purchaser a payoff letter from Lockman (“</w:t>
      </w:r>
      <w:r>
        <w:rPr>
          <w:rFonts w:ascii="Arial" w:cs="Arial" w:eastAsia="Arial" w:hAnsi="Arial"/>
          <w:sz w:val="18"/>
          <w:szCs w:val="18"/>
          <w:b w:val="1"/>
          <w:bCs w:val="1"/>
          <w:color w:val="auto"/>
        </w:rPr>
        <w:t>Lockman Payoff Letter”</w:t>
      </w:r>
      <w:r>
        <w:rPr>
          <w:rFonts w:ascii="Arial" w:cs="Arial" w:eastAsia="Arial" w:hAnsi="Arial"/>
          <w:sz w:val="18"/>
          <w:szCs w:val="18"/>
          <w:color w:val="auto"/>
        </w:rPr>
        <w:t>) confirming that if the Lockman Outstanding is paid to Lockman on the Closing Date, all obligations of the Company under or in connection with the Lockman Loan Agreement will have been settled in full and that all Liens affecting the shares of the Company, any real or personal property of a Group Company including receivables assigned as security are being released, all substantially equivalent to the terms of Clause 3 of the Lockman Repayment Agreement.</w:t>
      </w:r>
    </w:p>
    <w:p>
      <w:pPr>
        <w:spacing w:after="0" w:line="60" w:lineRule="exact"/>
        <w:rPr>
          <w:rFonts w:ascii="Arial" w:cs="Arial" w:eastAsia="Arial" w:hAnsi="Arial"/>
          <w:sz w:val="18"/>
          <w:szCs w:val="18"/>
          <w:color w:val="auto"/>
        </w:rPr>
      </w:pPr>
    </w:p>
    <w:p>
      <w:pPr>
        <w:ind w:left="1120" w:right="20" w:hanging="497"/>
        <w:spacing w:after="0" w:line="260" w:lineRule="auto"/>
        <w:tabs>
          <w:tab w:leader="none" w:pos="1120" w:val="left"/>
        </w:tabs>
        <w:numPr>
          <w:ilvl w:val="0"/>
          <w:numId w:val="550"/>
        </w:numPr>
        <w:rPr>
          <w:rFonts w:ascii="Arial" w:cs="Arial" w:eastAsia="Arial" w:hAnsi="Arial"/>
          <w:sz w:val="20"/>
          <w:szCs w:val="20"/>
          <w:color w:val="auto"/>
        </w:rPr>
      </w:pPr>
      <w:r>
        <w:rPr>
          <w:rFonts w:ascii="Arial" w:cs="Arial" w:eastAsia="Arial" w:hAnsi="Arial"/>
          <w:sz w:val="20"/>
          <w:szCs w:val="20"/>
          <w:u w:val="single" w:color="auto"/>
          <w:color w:val="auto"/>
        </w:rPr>
        <w:t>Transaction Payments Statement</w:t>
      </w:r>
      <w:r>
        <w:rPr>
          <w:rFonts w:ascii="Arial" w:cs="Arial" w:eastAsia="Arial" w:hAnsi="Arial"/>
          <w:sz w:val="20"/>
          <w:szCs w:val="20"/>
          <w:color w:val="auto"/>
        </w:rPr>
        <w:t>. The Seller shall have delivered to the Purchaser the Transaction Payments Statement at least two (2) Business Days prior to the Closing Date.</w:t>
      </w:r>
    </w:p>
    <w:p>
      <w:pPr>
        <w:spacing w:after="0" w:line="69" w:lineRule="exact"/>
        <w:rPr>
          <w:sz w:val="20"/>
          <w:szCs w:val="20"/>
          <w:color w:val="auto"/>
        </w:rPr>
      </w:pPr>
    </w:p>
    <w:p>
      <w:pPr>
        <w:ind w:left="620" w:right="20" w:hanging="634"/>
        <w:spacing w:after="0" w:line="260" w:lineRule="auto"/>
        <w:tabs>
          <w:tab w:leader="none" w:pos="600" w:val="left"/>
        </w:tabs>
        <w:rPr>
          <w:sz w:val="20"/>
          <w:szCs w:val="20"/>
          <w:color w:val="auto"/>
        </w:rPr>
      </w:pPr>
      <w:r>
        <w:rPr>
          <w:rFonts w:ascii="Arial" w:cs="Arial" w:eastAsia="Arial" w:hAnsi="Arial"/>
          <w:sz w:val="20"/>
          <w:szCs w:val="20"/>
          <w:color w:val="auto"/>
        </w:rPr>
        <w:t>7.1.2</w:t>
        <w:tab/>
        <w:t>The Purchaser may waive (in its absolute discretion) any of the conditions in Clause 7.1.1 with the exception of the conditions in Clauses 7.1.1a) and 7.1.1b) by written notice to the Seller.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8" w:right="999" w:bottom="1440" w:gutter="0" w:footer="0" w:header="0"/>
        </w:sectPr>
      </w:pPr>
    </w:p>
    <w:bookmarkStart w:id="510" w:name="page511"/>
    <w:bookmarkEnd w:id="510"/>
    <w:p>
      <w:pPr>
        <w:spacing w:after="0"/>
        <w:tabs>
          <w:tab w:leader="none" w:pos="6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Conditions to Obligations of the Seller</w:t>
      </w:r>
    </w:p>
    <w:p>
      <w:pPr>
        <w:spacing w:after="0" w:line="114" w:lineRule="exact"/>
        <w:rPr>
          <w:sz w:val="20"/>
          <w:szCs w:val="20"/>
          <w:color w:val="auto"/>
        </w:rPr>
      </w:pPr>
    </w:p>
    <w:p>
      <w:pPr>
        <w:ind w:left="640" w:hanging="634"/>
        <w:spacing w:after="0" w:line="260" w:lineRule="auto"/>
        <w:tabs>
          <w:tab w:leader="none" w:pos="620" w:val="left"/>
        </w:tabs>
        <w:rPr>
          <w:sz w:val="20"/>
          <w:szCs w:val="20"/>
          <w:color w:val="auto"/>
        </w:rPr>
      </w:pPr>
      <w:r>
        <w:rPr>
          <w:rFonts w:ascii="Arial" w:cs="Arial" w:eastAsia="Arial" w:hAnsi="Arial"/>
          <w:sz w:val="20"/>
          <w:szCs w:val="20"/>
          <w:color w:val="auto"/>
        </w:rPr>
        <w:t>7.2.1</w:t>
        <w:tab/>
        <w:t>The obligations of the Seller to consummate the transactions contemplated hereby shall be subject to the fulfilment at or prior to the Closing of each of the following additional conditions:</w:t>
      </w:r>
    </w:p>
    <w:p>
      <w:pPr>
        <w:spacing w:after="0" w:line="69" w:lineRule="exact"/>
        <w:rPr>
          <w:sz w:val="20"/>
          <w:szCs w:val="20"/>
          <w:color w:val="auto"/>
        </w:rPr>
      </w:pPr>
    </w:p>
    <w:p>
      <w:pPr>
        <w:jc w:val="both"/>
        <w:ind w:left="1140" w:hanging="497"/>
        <w:spacing w:after="0" w:line="259" w:lineRule="auto"/>
        <w:tabs>
          <w:tab w:leader="none" w:pos="1140" w:val="left"/>
        </w:tabs>
        <w:numPr>
          <w:ilvl w:val="0"/>
          <w:numId w:val="551"/>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There shall be no effective injunction, writ or preliminary restraining order or any order of any nature issued by a Governmental Entity of competent jurisdiction to the effect that the Acquisition may not be consummated as provided herein, no proceeding or lawsuit shall have been commenced by any Governmental Entity for the purpose of obtaining any such injunction, writ or preliminary restraining order and no written notice shall have been received from any Governmental Entity indicating an intent to restrain, prevent, materially delay or restructure the transactions contemplated hereby.</w:t>
      </w:r>
    </w:p>
    <w:p>
      <w:pPr>
        <w:spacing w:after="0" w:line="70" w:lineRule="exact"/>
        <w:rPr>
          <w:rFonts w:ascii="Arial" w:cs="Arial" w:eastAsia="Arial" w:hAnsi="Arial"/>
          <w:sz w:val="19"/>
          <w:szCs w:val="19"/>
          <w:color w:val="auto"/>
        </w:rPr>
      </w:pPr>
    </w:p>
    <w:p>
      <w:pPr>
        <w:jc w:val="both"/>
        <w:ind w:left="1140" w:right="20" w:hanging="497"/>
        <w:spacing w:after="0" w:line="246" w:lineRule="auto"/>
        <w:tabs>
          <w:tab w:leader="none" w:pos="1140" w:val="left"/>
        </w:tabs>
        <w:numPr>
          <w:ilvl w:val="0"/>
          <w:numId w:val="551"/>
        </w:numPr>
        <w:rPr>
          <w:rFonts w:ascii="Arial" w:cs="Arial" w:eastAsia="Arial" w:hAnsi="Arial"/>
          <w:sz w:val="20"/>
          <w:szCs w:val="20"/>
          <w:color w:val="auto"/>
        </w:rPr>
      </w:pPr>
      <w:r>
        <w:rPr>
          <w:rFonts w:ascii="Arial" w:cs="Arial" w:eastAsia="Arial" w:hAnsi="Arial"/>
          <w:sz w:val="20"/>
          <w:szCs w:val="20"/>
          <w:u w:val="single" w:color="auto"/>
          <w:color w:val="auto"/>
        </w:rPr>
        <w:t>Warranties</w:t>
      </w:r>
      <w:r>
        <w:rPr>
          <w:rFonts w:ascii="Arial" w:cs="Arial" w:eastAsia="Arial" w:hAnsi="Arial"/>
          <w:sz w:val="20"/>
          <w:szCs w:val="20"/>
          <w:color w:val="auto"/>
        </w:rPr>
        <w:t>. The warranties of the Purchaser contained in Clause 5 shall have been true and correct in all material respects as of the date hereof and shall be true and correct in all material respects as of the Closing Date as though made on and as of the Closing Date, except that those warranties that by their terms are qualified by materiality shall be true and correct in all respects.</w:t>
      </w:r>
    </w:p>
    <w:p>
      <w:pPr>
        <w:spacing w:after="0" w:line="83" w:lineRule="exact"/>
        <w:rPr>
          <w:rFonts w:ascii="Arial" w:cs="Arial" w:eastAsia="Arial" w:hAnsi="Arial"/>
          <w:sz w:val="20"/>
          <w:szCs w:val="20"/>
          <w:color w:val="auto"/>
        </w:rPr>
      </w:pPr>
    </w:p>
    <w:p>
      <w:pPr>
        <w:ind w:left="1140" w:right="20" w:hanging="497"/>
        <w:spacing w:after="0" w:line="316" w:lineRule="auto"/>
        <w:tabs>
          <w:tab w:leader="none" w:pos="114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by the Purchaser</w:t>
      </w:r>
      <w:r>
        <w:rPr>
          <w:rFonts w:ascii="Arial" w:cs="Arial" w:eastAsia="Arial" w:hAnsi="Arial"/>
          <w:sz w:val="18"/>
          <w:szCs w:val="18"/>
          <w:color w:val="auto"/>
        </w:rPr>
        <w:t>. The Purchaser shall have performed in all material respects all covenants and agreements required to be performed by it hereunder on or prior to the Closing Date.</w:t>
      </w:r>
    </w:p>
    <w:p>
      <w:pPr>
        <w:spacing w:after="0" w:line="21" w:lineRule="exact"/>
        <w:rPr>
          <w:rFonts w:ascii="Arial" w:cs="Arial" w:eastAsia="Arial" w:hAnsi="Arial"/>
          <w:sz w:val="18"/>
          <w:szCs w:val="18"/>
          <w:color w:val="auto"/>
        </w:rPr>
      </w:pPr>
    </w:p>
    <w:p>
      <w:pPr>
        <w:ind w:left="1140" w:hanging="497"/>
        <w:spacing w:after="0" w:line="260" w:lineRule="auto"/>
        <w:tabs>
          <w:tab w:leader="none" w:pos="1140" w:val="left"/>
        </w:tabs>
        <w:numPr>
          <w:ilvl w:val="0"/>
          <w:numId w:val="551"/>
        </w:numPr>
        <w:rPr>
          <w:rFonts w:ascii="Arial" w:cs="Arial" w:eastAsia="Arial" w:hAnsi="Arial"/>
          <w:sz w:val="20"/>
          <w:szCs w:val="20"/>
          <w:color w:val="auto"/>
        </w:rPr>
      </w:pPr>
      <w:r>
        <w:rPr>
          <w:rFonts w:ascii="Arial" w:cs="Arial" w:eastAsia="Arial" w:hAnsi="Arial"/>
          <w:sz w:val="20"/>
          <w:szCs w:val="20"/>
          <w:u w:val="single" w:color="auto"/>
          <w:color w:val="auto"/>
        </w:rPr>
        <w:t>Ancillary Documents</w:t>
      </w:r>
      <w:r>
        <w:rPr>
          <w:rFonts w:ascii="Arial" w:cs="Arial" w:eastAsia="Arial" w:hAnsi="Arial"/>
          <w:sz w:val="20"/>
          <w:szCs w:val="20"/>
          <w:color w:val="auto"/>
        </w:rPr>
        <w:t>. The Purchaser shall have delivered, or caused to be delivered, to the Seller the documents listed in Sub-Clause 8.3.</w:t>
      </w:r>
    </w:p>
    <w:p>
      <w:pPr>
        <w:spacing w:after="0" w:line="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6"/>
          <w:szCs w:val="16"/>
          <w:color w:val="auto"/>
        </w:rPr>
        <w:t>The Seller may waive (in its absolute discretion) any of the conditions in Clause 7.2.1 by notice to the Purchaser.</w:t>
      </w:r>
    </w:p>
    <w:p>
      <w:pPr>
        <w:spacing w:after="0" w:line="102" w:lineRule="exact"/>
        <w:rPr>
          <w:sz w:val="20"/>
          <w:szCs w:val="20"/>
          <w:color w:val="auto"/>
        </w:rPr>
      </w:pPr>
    </w:p>
    <w:p>
      <w:pPr>
        <w:ind w:left="640" w:hanging="632"/>
        <w:spacing w:after="0"/>
        <w:tabs>
          <w:tab w:leader="none" w:pos="640" w:val="left"/>
        </w:tabs>
        <w:numPr>
          <w:ilvl w:val="0"/>
          <w:numId w:val="552"/>
        </w:numPr>
        <w:rPr>
          <w:rFonts w:ascii="Arial" w:cs="Arial" w:eastAsia="Arial" w:hAnsi="Arial"/>
          <w:sz w:val="20"/>
          <w:szCs w:val="20"/>
          <w:b w:val="1"/>
          <w:bCs w:val="1"/>
          <w:color w:val="auto"/>
        </w:rPr>
      </w:pPr>
      <w:r>
        <w:rPr>
          <w:rFonts w:ascii="Arial" w:cs="Arial" w:eastAsia="Arial" w:hAnsi="Arial"/>
          <w:sz w:val="20"/>
          <w:szCs w:val="20"/>
          <w:b w:val="1"/>
          <w:bCs w:val="1"/>
          <w:color w:val="auto"/>
        </w:rPr>
        <w:t>CLOSING</w:t>
      </w:r>
    </w:p>
    <w:p>
      <w:pPr>
        <w:spacing w:after="0" w:line="10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8.1</w:t>
      </w:r>
      <w:r>
        <w:rPr>
          <w:rFonts w:ascii="Arial" w:cs="Arial" w:eastAsia="Arial" w:hAnsi="Arial"/>
          <w:sz w:val="16"/>
          <w:szCs w:val="16"/>
          <w:b w:val="1"/>
          <w:bCs w:val="1"/>
          <w:color w:val="auto"/>
        </w:rPr>
        <w:t>Closing</w:t>
      </w:r>
    </w:p>
    <w:p>
      <w:pPr>
        <w:spacing w:after="0" w:line="114"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8.1.1</w:t>
        <w:tab/>
        <w:t>The Closing shall occur at 3 p.m. Central European Time on the third (3rd) Business Day following the satisfaction or waiver of the conditions set forth in Clause 7 that are contemplated to be satisfied prior to the Closing, or on such other date as the Parties may agree.</w:t>
      </w:r>
    </w:p>
    <w:p>
      <w:pPr>
        <w:spacing w:after="0" w:line="78" w:lineRule="exact"/>
        <w:rPr>
          <w:sz w:val="20"/>
          <w:szCs w:val="20"/>
          <w:color w:val="auto"/>
        </w:rPr>
      </w:pPr>
    </w:p>
    <w:p>
      <w:pPr>
        <w:jc w:val="both"/>
        <w:ind w:left="640" w:right="20" w:hanging="634"/>
        <w:spacing w:after="0" w:line="260" w:lineRule="auto"/>
        <w:tabs>
          <w:tab w:leader="none" w:pos="620" w:val="left"/>
        </w:tabs>
        <w:rPr>
          <w:sz w:val="20"/>
          <w:szCs w:val="20"/>
          <w:color w:val="auto"/>
        </w:rPr>
      </w:pPr>
      <w:r>
        <w:rPr>
          <w:rFonts w:ascii="Arial" w:cs="Arial" w:eastAsia="Arial" w:hAnsi="Arial"/>
          <w:sz w:val="20"/>
          <w:szCs w:val="20"/>
          <w:color w:val="auto"/>
        </w:rPr>
        <w:t>8.1.2</w:t>
        <w:tab/>
        <w:t>The Closing shall take place at the offices of King &amp; Spalding LLP at Taunustor 1, 60310 Frankfurt am Main or at such other place as the Parties may agree.</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6"/>
          <w:szCs w:val="16"/>
          <w:b w:val="1"/>
          <w:bCs w:val="1"/>
          <w:color w:val="auto"/>
        </w:rPr>
        <w:t>Seller Closing Deliveries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the Closing, the Seller shall deliver, or cause to be delivered, to the Purchaser the following:</w:t>
      </w:r>
    </w:p>
    <w:p>
      <w:pPr>
        <w:spacing w:after="0" w:line="108" w:lineRule="exact"/>
        <w:rPr>
          <w:sz w:val="20"/>
          <w:szCs w:val="20"/>
          <w:color w:val="auto"/>
        </w:rPr>
      </w:pPr>
    </w:p>
    <w:p>
      <w:pPr>
        <w:ind w:left="1140" w:hanging="497"/>
        <w:spacing w:after="0"/>
        <w:tabs>
          <w:tab w:leader="none" w:pos="1140" w:val="left"/>
        </w:tabs>
        <w:numPr>
          <w:ilvl w:val="0"/>
          <w:numId w:val="553"/>
        </w:numPr>
        <w:rPr>
          <w:rFonts w:ascii="Arial" w:cs="Arial" w:eastAsia="Arial" w:hAnsi="Arial"/>
          <w:sz w:val="20"/>
          <w:szCs w:val="20"/>
          <w:color w:val="auto"/>
        </w:rPr>
      </w:pPr>
      <w:r>
        <w:rPr>
          <w:rFonts w:ascii="Arial" w:cs="Arial" w:eastAsia="Arial" w:hAnsi="Arial"/>
          <w:sz w:val="20"/>
          <w:szCs w:val="20"/>
          <w:color w:val="auto"/>
        </w:rPr>
        <w:t>In the event of Clause 7.1.1g), the Lockman Payoff Letter;</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53"/>
        </w:numPr>
        <w:rPr>
          <w:rFonts w:ascii="Arial" w:cs="Arial" w:eastAsia="Arial" w:hAnsi="Arial"/>
          <w:sz w:val="20"/>
          <w:szCs w:val="20"/>
          <w:color w:val="auto"/>
        </w:rPr>
      </w:pPr>
      <w:r>
        <w:rPr>
          <w:rFonts w:ascii="Arial" w:cs="Arial" w:eastAsia="Arial" w:hAnsi="Arial"/>
          <w:sz w:val="20"/>
          <w:szCs w:val="20"/>
          <w:color w:val="auto"/>
        </w:rPr>
        <w:t>all other documents required to be entered into by a Group Company or the Seller pursuant hereto.</w:t>
      </w:r>
    </w:p>
    <w:p>
      <w:pPr>
        <w:spacing w:after="0" w:line="10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8.3</w:t>
      </w:r>
      <w:r>
        <w:rPr>
          <w:rFonts w:ascii="Arial" w:cs="Arial" w:eastAsia="Arial" w:hAnsi="Arial"/>
          <w:sz w:val="16"/>
          <w:szCs w:val="16"/>
          <w:b w:val="1"/>
          <w:bCs w:val="1"/>
          <w:color w:val="auto"/>
        </w:rPr>
        <w:t>Purchaser Closing Deliveries and Payments</w:t>
      </w:r>
    </w:p>
    <w:p>
      <w:pPr>
        <w:spacing w:after="0" w:line="114" w:lineRule="exact"/>
        <w:rPr>
          <w:sz w:val="20"/>
          <w:szCs w:val="20"/>
          <w:color w:val="auto"/>
        </w:rPr>
      </w:pPr>
    </w:p>
    <w:p>
      <w:pPr>
        <w:jc w:val="both"/>
        <w:ind w:left="640" w:hanging="634"/>
        <w:spacing w:after="0" w:line="260" w:lineRule="auto"/>
        <w:tabs>
          <w:tab w:leader="none" w:pos="620" w:val="left"/>
        </w:tabs>
        <w:rPr>
          <w:sz w:val="20"/>
          <w:szCs w:val="20"/>
          <w:color w:val="auto"/>
        </w:rPr>
      </w:pPr>
      <w:r>
        <w:rPr>
          <w:rFonts w:ascii="Arial" w:cs="Arial" w:eastAsia="Arial" w:hAnsi="Arial"/>
          <w:sz w:val="20"/>
          <w:szCs w:val="20"/>
          <w:color w:val="auto"/>
        </w:rPr>
        <w:t>8.3.1</w:t>
        <w:tab/>
        <w:t>At the Closing, the Purchaser shall have delivered, or cause to be delivered, to the Seller all documents required to be entered into or delivered by the Purchaser at or prior to the Closing pursuant hereto.</w:t>
      </w:r>
    </w:p>
    <w:p>
      <w:pPr>
        <w:spacing w:after="0" w:line="69" w:lineRule="exact"/>
        <w:rPr>
          <w:sz w:val="20"/>
          <w:szCs w:val="20"/>
          <w:color w:val="auto"/>
        </w:rPr>
      </w:pPr>
    </w:p>
    <w:p>
      <w:pPr>
        <w:jc w:val="both"/>
        <w:ind w:left="640" w:hanging="634"/>
        <w:spacing w:after="0" w:line="250" w:lineRule="auto"/>
        <w:tabs>
          <w:tab w:leader="none" w:pos="620" w:val="left"/>
        </w:tabs>
        <w:rPr>
          <w:sz w:val="20"/>
          <w:szCs w:val="20"/>
          <w:color w:val="auto"/>
        </w:rPr>
      </w:pPr>
      <w:r>
        <w:rPr>
          <w:rFonts w:ascii="Arial" w:cs="Arial" w:eastAsia="Arial" w:hAnsi="Arial"/>
          <w:sz w:val="20"/>
          <w:szCs w:val="20"/>
          <w:color w:val="auto"/>
        </w:rPr>
        <w:t>8.3.2</w:t>
        <w:tab/>
        <w:t>When all deliveries as per Clause 8.2 have been effected or waived by the Purchaser and all deliveries as per Clause 8.3.1 – if any – have been effected or waived by the Seller, the Purchaser shall make the payments provided for in Clauses 3.4 (Payment of the Purchase Price) and 3.5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11" w:name="page512"/>
    <w:bookmarkEnd w:id="511"/>
    <w:p>
      <w:pPr>
        <w:jc w:val="both"/>
        <w:ind w:left="640"/>
        <w:spacing w:after="0" w:line="250" w:lineRule="auto"/>
        <w:rPr>
          <w:sz w:val="20"/>
          <w:szCs w:val="20"/>
          <w:color w:val="auto"/>
        </w:rPr>
      </w:pPr>
      <w:r>
        <w:rPr>
          <w:rFonts w:ascii="Arial" w:cs="Arial" w:eastAsia="Arial" w:hAnsi="Arial"/>
          <w:sz w:val="20"/>
          <w:szCs w:val="20"/>
          <w:color w:val="auto"/>
        </w:rPr>
        <w:t>(Payment of other amounts payable at Closing) and 3.2 (Payment of Escrow Amount). The Seller shall cause all banks to which such payments are to be made to give notice of the receipt of such payments to the Purchaser by telecopy transmission.</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Closing Protocol and registrations</w:t>
      </w:r>
    </w:p>
    <w:p>
      <w:pPr>
        <w:spacing w:after="0" w:line="114" w:lineRule="exact"/>
        <w:rPr>
          <w:sz w:val="20"/>
          <w:szCs w:val="20"/>
          <w:color w:val="auto"/>
        </w:rPr>
      </w:pPr>
    </w:p>
    <w:p>
      <w:pPr>
        <w:jc w:val="both"/>
        <w:ind w:left="640" w:right="20" w:hanging="634"/>
        <w:spacing w:after="0" w:line="291" w:lineRule="auto"/>
        <w:tabs>
          <w:tab w:leader="none" w:pos="620" w:val="left"/>
        </w:tabs>
        <w:rPr>
          <w:sz w:val="20"/>
          <w:szCs w:val="20"/>
          <w:color w:val="auto"/>
        </w:rPr>
      </w:pPr>
      <w:r>
        <w:rPr>
          <w:rFonts w:ascii="Arial" w:cs="Arial" w:eastAsia="Arial" w:hAnsi="Arial"/>
          <w:sz w:val="20"/>
          <w:szCs w:val="20"/>
          <w:color w:val="auto"/>
        </w:rPr>
        <w:t>8.4.1</w:t>
      </w:r>
      <w:r>
        <w:rPr>
          <w:sz w:val="20"/>
          <w:szCs w:val="20"/>
          <w:color w:val="auto"/>
        </w:rPr>
        <w:tab/>
      </w:r>
      <w:r>
        <w:rPr>
          <w:rFonts w:ascii="Arial" w:cs="Arial" w:eastAsia="Arial" w:hAnsi="Arial"/>
          <w:sz w:val="18"/>
          <w:szCs w:val="18"/>
          <w:color w:val="auto"/>
        </w:rPr>
        <w:t>When all payments to be made pursuant to Clause 8.3.2 have been received on the respective bank accounts, the Seller and the Purchaser shall execute the Closing Protocol. For the avoidance of doubt, the time when all such payments have been made is the time when the transfer of the Shares becomes effective (Clause 2.1.2).</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8.4.2</w:t>
      </w:r>
      <w:r>
        <w:rPr>
          <w:sz w:val="20"/>
          <w:szCs w:val="20"/>
          <w:color w:val="auto"/>
        </w:rPr>
        <w:tab/>
      </w:r>
      <w:r>
        <w:rPr>
          <w:rFonts w:ascii="Arial" w:cs="Arial" w:eastAsia="Arial" w:hAnsi="Arial"/>
          <w:sz w:val="18"/>
          <w:szCs w:val="18"/>
          <w:color w:val="auto"/>
        </w:rPr>
        <w:t>The acting notary is hereby instructed to take the following actions after receiving a certified copy of the executed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Closing Protocol or upon receiving concurring instructions to that effect from Seller and Purchaser:</w:t>
      </w:r>
    </w:p>
    <w:p>
      <w:pPr>
        <w:spacing w:after="0" w:line="92" w:lineRule="exact"/>
        <w:rPr>
          <w:sz w:val="20"/>
          <w:szCs w:val="20"/>
          <w:color w:val="auto"/>
        </w:rPr>
      </w:pPr>
    </w:p>
    <w:p>
      <w:pPr>
        <w:ind w:left="1140" w:hanging="497"/>
        <w:spacing w:after="0"/>
        <w:tabs>
          <w:tab w:leader="none" w:pos="1140" w:val="left"/>
        </w:tabs>
        <w:numPr>
          <w:ilvl w:val="0"/>
          <w:numId w:val="554"/>
        </w:numPr>
        <w:rPr>
          <w:rFonts w:ascii="Arial" w:cs="Arial" w:eastAsia="Arial" w:hAnsi="Arial"/>
          <w:sz w:val="20"/>
          <w:szCs w:val="20"/>
          <w:color w:val="auto"/>
        </w:rPr>
      </w:pPr>
      <w:r>
        <w:rPr>
          <w:rFonts w:ascii="Arial" w:cs="Arial" w:eastAsia="Arial" w:hAnsi="Arial"/>
          <w:sz w:val="20"/>
          <w:szCs w:val="20"/>
          <w:color w:val="auto"/>
        </w:rPr>
        <w:t>to submit an amended list of shareholders of the Company to the commercial register;</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54"/>
        </w:numPr>
        <w:rPr>
          <w:rFonts w:ascii="Arial" w:cs="Arial" w:eastAsia="Arial" w:hAnsi="Arial"/>
          <w:sz w:val="20"/>
          <w:szCs w:val="20"/>
          <w:color w:val="auto"/>
        </w:rPr>
      </w:pPr>
      <w:r>
        <w:rPr>
          <w:rFonts w:ascii="Arial" w:cs="Arial" w:eastAsia="Arial" w:hAnsi="Arial"/>
          <w:sz w:val="20"/>
          <w:szCs w:val="20"/>
          <w:color w:val="auto"/>
        </w:rPr>
        <w:t>to attach the Closing Protocol to the deed in which this Agreement is recorded; and</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54"/>
        </w:numPr>
        <w:rPr>
          <w:rFonts w:ascii="Arial" w:cs="Arial" w:eastAsia="Arial" w:hAnsi="Arial"/>
          <w:sz w:val="20"/>
          <w:szCs w:val="20"/>
          <w:color w:val="auto"/>
        </w:rPr>
      </w:pPr>
      <w:r>
        <w:rPr>
          <w:rFonts w:ascii="Arial" w:cs="Arial" w:eastAsia="Arial" w:hAnsi="Arial"/>
          <w:sz w:val="20"/>
          <w:szCs w:val="20"/>
          <w:color w:val="auto"/>
        </w:rPr>
        <w:t>to provide copies of each of the foregoing documents to the Parties.</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Waiver of Closing Events</w:t>
      </w:r>
    </w:p>
    <w:p>
      <w:pPr>
        <w:spacing w:after="0" w:line="11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8.5.1</w:t>
      </w:r>
      <w:r>
        <w:rPr>
          <w:sz w:val="20"/>
          <w:szCs w:val="20"/>
          <w:color w:val="auto"/>
        </w:rPr>
        <w:tab/>
      </w:r>
      <w:r>
        <w:rPr>
          <w:rFonts w:ascii="Arial" w:cs="Arial" w:eastAsia="Arial" w:hAnsi="Arial"/>
          <w:sz w:val="16"/>
          <w:szCs w:val="16"/>
          <w:color w:val="auto"/>
        </w:rPr>
        <w:t>The Purchaser may waive the occurrence of each of the Closing Events referred to in Clause 8.2.</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8.5.2</w:t>
      </w:r>
      <w:r>
        <w:rPr>
          <w:sz w:val="20"/>
          <w:szCs w:val="20"/>
          <w:color w:val="auto"/>
        </w:rPr>
        <w:tab/>
      </w:r>
      <w:r>
        <w:rPr>
          <w:rFonts w:ascii="Arial" w:cs="Arial" w:eastAsia="Arial" w:hAnsi="Arial"/>
          <w:sz w:val="16"/>
          <w:szCs w:val="16"/>
          <w:color w:val="auto"/>
        </w:rPr>
        <w:t>The Seller may waive the occurrence of each of the Closing Events referred to in Clause 8.3.</w:t>
      </w:r>
    </w:p>
    <w:p>
      <w:pPr>
        <w:spacing w:after="0" w:line="108" w:lineRule="exact"/>
        <w:rPr>
          <w:sz w:val="20"/>
          <w:szCs w:val="20"/>
          <w:color w:val="auto"/>
        </w:rPr>
      </w:pPr>
    </w:p>
    <w:p>
      <w:pPr>
        <w:jc w:val="both"/>
        <w:ind w:left="640" w:right="20" w:hanging="634"/>
        <w:spacing w:after="0" w:line="250" w:lineRule="auto"/>
        <w:tabs>
          <w:tab w:leader="none" w:pos="620" w:val="left"/>
        </w:tabs>
        <w:rPr>
          <w:sz w:val="20"/>
          <w:szCs w:val="20"/>
          <w:color w:val="auto"/>
        </w:rPr>
      </w:pPr>
      <w:r>
        <w:rPr>
          <w:rFonts w:ascii="Arial" w:cs="Arial" w:eastAsia="Arial" w:hAnsi="Arial"/>
          <w:sz w:val="20"/>
          <w:szCs w:val="20"/>
          <w:color w:val="auto"/>
        </w:rPr>
        <w:t>8.5.3</w:t>
        <w:tab/>
        <w:t>When a Party waives the occurrence of a Closing Event, the relevant action shall no longer be a Closing Event but such waiver does not affect the obligation of the other Party to promptly take the relevant action unless expressly released from having to do so by the waiving Party.</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8"/>
          <w:szCs w:val="18"/>
          <w:b w:val="1"/>
          <w:bCs w:val="1"/>
          <w:color w:val="auto"/>
        </w:rPr>
        <w:t>Termination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may be terminated by declaring rescission (</w:t>
      </w:r>
      <w:r>
        <w:rPr>
          <w:rFonts w:ascii="Arial" w:cs="Arial" w:eastAsia="Arial" w:hAnsi="Arial"/>
          <w:sz w:val="20"/>
          <w:szCs w:val="20"/>
          <w:i w:val="1"/>
          <w:iCs w:val="1"/>
          <w:color w:val="auto"/>
        </w:rPr>
        <w:t>Rücktritt vom Vertrag</w:t>
      </w:r>
      <w:r>
        <w:rPr>
          <w:rFonts w:ascii="Arial" w:cs="Arial" w:eastAsia="Arial" w:hAnsi="Arial"/>
          <w:sz w:val="20"/>
          <w:szCs w:val="20"/>
          <w:color w:val="auto"/>
        </w:rPr>
        <w:t>):</w:t>
      </w:r>
    </w:p>
    <w:p>
      <w:pPr>
        <w:spacing w:after="0" w:line="108" w:lineRule="exact"/>
        <w:rPr>
          <w:sz w:val="20"/>
          <w:szCs w:val="20"/>
          <w:color w:val="auto"/>
        </w:rPr>
      </w:pPr>
    </w:p>
    <w:p>
      <w:pPr>
        <w:ind w:left="1140" w:hanging="497"/>
        <w:spacing w:after="0"/>
        <w:tabs>
          <w:tab w:leader="none" w:pos="1140" w:val="left"/>
        </w:tabs>
        <w:numPr>
          <w:ilvl w:val="0"/>
          <w:numId w:val="555"/>
        </w:numPr>
        <w:rPr>
          <w:rFonts w:ascii="Arial" w:cs="Arial" w:eastAsia="Arial" w:hAnsi="Arial"/>
          <w:sz w:val="20"/>
          <w:szCs w:val="20"/>
          <w:color w:val="auto"/>
        </w:rPr>
      </w:pPr>
      <w:r>
        <w:rPr>
          <w:rFonts w:ascii="Arial" w:cs="Arial" w:eastAsia="Arial" w:hAnsi="Arial"/>
          <w:sz w:val="20"/>
          <w:szCs w:val="20"/>
          <w:color w:val="auto"/>
        </w:rPr>
        <w:t>by written notice from the Seller to the Purchaser, in the event the Purchaser</w:t>
      </w:r>
    </w:p>
    <w:p>
      <w:pPr>
        <w:spacing w:after="0" w:line="107" w:lineRule="exact"/>
        <w:rPr>
          <w:rFonts w:ascii="Arial" w:cs="Arial" w:eastAsia="Arial" w:hAnsi="Arial"/>
          <w:sz w:val="20"/>
          <w:szCs w:val="20"/>
          <w:color w:val="auto"/>
        </w:rPr>
      </w:pPr>
    </w:p>
    <w:p>
      <w:pPr>
        <w:ind w:left="1660" w:right="20" w:hanging="504"/>
        <w:spacing w:after="0" w:line="260" w:lineRule="auto"/>
        <w:tabs>
          <w:tab w:leader="none" w:pos="1660" w:val="left"/>
        </w:tabs>
        <w:numPr>
          <w:ilvl w:val="1"/>
          <w:numId w:val="555"/>
        </w:numPr>
        <w:rPr>
          <w:rFonts w:ascii="Arial" w:cs="Arial" w:eastAsia="Arial" w:hAnsi="Arial"/>
          <w:sz w:val="20"/>
          <w:szCs w:val="20"/>
          <w:color w:val="auto"/>
        </w:rPr>
      </w:pPr>
      <w:r>
        <w:rPr>
          <w:rFonts w:ascii="Arial" w:cs="Arial" w:eastAsia="Arial" w:hAnsi="Arial"/>
          <w:sz w:val="20"/>
          <w:szCs w:val="20"/>
          <w:color w:val="auto"/>
        </w:rPr>
        <w:t>fails to perform in any material respect any of its agreements contained herein required to be performed by it at or prior to the Closing; or</w:t>
      </w:r>
    </w:p>
    <w:p>
      <w:pPr>
        <w:spacing w:after="0" w:line="68" w:lineRule="exact"/>
        <w:rPr>
          <w:rFonts w:ascii="Arial" w:cs="Arial" w:eastAsia="Arial" w:hAnsi="Arial"/>
          <w:sz w:val="20"/>
          <w:szCs w:val="20"/>
          <w:color w:val="auto"/>
        </w:rPr>
      </w:pPr>
    </w:p>
    <w:p>
      <w:pPr>
        <w:ind w:left="1660" w:right="20" w:hanging="504"/>
        <w:spacing w:after="0" w:line="260" w:lineRule="auto"/>
        <w:tabs>
          <w:tab w:leader="none" w:pos="1660" w:val="left"/>
        </w:tabs>
        <w:numPr>
          <w:ilvl w:val="1"/>
          <w:numId w:val="555"/>
        </w:numPr>
        <w:rPr>
          <w:rFonts w:ascii="Arial" w:cs="Arial" w:eastAsia="Arial" w:hAnsi="Arial"/>
          <w:sz w:val="20"/>
          <w:szCs w:val="20"/>
          <w:color w:val="auto"/>
        </w:rPr>
      </w:pPr>
      <w:r>
        <w:rPr>
          <w:rFonts w:ascii="Arial" w:cs="Arial" w:eastAsia="Arial" w:hAnsi="Arial"/>
          <w:sz w:val="20"/>
          <w:szCs w:val="20"/>
          <w:color w:val="auto"/>
        </w:rPr>
        <w:t>materially breaches any of the Purchaser Warranties provided that for purposes of this subclause 8.6b) (ii) “material” shall have the meaning defined in Clause 7.1.1d),</w:t>
      </w:r>
    </w:p>
    <w:p>
      <w:pPr>
        <w:spacing w:after="0" w:line="69" w:lineRule="exact"/>
        <w:rPr>
          <w:sz w:val="20"/>
          <w:szCs w:val="20"/>
          <w:color w:val="auto"/>
        </w:rPr>
      </w:pPr>
    </w:p>
    <w:p>
      <w:pPr>
        <w:jc w:val="both"/>
        <w:ind w:left="1160"/>
        <w:spacing w:after="0" w:line="250" w:lineRule="auto"/>
        <w:rPr>
          <w:sz w:val="20"/>
          <w:szCs w:val="20"/>
          <w:color w:val="auto"/>
        </w:rPr>
      </w:pPr>
      <w:r>
        <w:rPr>
          <w:rFonts w:ascii="Arial" w:cs="Arial" w:eastAsia="Arial" w:hAnsi="Arial"/>
          <w:sz w:val="20"/>
          <w:szCs w:val="20"/>
          <w:color w:val="auto"/>
        </w:rPr>
        <w:t>in the cases of both (i) and (ii) provided that such failure or breach is not cured within twenty (20) days following the Seller having notified the Purchaser of its intent to terminate this Agreement pursuant to this Sub-Clause 8.6a);</w:t>
      </w:r>
    </w:p>
    <w:p>
      <w:pPr>
        <w:spacing w:after="0" w:line="78" w:lineRule="exact"/>
        <w:rPr>
          <w:sz w:val="20"/>
          <w:szCs w:val="20"/>
          <w:color w:val="auto"/>
        </w:rPr>
      </w:pPr>
    </w:p>
    <w:p>
      <w:pPr>
        <w:ind w:left="1140" w:hanging="497"/>
        <w:spacing w:after="0"/>
        <w:tabs>
          <w:tab w:leader="none" w:pos="1140" w:val="left"/>
        </w:tabs>
        <w:numPr>
          <w:ilvl w:val="0"/>
          <w:numId w:val="556"/>
        </w:numPr>
        <w:rPr>
          <w:rFonts w:ascii="Arial" w:cs="Arial" w:eastAsia="Arial" w:hAnsi="Arial"/>
          <w:sz w:val="20"/>
          <w:szCs w:val="20"/>
          <w:color w:val="auto"/>
        </w:rPr>
      </w:pPr>
      <w:r>
        <w:rPr>
          <w:rFonts w:ascii="Arial" w:cs="Arial" w:eastAsia="Arial" w:hAnsi="Arial"/>
          <w:sz w:val="20"/>
          <w:szCs w:val="20"/>
          <w:color w:val="auto"/>
        </w:rPr>
        <w:t>by written notice from the Purchaser to the Seller:</w:t>
      </w:r>
    </w:p>
    <w:p>
      <w:pPr>
        <w:spacing w:after="0" w:line="107" w:lineRule="exact"/>
        <w:rPr>
          <w:rFonts w:ascii="Arial" w:cs="Arial" w:eastAsia="Arial" w:hAnsi="Arial"/>
          <w:sz w:val="20"/>
          <w:szCs w:val="20"/>
          <w:color w:val="auto"/>
        </w:rPr>
      </w:pPr>
    </w:p>
    <w:p>
      <w:pPr>
        <w:ind w:left="1660" w:hanging="504"/>
        <w:spacing w:after="0" w:line="260" w:lineRule="auto"/>
        <w:tabs>
          <w:tab w:leader="none" w:pos="1660" w:val="left"/>
        </w:tabs>
        <w:numPr>
          <w:ilvl w:val="1"/>
          <w:numId w:val="556"/>
        </w:numPr>
        <w:rPr>
          <w:rFonts w:ascii="Arial" w:cs="Arial" w:eastAsia="Arial" w:hAnsi="Arial"/>
          <w:sz w:val="20"/>
          <w:szCs w:val="20"/>
          <w:color w:val="auto"/>
        </w:rPr>
      </w:pPr>
      <w:r>
        <w:rPr>
          <w:rFonts w:ascii="Arial" w:cs="Arial" w:eastAsia="Arial" w:hAnsi="Arial"/>
          <w:sz w:val="20"/>
          <w:szCs w:val="20"/>
          <w:color w:val="auto"/>
        </w:rPr>
        <w:t>in the event the Seller or a Shareholder fails to perform in any material respect any of their agreements contained herein required to be performed by them at or prior to the Closing; or</w:t>
      </w:r>
    </w:p>
    <w:p>
      <w:pPr>
        <w:spacing w:after="0" w:line="68" w:lineRule="exact"/>
        <w:rPr>
          <w:rFonts w:ascii="Arial" w:cs="Arial" w:eastAsia="Arial" w:hAnsi="Arial"/>
          <w:sz w:val="20"/>
          <w:szCs w:val="20"/>
          <w:color w:val="auto"/>
        </w:rPr>
      </w:pPr>
    </w:p>
    <w:p>
      <w:pPr>
        <w:ind w:left="1660" w:hanging="504"/>
        <w:spacing w:after="0" w:line="287" w:lineRule="auto"/>
        <w:tabs>
          <w:tab w:leader="none" w:pos="1660" w:val="left"/>
        </w:tabs>
        <w:numPr>
          <w:ilvl w:val="1"/>
          <w:numId w:val="556"/>
        </w:numPr>
        <w:rPr>
          <w:rFonts w:ascii="Arial" w:cs="Arial" w:eastAsia="Arial" w:hAnsi="Arial"/>
          <w:sz w:val="19"/>
          <w:szCs w:val="19"/>
          <w:color w:val="auto"/>
        </w:rPr>
      </w:pPr>
      <w:r>
        <w:rPr>
          <w:rFonts w:ascii="Arial" w:cs="Arial" w:eastAsia="Arial" w:hAnsi="Arial"/>
          <w:sz w:val="19"/>
          <w:szCs w:val="19"/>
          <w:color w:val="auto"/>
        </w:rPr>
        <w:t>materially breaches any of the Seller Warranties mentioned in Clause 7.1.1d) provided that for purposes of this subclause 8.6b)(ii) “material” shall have the meaning defined in Clause 7.1.1d),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4880" w:hanging="111"/>
        <w:spacing w:after="0"/>
        <w:tabs>
          <w:tab w:leader="none" w:pos="4880" w:val="left"/>
        </w:tabs>
        <w:numPr>
          <w:ilvl w:val="2"/>
          <w:numId w:val="556"/>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2" w:name="page513"/>
    <w:bookmarkEnd w:id="512"/>
    <w:p>
      <w:pPr>
        <w:jc w:val="both"/>
        <w:ind w:left="660"/>
        <w:spacing w:after="0" w:line="250" w:lineRule="auto"/>
        <w:rPr>
          <w:sz w:val="20"/>
          <w:szCs w:val="20"/>
          <w:color w:val="auto"/>
        </w:rPr>
      </w:pPr>
      <w:r>
        <w:rPr>
          <w:rFonts w:ascii="Arial" w:cs="Arial" w:eastAsia="Arial" w:hAnsi="Arial"/>
          <w:sz w:val="20"/>
          <w:szCs w:val="20"/>
          <w:color w:val="auto"/>
        </w:rPr>
        <w:t>in the cases of both (i) and (ii) provided that such failure or breach is not cured within twenty (20) days following the Purchaser having notified the Seller of its intent to terminate this Agreement pursuant to this Sub-Clause 8.6b); or</w:t>
      </w:r>
    </w:p>
    <w:p>
      <w:pPr>
        <w:spacing w:after="0" w:line="78" w:lineRule="exact"/>
        <w:rPr>
          <w:sz w:val="20"/>
          <w:szCs w:val="20"/>
          <w:color w:val="auto"/>
        </w:rPr>
      </w:pPr>
    </w:p>
    <w:p>
      <w:pPr>
        <w:jc w:val="both"/>
        <w:ind w:left="1140" w:hanging="497"/>
        <w:spacing w:after="0" w:line="246" w:lineRule="auto"/>
        <w:tabs>
          <w:tab w:leader="none" w:pos="1140" w:val="left"/>
        </w:tabs>
        <w:numPr>
          <w:ilvl w:val="0"/>
          <w:numId w:val="557"/>
        </w:numPr>
        <w:rPr>
          <w:rFonts w:ascii="Arial" w:cs="Arial" w:eastAsia="Arial" w:hAnsi="Arial"/>
          <w:sz w:val="20"/>
          <w:szCs w:val="20"/>
          <w:color w:val="auto"/>
        </w:rPr>
      </w:pPr>
      <w:r>
        <w:rPr>
          <w:rFonts w:ascii="Arial" w:cs="Arial" w:eastAsia="Arial" w:hAnsi="Arial"/>
          <w:sz w:val="20"/>
          <w:szCs w:val="20"/>
          <w:color w:val="auto"/>
        </w:rPr>
        <w:t>by written notice by the Seller to the Purchaser or the Purchaser to the Seller, as the case may be, in the event the Closing has not occurred on or prior to the date falling six months following the date hereof (the “</w:t>
      </w:r>
      <w:r>
        <w:rPr>
          <w:rFonts w:ascii="Arial" w:cs="Arial" w:eastAsia="Arial" w:hAnsi="Arial"/>
          <w:sz w:val="20"/>
          <w:szCs w:val="20"/>
          <w:b w:val="1"/>
          <w:bCs w:val="1"/>
          <w:color w:val="auto"/>
        </w:rPr>
        <w:t>Expiration Date</w:t>
      </w:r>
      <w:r>
        <w:rPr>
          <w:rFonts w:ascii="Arial" w:cs="Arial" w:eastAsia="Arial" w:hAnsi="Arial"/>
          <w:sz w:val="20"/>
          <w:szCs w:val="20"/>
          <w:color w:val="auto"/>
        </w:rPr>
        <w:t>”) for any reason other than delay or non-performance of the Party seeking such termination.</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avoidance of doubt, no termination of this Agreement is possible after the Closing.</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8"/>
          <w:szCs w:val="18"/>
          <w:b w:val="1"/>
          <w:bCs w:val="1"/>
          <w:color w:val="auto"/>
        </w:rPr>
        <w:t>Effect of Termination</w:t>
      </w:r>
    </w:p>
    <w:p>
      <w:pPr>
        <w:spacing w:after="0" w:line="114"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In the event of termination of this Agreement pursuant to Clause 8.6, this Agreement shall be of no further effect and there shall be no further liability on the part of any Party or its partners, Officers or Directors, except for obligations under Sub-Clause 14.1 (Public Announcements), Sub-Clause 14.3 (Notices), Sub-Clause 14.7 (Governing Law), Sub-Clause 14.8 (Dispute Resolution) and Sub-Clause 14.12 (Transaction Costs) and this Sub-Clause 8.7, all of which shall survive the Termination Date, provided that the costs of notarisation of this Agreement and of all declarations made in connection therewith and the costs of the data room services shall be borne as follows:</w:t>
      </w:r>
    </w:p>
    <w:p>
      <w:pPr>
        <w:spacing w:after="0" w:line="57" w:lineRule="exact"/>
        <w:rPr>
          <w:sz w:val="20"/>
          <w:szCs w:val="20"/>
          <w:color w:val="auto"/>
        </w:rPr>
      </w:pPr>
    </w:p>
    <w:p>
      <w:pPr>
        <w:ind w:left="1140" w:hanging="497"/>
        <w:spacing w:after="0"/>
        <w:tabs>
          <w:tab w:leader="none" w:pos="1140" w:val="left"/>
        </w:tabs>
        <w:numPr>
          <w:ilvl w:val="0"/>
          <w:numId w:val="558"/>
        </w:numPr>
        <w:rPr>
          <w:rFonts w:ascii="Arial" w:cs="Arial" w:eastAsia="Arial" w:hAnsi="Arial"/>
          <w:sz w:val="20"/>
          <w:szCs w:val="20"/>
          <w:color w:val="auto"/>
        </w:rPr>
      </w:pPr>
      <w:r>
        <w:rPr>
          <w:rFonts w:ascii="Arial" w:cs="Arial" w:eastAsia="Arial" w:hAnsi="Arial"/>
          <w:sz w:val="20"/>
          <w:szCs w:val="20"/>
          <w:color w:val="auto"/>
        </w:rPr>
        <w:t>by the Purchaser in the event of termination pursuant to Clause 8.6a);</w:t>
      </w:r>
    </w:p>
    <w:p>
      <w:pPr>
        <w:spacing w:after="0" w:line="107" w:lineRule="exact"/>
        <w:rPr>
          <w:rFonts w:ascii="Arial" w:cs="Arial" w:eastAsia="Arial" w:hAnsi="Arial"/>
          <w:sz w:val="20"/>
          <w:szCs w:val="20"/>
          <w:color w:val="auto"/>
        </w:rPr>
      </w:pPr>
    </w:p>
    <w:p>
      <w:pPr>
        <w:ind w:left="1140" w:hanging="497"/>
        <w:spacing w:after="0"/>
        <w:tabs>
          <w:tab w:leader="none" w:pos="1140" w:val="left"/>
        </w:tabs>
        <w:numPr>
          <w:ilvl w:val="0"/>
          <w:numId w:val="558"/>
        </w:numPr>
        <w:rPr>
          <w:rFonts w:ascii="Arial" w:cs="Arial" w:eastAsia="Arial" w:hAnsi="Arial"/>
          <w:sz w:val="20"/>
          <w:szCs w:val="20"/>
          <w:color w:val="auto"/>
        </w:rPr>
      </w:pPr>
      <w:r>
        <w:rPr>
          <w:rFonts w:ascii="Arial" w:cs="Arial" w:eastAsia="Arial" w:hAnsi="Arial"/>
          <w:sz w:val="20"/>
          <w:szCs w:val="20"/>
          <w:color w:val="auto"/>
        </w:rPr>
        <w:t>by the Seller in the case of termination pursuant to Clause 8.6b);</w:t>
      </w:r>
    </w:p>
    <w:p>
      <w:pPr>
        <w:spacing w:after="0" w:line="107" w:lineRule="exact"/>
        <w:rPr>
          <w:rFonts w:ascii="Arial" w:cs="Arial" w:eastAsia="Arial" w:hAnsi="Arial"/>
          <w:sz w:val="20"/>
          <w:szCs w:val="20"/>
          <w:color w:val="auto"/>
        </w:rPr>
      </w:pPr>
    </w:p>
    <w:p>
      <w:pPr>
        <w:jc w:val="both"/>
        <w:ind w:left="1140" w:hanging="497"/>
        <w:spacing w:after="0" w:line="291" w:lineRule="auto"/>
        <w:tabs>
          <w:tab w:leader="none" w:pos="114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costs of the data room services by the Purchaser and the other costs by the Seller and the Purchaser at 50% each in the event of termination pursuant to Clause 8.6c) unless any Party should be at fault for the non-occurring of the Closing (</w:t>
      </w:r>
      <w:r>
        <w:rPr>
          <w:rFonts w:ascii="Arial" w:cs="Arial" w:eastAsia="Arial" w:hAnsi="Arial"/>
          <w:sz w:val="18"/>
          <w:szCs w:val="18"/>
          <w:i w:val="1"/>
          <w:iCs w:val="1"/>
          <w:color w:val="auto"/>
        </w:rPr>
        <w:t>es schuldhaft verursacht haben</w:t>
      </w:r>
      <w:r>
        <w:rPr>
          <w:rFonts w:ascii="Arial" w:cs="Arial" w:eastAsia="Arial" w:hAnsi="Arial"/>
          <w:sz w:val="18"/>
          <w:szCs w:val="18"/>
          <w:color w:val="auto"/>
        </w:rPr>
        <w:t>) in which case such Party shall bear such costs.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nothing contained herein shall relieve any Party from liability for any breach hereof.</w:t>
      </w:r>
    </w:p>
    <w:p>
      <w:pPr>
        <w:spacing w:after="0" w:line="125" w:lineRule="exact"/>
        <w:rPr>
          <w:sz w:val="20"/>
          <w:szCs w:val="20"/>
          <w:color w:val="auto"/>
        </w:rPr>
      </w:pPr>
    </w:p>
    <w:p>
      <w:pPr>
        <w:ind w:left="640" w:hanging="632"/>
        <w:spacing w:after="0"/>
        <w:tabs>
          <w:tab w:leader="none" w:pos="640" w:val="left"/>
        </w:tabs>
        <w:numPr>
          <w:ilvl w:val="0"/>
          <w:numId w:val="559"/>
        </w:numPr>
        <w:rPr>
          <w:rFonts w:ascii="Arial" w:cs="Arial" w:eastAsia="Arial" w:hAnsi="Arial"/>
          <w:sz w:val="20"/>
          <w:szCs w:val="20"/>
          <w:b w:val="1"/>
          <w:bCs w:val="1"/>
          <w:color w:val="auto"/>
        </w:rPr>
      </w:pPr>
      <w:r>
        <w:rPr>
          <w:rFonts w:ascii="Arial" w:cs="Arial" w:eastAsia="Arial" w:hAnsi="Arial"/>
          <w:sz w:val="20"/>
          <w:szCs w:val="20"/>
          <w:b w:val="1"/>
          <w:bCs w:val="1"/>
          <w:color w:val="auto"/>
        </w:rPr>
        <w:t>TAX MATTERS</w:t>
      </w:r>
    </w:p>
    <w:p>
      <w:pPr>
        <w:spacing w:after="0" w:line="114" w:lineRule="exact"/>
        <w:rPr>
          <w:sz w:val="20"/>
          <w:szCs w:val="20"/>
          <w:color w:val="auto"/>
        </w:rPr>
      </w:pPr>
    </w:p>
    <w:p>
      <w:pPr>
        <w:jc w:val="both"/>
        <w:ind w:left="640" w:hanging="634"/>
        <w:spacing w:after="0" w:line="243" w:lineRule="auto"/>
        <w:tabs>
          <w:tab w:leader="none" w:pos="62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20"/>
          <w:szCs w:val="20"/>
          <w:u w:val="single" w:color="auto"/>
          <w:color w:val="auto"/>
        </w:rPr>
        <w:t>Tax Periods Ending on or Before the Locked Box Date</w:t>
      </w:r>
      <w:r>
        <w:rPr>
          <w:rFonts w:ascii="Arial" w:cs="Arial" w:eastAsia="Arial" w:hAnsi="Arial"/>
          <w:sz w:val="20"/>
          <w:szCs w:val="20"/>
          <w:color w:val="auto"/>
        </w:rPr>
        <w:t>. The Purchaser shall prepare or cause to be prepared and file</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cause to be filed all Tax Returns of the Group Companies for all periods ending on or prior to the Locked Box Date which are filed after the Closing Date. The Purchaser shall be reimbursed by the Seller for Taxes of the Group Companies with respect to all taxable periods ending on or before the Closing Date within fifteen (15) days after payment by the Purchaser or a Group Company of such Taxes. The preceding claim for reimbursement does not apply to the extent that</w:t>
      </w:r>
    </w:p>
    <w:p>
      <w:pPr>
        <w:spacing w:after="0" w:line="88" w:lineRule="exact"/>
        <w:rPr>
          <w:sz w:val="20"/>
          <w:szCs w:val="20"/>
          <w:color w:val="auto"/>
        </w:rPr>
      </w:pPr>
    </w:p>
    <w:p>
      <w:pPr>
        <w:ind w:left="1300" w:hanging="333"/>
        <w:spacing w:after="0"/>
        <w:tabs>
          <w:tab w:leader="none" w:pos="1300" w:val="left"/>
        </w:tabs>
        <w:numPr>
          <w:ilvl w:val="0"/>
          <w:numId w:val="560"/>
        </w:numPr>
        <w:rPr>
          <w:rFonts w:ascii="Arial" w:cs="Arial" w:eastAsia="Arial" w:hAnsi="Arial"/>
          <w:sz w:val="20"/>
          <w:szCs w:val="20"/>
          <w:color w:val="auto"/>
        </w:rPr>
      </w:pPr>
      <w:r>
        <w:rPr>
          <w:rFonts w:ascii="Arial" w:cs="Arial" w:eastAsia="Arial" w:hAnsi="Arial"/>
          <w:sz w:val="20"/>
          <w:szCs w:val="20"/>
          <w:color w:val="auto"/>
        </w:rPr>
        <w:t>such Taxes were reflected as a liability in the Financial Statements as of the Locked Box Date;</w:t>
      </w:r>
    </w:p>
    <w:p>
      <w:pPr>
        <w:spacing w:after="0" w:line="107" w:lineRule="exact"/>
        <w:rPr>
          <w:rFonts w:ascii="Arial" w:cs="Arial" w:eastAsia="Arial" w:hAnsi="Arial"/>
          <w:sz w:val="20"/>
          <w:szCs w:val="20"/>
          <w:color w:val="auto"/>
        </w:rPr>
      </w:pPr>
    </w:p>
    <w:p>
      <w:pPr>
        <w:jc w:val="both"/>
        <w:ind w:left="1300" w:hanging="333"/>
        <w:spacing w:after="0" w:line="243" w:lineRule="auto"/>
        <w:tabs>
          <w:tab w:leader="none" w:pos="1300" w:val="left"/>
        </w:tabs>
        <w:numPr>
          <w:ilvl w:val="0"/>
          <w:numId w:val="560"/>
        </w:numPr>
        <w:rPr>
          <w:rFonts w:ascii="Arial" w:cs="Arial" w:eastAsia="Arial" w:hAnsi="Arial"/>
          <w:sz w:val="20"/>
          <w:szCs w:val="20"/>
          <w:color w:val="auto"/>
        </w:rPr>
      </w:pPr>
      <w:r>
        <w:rPr>
          <w:rFonts w:ascii="Arial" w:cs="Arial" w:eastAsia="Arial" w:hAnsi="Arial"/>
          <w:sz w:val="20"/>
          <w:szCs w:val="20"/>
          <w:color w:val="auto"/>
        </w:rPr>
        <w:t>the Purchaser or the respective Group Company is, as the result of an adjustment or payment giving rise to such Taxes, entitled to any benefits by refund, reduction or set-off of Taxes in periods after the Locked Box Date (e.g. in the case of a lengthening of amortization or depreciation periods or higher depreciation allowances) provided that such future Tax benefits shall be considered only to the extent relating to a period of five (5) years following the Locked Box Date and shall be discounted using a discount rate of 1.5 % p.a. as of the Locked Box Date;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ind w:left="4880" w:hanging="111"/>
        <w:spacing w:after="0"/>
        <w:tabs>
          <w:tab w:leader="none" w:pos="488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3" w:name="page514"/>
    <w:bookmarkEnd w:id="513"/>
    <w:p>
      <w:pPr>
        <w:jc w:val="both"/>
        <w:ind w:left="1300" w:hanging="333"/>
        <w:spacing w:after="0" w:line="250" w:lineRule="auto"/>
        <w:tabs>
          <w:tab w:leader="none" w:pos="130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the Taxes result from any change in the accounting or taxation principles or practices of the Purchaser or the respective Group Company introduced after the Locked Box Date unless such change is required by mandatory law;</w:t>
      </w:r>
    </w:p>
    <w:p>
      <w:pPr>
        <w:spacing w:after="0" w:line="77" w:lineRule="exact"/>
        <w:rPr>
          <w:rFonts w:ascii="Arial" w:cs="Arial" w:eastAsia="Arial" w:hAnsi="Arial"/>
          <w:sz w:val="20"/>
          <w:szCs w:val="20"/>
          <w:color w:val="auto"/>
        </w:rPr>
      </w:pPr>
    </w:p>
    <w:p>
      <w:pPr>
        <w:jc w:val="both"/>
        <w:ind w:left="1300" w:hanging="333"/>
        <w:spacing w:after="0" w:line="250" w:lineRule="auto"/>
        <w:tabs>
          <w:tab w:leader="none" w:pos="130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the Taxes result from any restructuring or reorganisation of the respective Group Company or the Business introduced after the Locked Box Date which has retroactive Tax effect unless such restructuring or reorganisation is required by mandatory law;</w:t>
      </w:r>
    </w:p>
    <w:p>
      <w:pPr>
        <w:spacing w:after="0" w:line="77" w:lineRule="exact"/>
        <w:rPr>
          <w:rFonts w:ascii="Arial" w:cs="Arial" w:eastAsia="Arial" w:hAnsi="Arial"/>
          <w:sz w:val="20"/>
          <w:szCs w:val="20"/>
          <w:color w:val="auto"/>
        </w:rPr>
      </w:pPr>
    </w:p>
    <w:p>
      <w:pPr>
        <w:ind w:left="1300" w:hanging="333"/>
        <w:spacing w:after="0" w:line="260" w:lineRule="auto"/>
        <w:tabs>
          <w:tab w:leader="none" w:pos="130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Purchaser or the respective Group Company have a corresponding enforceable receivable or enforceable civil law claim against any third party for reimbursement; or</w:t>
      </w:r>
    </w:p>
    <w:p>
      <w:pPr>
        <w:spacing w:after="0" w:line="68" w:lineRule="exact"/>
        <w:rPr>
          <w:rFonts w:ascii="Arial" w:cs="Arial" w:eastAsia="Arial" w:hAnsi="Arial"/>
          <w:sz w:val="20"/>
          <w:szCs w:val="20"/>
          <w:color w:val="auto"/>
        </w:rPr>
      </w:pPr>
    </w:p>
    <w:p>
      <w:pPr>
        <w:ind w:left="1300" w:hanging="333"/>
        <w:spacing w:after="0" w:line="260" w:lineRule="auto"/>
        <w:tabs>
          <w:tab w:leader="none" w:pos="130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Purchaser was already reimbursed for such Taxes by another payment of the Seller pursuant to this Agreement.</w:t>
      </w:r>
    </w:p>
    <w:p>
      <w:pPr>
        <w:spacing w:after="0" w:line="69"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Parties agree that if the Purchaser raises claims against the Seller according to Clause 9.1.1 Sentence 2, and those claims could have been raised by the Purchaser according to Clause 10.1.1 b) or Clause 13 of Schedule 1, then Clause 11.2.4 a) shall apply meaning that the Claim under Clause 9.1.1 Sentence 2 could not be raised under the conditions in Clause 11.2.4a).</w:t>
      </w:r>
    </w:p>
    <w:p>
      <w:pPr>
        <w:spacing w:after="0" w:line="83"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9"/>
          <w:szCs w:val="19"/>
          <w:u w:val="single" w:color="auto"/>
          <w:color w:val="auto"/>
        </w:rPr>
        <w:t>Tax Periods Beginning Before and Ending After the Locked Box Date</w:t>
      </w:r>
      <w:r>
        <w:rPr>
          <w:rFonts w:ascii="Arial" w:cs="Arial" w:eastAsia="Arial" w:hAnsi="Arial"/>
          <w:sz w:val="19"/>
          <w:szCs w:val="19"/>
          <w:color w:val="auto"/>
        </w:rPr>
        <w:t>. The Purchaser shall prepare or cause to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prepared and file or cause to be filed any Tax Returns of each Group Company for Tax periods which begin before the Closing Date and end after the Closing Date. The Purchaser shall be reimbursed by the Seller an amount equal to the portion of such Taxes which relates to the portion of such Taxable period ending on the Locked Box Date within fifteen (15) days after payment by the Purchaser or a Group Company of such Taxes. The limitations pursuant to Sub-Clause 9.1.1 sentence 3 apply </w:t>
      </w:r>
      <w:r>
        <w:rPr>
          <w:rFonts w:ascii="Arial" w:cs="Arial" w:eastAsia="Arial" w:hAnsi="Arial"/>
          <w:sz w:val="19"/>
          <w:szCs w:val="19"/>
          <w:i w:val="1"/>
          <w:iCs w:val="1"/>
          <w:color w:val="auto"/>
        </w:rPr>
        <w:t>mutatis mutandis</w:t>
      </w:r>
      <w:r>
        <w:rPr>
          <w:rFonts w:ascii="Arial" w:cs="Arial" w:eastAsia="Arial" w:hAnsi="Arial"/>
          <w:sz w:val="19"/>
          <w:szCs w:val="19"/>
          <w:color w:val="auto"/>
        </w:rPr>
        <w:t>. For purposes of this Sub-Clause 9.1.2, in the case of any Taxes that are imposed on a periodic basis and are payable for a Taxable period that includes (but does not end on) the Locked Box Date, the portion of such Tax that relates to the portion of such Taxable period ending on the Locked Box Date shall</w:t>
      </w:r>
    </w:p>
    <w:p>
      <w:pPr>
        <w:spacing w:after="0" w:line="76" w:lineRule="exact"/>
        <w:rPr>
          <w:sz w:val="20"/>
          <w:szCs w:val="20"/>
          <w:color w:val="auto"/>
        </w:rPr>
      </w:pPr>
    </w:p>
    <w:p>
      <w:pPr>
        <w:jc w:val="both"/>
        <w:ind w:left="1140" w:hanging="497"/>
        <w:spacing w:after="0" w:line="246" w:lineRule="auto"/>
        <w:tabs>
          <w:tab w:leader="none" w:pos="114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in the case of any Taxes other than Taxes based upon or related to income or receipts, be deemed to be the amount of such Tax for the entire Taxable period multiplied by a fraction the numerator of which is the number of days in the Taxable period ending on the Locked Box Date and the denominator of which is the number of days in the entire Taxable period, and</w:t>
      </w:r>
    </w:p>
    <w:p>
      <w:pPr>
        <w:spacing w:after="0" w:line="83" w:lineRule="exact"/>
        <w:rPr>
          <w:rFonts w:ascii="Arial" w:cs="Arial" w:eastAsia="Arial" w:hAnsi="Arial"/>
          <w:sz w:val="20"/>
          <w:szCs w:val="20"/>
          <w:color w:val="auto"/>
        </w:rPr>
      </w:pPr>
    </w:p>
    <w:p>
      <w:pPr>
        <w:ind w:left="1140" w:hanging="497"/>
        <w:spacing w:after="0" w:line="260" w:lineRule="auto"/>
        <w:tabs>
          <w:tab w:leader="none" w:pos="114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in the case of any Tax based upon or related to income or receipts, be deemed equal to the amount which would be payable if the relevant Taxable period ended on the Locked Box Date.</w:t>
      </w:r>
    </w:p>
    <w:p>
      <w:pPr>
        <w:spacing w:after="0" w:line="69" w:lineRule="exact"/>
        <w:rPr>
          <w:sz w:val="20"/>
          <w:szCs w:val="20"/>
          <w:color w:val="auto"/>
        </w:rPr>
      </w:pPr>
    </w:p>
    <w:p>
      <w:pPr>
        <w:jc w:val="both"/>
        <w:ind w:left="660"/>
        <w:spacing w:after="0" w:line="291" w:lineRule="auto"/>
        <w:rPr>
          <w:sz w:val="20"/>
          <w:szCs w:val="20"/>
          <w:color w:val="auto"/>
        </w:rPr>
      </w:pPr>
      <w:r>
        <w:rPr>
          <w:rFonts w:ascii="Arial" w:cs="Arial" w:eastAsia="Arial" w:hAnsi="Arial"/>
          <w:sz w:val="18"/>
          <w:szCs w:val="18"/>
          <w:color w:val="auto"/>
        </w:rPr>
        <w:t>Any credits relating to a Taxable period that begins before and ends after the Locked Box Date shall be taken into account as though the relevant Taxable period ended on the Locked Box Date. All determinations necessary to give effect to the foregoing allocations shall be made in a manner consistent with prior practice of the Company Group.</w:t>
      </w:r>
    </w:p>
    <w:p>
      <w:pPr>
        <w:spacing w:after="0" w:line="4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9"/>
          <w:szCs w:val="19"/>
          <w:u w:val="single" w:color="auto"/>
          <w:color w:val="auto"/>
        </w:rPr>
        <w:t>Preparation of Tax Returns</w:t>
      </w:r>
      <w:r>
        <w:rPr>
          <w:rFonts w:ascii="Arial" w:cs="Arial" w:eastAsia="Arial" w:hAnsi="Arial"/>
          <w:sz w:val="19"/>
          <w:szCs w:val="19"/>
          <w:color w:val="auto"/>
        </w:rPr>
        <w:t>. The Purchaser shall provide the Seller with copies of any Tax Returns to be filed by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Purchaser pursuant to Sub-Clauses 9.1.1 and 9.1.2 at least thirty (30) days prior to the due date thereof (giving effect to any extensions thereto). All such Tax Returns to be prepared pursuant to Sub-Clauses 9.1.1 and 9.1.2 shall be prepared in a manner consistent in all material respects with past practices of the relevant Group Company, except as otherwise required by applicable Tax law. The Seller shall have the right to review and comment on such Tax Returns prior to the filing of such Tax Returns. Except as otherwise required by applicable Tax law the Purchaser shall not file any such Tax Returns without prior written consent of the Seller which may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4" w:name="page515"/>
    <w:bookmarkEnd w:id="514"/>
    <w:p>
      <w:pPr>
        <w:jc w:val="both"/>
        <w:ind w:left="640" w:hanging="634"/>
        <w:spacing w:after="0" w:line="276" w:lineRule="auto"/>
        <w:tabs>
          <w:tab w:leader="none" w:pos="62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Each Group Company, the Seller and the Purchaser shall cooperate fully, as and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extent reasonably requested by the other party, in connection with the filing of Tax Returns pursuant to this Sub-Clause and any audit, litigation or other proceeding with respect to Taxes. Such cooperation shall include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The Parties agree:</w:t>
      </w:r>
    </w:p>
    <w:p>
      <w:pPr>
        <w:spacing w:after="0" w:line="57" w:lineRule="exact"/>
        <w:rPr>
          <w:sz w:val="20"/>
          <w:szCs w:val="20"/>
          <w:color w:val="auto"/>
        </w:rPr>
      </w:pPr>
    </w:p>
    <w:p>
      <w:pPr>
        <w:jc w:val="both"/>
        <w:ind w:left="1140" w:right="20" w:hanging="497"/>
        <w:spacing w:after="0" w:line="244" w:lineRule="auto"/>
        <w:tabs>
          <w:tab w:leader="none" w:pos="1140" w:val="left"/>
        </w:tabs>
        <w:numPr>
          <w:ilvl w:val="0"/>
          <w:numId w:val="563"/>
        </w:numPr>
        <w:rPr>
          <w:rFonts w:ascii="Arial" w:cs="Arial" w:eastAsia="Arial" w:hAnsi="Arial"/>
          <w:sz w:val="20"/>
          <w:szCs w:val="20"/>
          <w:color w:val="auto"/>
        </w:rPr>
      </w:pPr>
      <w:r>
        <w:rPr>
          <w:rFonts w:ascii="Arial" w:cs="Arial" w:eastAsia="Arial" w:hAnsi="Arial"/>
          <w:sz w:val="20"/>
          <w:szCs w:val="20"/>
          <w:color w:val="auto"/>
        </w:rPr>
        <w:t>to retain, or to procure that the respective Group Company retains all books and records with respect to Tax matters pertinent to a Group Company relating to any Taxable period beginning before the Closing Date until the expiration of the statute of limitations (and, to the extent notified by the Purchaser, any extensions thereof) of the respective taxable periods, and to abide by all record retention agreements entered into with any Taxing Authority, and</w:t>
      </w:r>
    </w:p>
    <w:p>
      <w:pPr>
        <w:spacing w:after="0" w:line="86" w:lineRule="exact"/>
        <w:rPr>
          <w:rFonts w:ascii="Arial" w:cs="Arial" w:eastAsia="Arial" w:hAnsi="Arial"/>
          <w:sz w:val="20"/>
          <w:szCs w:val="20"/>
          <w:color w:val="auto"/>
        </w:rPr>
      </w:pPr>
    </w:p>
    <w:p>
      <w:pPr>
        <w:jc w:val="both"/>
        <w:ind w:left="1140" w:right="20" w:hanging="497"/>
        <w:spacing w:after="0" w:line="250" w:lineRule="auto"/>
        <w:tabs>
          <w:tab w:leader="none" w:pos="1140" w:val="left"/>
        </w:tabs>
        <w:numPr>
          <w:ilvl w:val="0"/>
          <w:numId w:val="563"/>
        </w:numPr>
        <w:rPr>
          <w:rFonts w:ascii="Arial" w:cs="Arial" w:eastAsia="Arial" w:hAnsi="Arial"/>
          <w:sz w:val="20"/>
          <w:szCs w:val="20"/>
          <w:color w:val="auto"/>
        </w:rPr>
      </w:pPr>
      <w:r>
        <w:rPr>
          <w:rFonts w:ascii="Arial" w:cs="Arial" w:eastAsia="Arial" w:hAnsi="Arial"/>
          <w:sz w:val="20"/>
          <w:szCs w:val="20"/>
          <w:color w:val="auto"/>
        </w:rPr>
        <w:t>to give the respective other Party reasonable written notice prior to transferring, destroying or discarding any such books and records and, if either Party so requests, the other Party shall allow to take possession of such books and records.</w:t>
      </w:r>
    </w:p>
    <w:p>
      <w:pPr>
        <w:spacing w:after="0" w:line="78"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The Purchaser and the Seller agree, upon request, to use their reasonable efforts to obtain any certificate or other document from any Governmental Entity or any other Person as may be necessary to mitigate, reduce or eliminate any Tax that could be imposed (including with respect to the transactions contemplated hereby).</w:t>
      </w:r>
    </w:p>
    <w:p>
      <w:pPr>
        <w:spacing w:after="0" w:line="62"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In particular, Purchaser shall procure that the Seller is informed in a timely manner, but in any event within ten (10) days, of all Tax assessments (</w:t>
      </w:r>
      <w:r>
        <w:rPr>
          <w:rFonts w:ascii="Arial" w:cs="Arial" w:eastAsia="Arial" w:hAnsi="Arial"/>
          <w:sz w:val="20"/>
          <w:szCs w:val="20"/>
          <w:i w:val="1"/>
          <w:iCs w:val="1"/>
          <w:color w:val="auto"/>
        </w:rPr>
        <w:t>Steuerbescheide</w:t>
      </w:r>
      <w:r>
        <w:rPr>
          <w:rFonts w:ascii="Arial" w:cs="Arial" w:eastAsia="Arial" w:hAnsi="Arial"/>
          <w:sz w:val="20"/>
          <w:szCs w:val="20"/>
          <w:color w:val="auto"/>
        </w:rPr>
        <w:t>) and announcements of Tax audits (</w:t>
      </w:r>
      <w:r>
        <w:rPr>
          <w:rFonts w:ascii="Arial" w:cs="Arial" w:eastAsia="Arial" w:hAnsi="Arial"/>
          <w:sz w:val="20"/>
          <w:szCs w:val="20"/>
          <w:i w:val="1"/>
          <w:iCs w:val="1"/>
          <w:color w:val="auto"/>
        </w:rPr>
        <w:t>Betriebsprüfungen</w:t>
      </w:r>
      <w:r>
        <w:rPr>
          <w:rFonts w:ascii="Arial" w:cs="Arial" w:eastAsia="Arial" w:hAnsi="Arial"/>
          <w:sz w:val="20"/>
          <w:szCs w:val="20"/>
          <w:color w:val="auto"/>
        </w:rPr>
        <w:t>) which may give rise to a claim of Purchaser regarding Taxes under this Agreement or to a claim of the Seller for a Tax refund under this Agreement. Purchaser shall procure that the Seller is provided with all relevant documents and other information reasonably required by all Seller to this extent and that the Seller shall at his request be given the opportunity to instruct, at its own expense, counsel, accountants or auditors in relation to such Tax audits and to participate in meetings with Tax authorities in relation to such Tax audits, however, taking duly into account Purchaser's interests.</w:t>
      </w:r>
    </w:p>
    <w:p>
      <w:pPr>
        <w:spacing w:after="0" w:line="89"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At Seller's costs and expense Purchaser shall take such action as the Seller may reasonably require by written notice to Purchaser to avoid, dispute, resist, appeal or otherwise defend against any claim for Taxes for which the Seller may be liable under this Agreement or to collect any claim for refund of Taxes. Purchaser shall procure that any such defence will be controlled by the Seller and that the Seller will be provided with all relevant documents, other information and assistance reasonably required by Seller for the defence. Purchaser shall be given the opportunity to participate in the defence at its own expense with their own counsel. No concession shall be made by the Seller, and no claim for Taxes shall be acknowledged or settled towards the Tax authorities, without the prior written consent of Purchaser, which consent shall not be unreasonably withheld, conditioned or delayed.</w:t>
      </w:r>
    </w:p>
    <w:p>
      <w:pPr>
        <w:spacing w:after="0" w:line="60" w:lineRule="exact"/>
        <w:rPr>
          <w:sz w:val="20"/>
          <w:szCs w:val="20"/>
          <w:color w:val="auto"/>
        </w:rPr>
      </w:pPr>
    </w:p>
    <w:p>
      <w:pPr>
        <w:jc w:val="both"/>
        <w:ind w:left="640" w:right="20" w:hanging="634"/>
        <w:spacing w:after="0" w:line="291" w:lineRule="auto"/>
        <w:tabs>
          <w:tab w:leader="none" w:pos="620" w:val="left"/>
        </w:tabs>
        <w:rPr>
          <w:sz w:val="20"/>
          <w:szCs w:val="20"/>
          <w:color w:val="auto"/>
        </w:rPr>
      </w:pPr>
      <w:r>
        <w:rPr>
          <w:rFonts w:ascii="Arial" w:cs="Arial" w:eastAsia="Arial" w:hAnsi="Arial"/>
          <w:sz w:val="20"/>
          <w:szCs w:val="20"/>
          <w:color w:val="auto"/>
        </w:rPr>
        <w:t>9.1.5</w:t>
      </w:r>
      <w:r>
        <w:rPr>
          <w:sz w:val="20"/>
          <w:szCs w:val="20"/>
          <w:color w:val="auto"/>
        </w:rPr>
        <w:tab/>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Any tax sharing agreement between the Seller and any entity other than a Group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the one hand and a Group Company on the other hand shall be terminated as of the Closing Date and shall have no further effect for any taxable year (whether the current year, a future year, or a past year).</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9.1.6</w:t>
      </w:r>
      <w:r>
        <w:rPr>
          <w:sz w:val="20"/>
          <w:szCs w:val="20"/>
          <w:color w:val="auto"/>
        </w:rPr>
        <w:tab/>
      </w:r>
      <w:r>
        <w:rPr>
          <w:rFonts w:ascii="Arial" w:cs="Arial" w:eastAsia="Arial" w:hAnsi="Arial"/>
          <w:sz w:val="16"/>
          <w:szCs w:val="16"/>
          <w:u w:val="single" w:color="auto"/>
          <w:color w:val="auto"/>
        </w:rPr>
        <w:t>Costs</w:t>
      </w:r>
      <w:r>
        <w:rPr>
          <w:rFonts w:ascii="Arial" w:cs="Arial" w:eastAsia="Arial" w:hAnsi="Arial"/>
          <w:sz w:val="16"/>
          <w:szCs w:val="16"/>
          <w:color w:val="auto"/>
        </w:rPr>
        <w:t>. Each Party shall bear its own expenses and costs in connection with the Sub-Clauses 9.1.1 to 9.1.5.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5" w:name="page516"/>
    <w:bookmarkEnd w:id="515"/>
    <w:p>
      <w:pPr>
        <w:ind w:left="640" w:hanging="632"/>
        <w:spacing w:after="0"/>
        <w:tabs>
          <w:tab w:leader="none" w:pos="640" w:val="left"/>
        </w:tabs>
        <w:numPr>
          <w:ilvl w:val="0"/>
          <w:numId w:val="564"/>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Indemnification Obligations of the Seller</w:t>
      </w:r>
    </w:p>
    <w:p>
      <w:pPr>
        <w:spacing w:after="0" w:line="114" w:lineRule="exact"/>
        <w:rPr>
          <w:sz w:val="20"/>
          <w:szCs w:val="20"/>
          <w:color w:val="auto"/>
        </w:rPr>
      </w:pPr>
    </w:p>
    <w:p>
      <w:pPr>
        <w:jc w:val="both"/>
        <w:ind w:left="640" w:hanging="634"/>
        <w:spacing w:after="0" w:line="244" w:lineRule="auto"/>
        <w:rPr>
          <w:sz w:val="20"/>
          <w:szCs w:val="20"/>
          <w:color w:val="auto"/>
        </w:rPr>
      </w:pPr>
      <w:r>
        <w:rPr>
          <w:rFonts w:ascii="Arial" w:cs="Arial" w:eastAsia="Arial" w:hAnsi="Arial"/>
          <w:sz w:val="20"/>
          <w:szCs w:val="20"/>
          <w:color w:val="auto"/>
        </w:rPr>
        <w:t>10.1.1 The Seller shall indemnify, defend and hold harmless the Purchaser Indemnified Parties from, against, and in respect of, any and all claims, liabilities, obligations, damages, losses, costs, expenses, penalties, fines and judgments whenever arising or incurred (including amounts paid in settlement, costs of investigation and reasonable attorneys’ fees and expenses), provided they fall within the meaning of damage (</w:t>
      </w:r>
      <w:r>
        <w:rPr>
          <w:rFonts w:ascii="Arial" w:cs="Arial" w:eastAsia="Arial" w:hAnsi="Arial"/>
          <w:sz w:val="20"/>
          <w:szCs w:val="20"/>
          <w:i w:val="1"/>
          <w:iCs w:val="1"/>
          <w:color w:val="auto"/>
        </w:rPr>
        <w:t>Schaden</w:t>
      </w:r>
      <w:r>
        <w:rPr>
          <w:rFonts w:ascii="Arial" w:cs="Arial" w:eastAsia="Arial" w:hAnsi="Arial"/>
          <w:sz w:val="20"/>
          <w:szCs w:val="20"/>
          <w:color w:val="auto"/>
        </w:rPr>
        <w:t>) as defined in Sections 249, 252 BGB:</w:t>
      </w:r>
    </w:p>
    <w:p>
      <w:pPr>
        <w:spacing w:after="0" w:line="86" w:lineRule="exact"/>
        <w:rPr>
          <w:sz w:val="20"/>
          <w:szCs w:val="20"/>
          <w:color w:val="auto"/>
        </w:rPr>
      </w:pPr>
    </w:p>
    <w:p>
      <w:pPr>
        <w:jc w:val="both"/>
        <w:ind w:left="1140" w:hanging="497"/>
        <w:spacing w:after="0" w:line="263" w:lineRule="auto"/>
        <w:tabs>
          <w:tab w:leader="none" w:pos="1140" w:val="left"/>
        </w:tabs>
        <w:numPr>
          <w:ilvl w:val="0"/>
          <w:numId w:val="565"/>
        </w:numPr>
        <w:rPr>
          <w:rFonts w:ascii="Arial" w:cs="Arial" w:eastAsia="Arial" w:hAnsi="Arial"/>
          <w:sz w:val="19"/>
          <w:szCs w:val="19"/>
          <w:color w:val="auto"/>
        </w:rPr>
      </w:pPr>
      <w:r>
        <w:rPr>
          <w:rFonts w:ascii="Arial" w:cs="Arial" w:eastAsia="Arial" w:hAnsi="Arial"/>
          <w:sz w:val="19"/>
          <w:szCs w:val="19"/>
          <w:color w:val="auto"/>
        </w:rPr>
        <w:t>arising out of or relating to any breach of any covenant, agreement or undertaking made by the Seller or a Shareholder in this Agreement or the Seller Ancillary Documents other than those for which specific remedies have been agreed upon in this Agreement in Clause 4 (Warranties of the Seller), Clause 5 (Warranties of the Purchaser), Clause 10.1.1b) or in the Non-Competition Agreement;</w:t>
      </w:r>
    </w:p>
    <w:p>
      <w:pPr>
        <w:spacing w:after="0" w:line="68" w:lineRule="exact"/>
        <w:rPr>
          <w:rFonts w:ascii="Arial" w:cs="Arial" w:eastAsia="Arial" w:hAnsi="Arial"/>
          <w:sz w:val="19"/>
          <w:szCs w:val="19"/>
          <w:color w:val="auto"/>
        </w:rPr>
      </w:pPr>
    </w:p>
    <w:p>
      <w:pPr>
        <w:ind w:left="1140" w:hanging="497"/>
        <w:spacing w:after="0"/>
        <w:tabs>
          <w:tab w:leader="none" w:pos="1140" w:val="left"/>
        </w:tabs>
        <w:numPr>
          <w:ilvl w:val="0"/>
          <w:numId w:val="565"/>
        </w:numPr>
        <w:rPr>
          <w:rFonts w:ascii="Arial" w:cs="Arial" w:eastAsia="Arial" w:hAnsi="Arial"/>
          <w:sz w:val="20"/>
          <w:szCs w:val="20"/>
          <w:color w:val="auto"/>
        </w:rPr>
      </w:pPr>
      <w:r>
        <w:rPr>
          <w:rFonts w:ascii="Arial" w:cs="Arial" w:eastAsia="Arial" w:hAnsi="Arial"/>
          <w:sz w:val="20"/>
          <w:szCs w:val="20"/>
          <w:color w:val="auto"/>
        </w:rPr>
        <w:t>for:</w:t>
      </w:r>
    </w:p>
    <w:p>
      <w:pPr>
        <w:spacing w:after="0" w:line="107" w:lineRule="exact"/>
        <w:rPr>
          <w:rFonts w:ascii="Arial" w:cs="Arial" w:eastAsia="Arial" w:hAnsi="Arial"/>
          <w:sz w:val="20"/>
          <w:szCs w:val="20"/>
          <w:color w:val="auto"/>
        </w:rPr>
      </w:pPr>
    </w:p>
    <w:p>
      <w:pPr>
        <w:jc w:val="both"/>
        <w:ind w:left="1660" w:hanging="504"/>
        <w:spacing w:after="0" w:line="259" w:lineRule="auto"/>
        <w:tabs>
          <w:tab w:leader="none" w:pos="1660" w:val="left"/>
        </w:tabs>
        <w:numPr>
          <w:ilvl w:val="1"/>
          <w:numId w:val="565"/>
        </w:numPr>
        <w:rPr>
          <w:rFonts w:ascii="Arial" w:cs="Arial" w:eastAsia="Arial" w:hAnsi="Arial"/>
          <w:sz w:val="19"/>
          <w:szCs w:val="19"/>
          <w:color w:val="auto"/>
        </w:rPr>
      </w:pPr>
      <w:r>
        <w:rPr>
          <w:rFonts w:ascii="Arial" w:cs="Arial" w:eastAsia="Arial" w:hAnsi="Arial"/>
          <w:sz w:val="19"/>
          <w:szCs w:val="19"/>
          <w:color w:val="auto"/>
        </w:rPr>
        <w:t>any Taxes of a Group Company with respect to any Tax period or portion thereof ending on or before the Locked Box Date (or for any Tax period beginning before and ending after the Locked Box Date to the extent allocable (determined in a manner consistent with Sub-Clause 9.1.2 to the portion of such period beginning before and ending on the Locked Box Date), or Taxes which relate to an event or transaction occurring on or before the Locked Box Date, except to the extent such Taxes were reflected as a liability in the Financial Statements as of the Locked Box Date,</w:t>
      </w:r>
    </w:p>
    <w:p>
      <w:pPr>
        <w:spacing w:after="0" w:line="70" w:lineRule="exact"/>
        <w:rPr>
          <w:rFonts w:ascii="Arial" w:cs="Arial" w:eastAsia="Arial" w:hAnsi="Arial"/>
          <w:sz w:val="19"/>
          <w:szCs w:val="19"/>
          <w:color w:val="auto"/>
        </w:rPr>
      </w:pPr>
    </w:p>
    <w:p>
      <w:pPr>
        <w:jc w:val="both"/>
        <w:ind w:left="1660" w:hanging="504"/>
        <w:spacing w:after="0" w:line="250" w:lineRule="auto"/>
        <w:tabs>
          <w:tab w:leader="none" w:pos="1660" w:val="left"/>
        </w:tabs>
        <w:numPr>
          <w:ilvl w:val="1"/>
          <w:numId w:val="565"/>
        </w:numPr>
        <w:rPr>
          <w:rFonts w:ascii="Arial" w:cs="Arial" w:eastAsia="Arial" w:hAnsi="Arial"/>
          <w:sz w:val="20"/>
          <w:szCs w:val="20"/>
          <w:color w:val="auto"/>
        </w:rPr>
      </w:pPr>
      <w:r>
        <w:rPr>
          <w:rFonts w:ascii="Arial" w:cs="Arial" w:eastAsia="Arial" w:hAnsi="Arial"/>
          <w:sz w:val="20"/>
          <w:szCs w:val="20"/>
          <w:color w:val="auto"/>
        </w:rPr>
        <w:t>the unpaid Taxes of any Person (other than the Group Companies) for which a Group Company, the Purchaser or its Affiliates is or becomes liable, which Taxes relate to an event or transaction occurring on or before the Locked Box Date, and</w:t>
      </w:r>
    </w:p>
    <w:p>
      <w:pPr>
        <w:spacing w:after="0" w:line="77" w:lineRule="exact"/>
        <w:rPr>
          <w:rFonts w:ascii="Arial" w:cs="Arial" w:eastAsia="Arial" w:hAnsi="Arial"/>
          <w:sz w:val="20"/>
          <w:szCs w:val="20"/>
          <w:color w:val="auto"/>
        </w:rPr>
      </w:pPr>
    </w:p>
    <w:p>
      <w:pPr>
        <w:jc w:val="both"/>
        <w:ind w:left="1660" w:hanging="504"/>
        <w:spacing w:after="0" w:line="250" w:lineRule="auto"/>
        <w:tabs>
          <w:tab w:leader="none" w:pos="1660" w:val="left"/>
        </w:tabs>
        <w:numPr>
          <w:ilvl w:val="1"/>
          <w:numId w:val="565"/>
        </w:numPr>
        <w:rPr>
          <w:rFonts w:ascii="Arial" w:cs="Arial" w:eastAsia="Arial" w:hAnsi="Arial"/>
          <w:sz w:val="20"/>
          <w:szCs w:val="20"/>
          <w:color w:val="auto"/>
        </w:rPr>
      </w:pPr>
      <w:r>
        <w:rPr>
          <w:rFonts w:ascii="Arial" w:cs="Arial" w:eastAsia="Arial" w:hAnsi="Arial"/>
          <w:sz w:val="20"/>
          <w:szCs w:val="20"/>
          <w:color w:val="auto"/>
        </w:rPr>
        <w:t>the unpaid Taxes of any Person (other than the Group Companies) as a transferee or successor, by contract, or otherwise, which Taxes relate to an event or transaction occurring on or before the Locked Box Date;</w:t>
      </w:r>
    </w:p>
    <w:p>
      <w:pPr>
        <w:spacing w:after="0" w:line="78" w:lineRule="exact"/>
        <w:rPr>
          <w:sz w:val="20"/>
          <w:szCs w:val="20"/>
          <w:color w:val="auto"/>
        </w:rPr>
      </w:pPr>
    </w:p>
    <w:p>
      <w:pPr>
        <w:ind w:left="1160"/>
        <w:spacing w:after="0" w:line="260" w:lineRule="auto"/>
        <w:rPr>
          <w:sz w:val="20"/>
          <w:szCs w:val="20"/>
          <w:color w:val="auto"/>
        </w:rPr>
      </w:pPr>
      <w:r>
        <w:rPr>
          <w:rFonts w:ascii="Arial" w:cs="Arial" w:eastAsia="Arial" w:hAnsi="Arial"/>
          <w:sz w:val="20"/>
          <w:szCs w:val="20"/>
          <w:color w:val="auto"/>
        </w:rPr>
        <w:t xml:space="preserve">it being understood that the limitations pursuant to Sub-Clause 9.1.1 sentence 3 and Sub-Clause 9.1.4 apply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69" w:lineRule="exact"/>
        <w:rPr>
          <w:sz w:val="20"/>
          <w:szCs w:val="20"/>
          <w:color w:val="auto"/>
        </w:rPr>
      </w:pPr>
    </w:p>
    <w:p>
      <w:pPr>
        <w:ind w:left="1140" w:right="20" w:hanging="497"/>
        <w:spacing w:after="0" w:line="260" w:lineRule="auto"/>
        <w:tabs>
          <w:tab w:leader="none" w:pos="1140" w:val="left"/>
        </w:tabs>
        <w:numPr>
          <w:ilvl w:val="0"/>
          <w:numId w:val="566"/>
        </w:numPr>
        <w:rPr>
          <w:rFonts w:ascii="Arial" w:cs="Arial" w:eastAsia="Arial" w:hAnsi="Arial"/>
          <w:sz w:val="20"/>
          <w:szCs w:val="20"/>
          <w:color w:val="auto"/>
        </w:rPr>
      </w:pPr>
      <w:r>
        <w:rPr>
          <w:rFonts w:ascii="Arial" w:cs="Arial" w:eastAsia="Arial" w:hAnsi="Arial"/>
          <w:sz w:val="20"/>
          <w:szCs w:val="20"/>
          <w:color w:val="auto"/>
        </w:rPr>
        <w:t>any claim by the Seller or other holder of equity securities in a Group Company as a result of the transactions contemplated by this Agreement, other than any claims:</w:t>
      </w:r>
    </w:p>
    <w:p>
      <w:pPr>
        <w:spacing w:after="0" w:line="68" w:lineRule="exact"/>
        <w:rPr>
          <w:rFonts w:ascii="Arial" w:cs="Arial" w:eastAsia="Arial" w:hAnsi="Arial"/>
          <w:sz w:val="20"/>
          <w:szCs w:val="20"/>
          <w:color w:val="auto"/>
        </w:rPr>
      </w:pPr>
    </w:p>
    <w:p>
      <w:pPr>
        <w:ind w:left="1660" w:hanging="504"/>
        <w:spacing w:after="0"/>
        <w:tabs>
          <w:tab w:leader="none" w:pos="166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relating to the Purchaser’s failure to pay any portion of the Purchase Price pursuant to this Agreement,</w:t>
      </w:r>
    </w:p>
    <w:p>
      <w:pPr>
        <w:spacing w:after="0" w:line="130" w:lineRule="exact"/>
        <w:rPr>
          <w:rFonts w:ascii="Arial" w:cs="Arial" w:eastAsia="Arial" w:hAnsi="Arial"/>
          <w:sz w:val="18"/>
          <w:szCs w:val="18"/>
          <w:color w:val="auto"/>
        </w:rPr>
      </w:pPr>
    </w:p>
    <w:p>
      <w:pPr>
        <w:ind w:left="1660" w:right="20" w:hanging="504"/>
        <w:spacing w:after="0" w:line="260" w:lineRule="auto"/>
        <w:tabs>
          <w:tab w:leader="none" w:pos="1660" w:val="left"/>
        </w:tabs>
        <w:numPr>
          <w:ilvl w:val="1"/>
          <w:numId w:val="566"/>
        </w:numPr>
        <w:rPr>
          <w:rFonts w:ascii="Arial" w:cs="Arial" w:eastAsia="Arial" w:hAnsi="Arial"/>
          <w:sz w:val="20"/>
          <w:szCs w:val="20"/>
          <w:color w:val="auto"/>
        </w:rPr>
      </w:pPr>
      <w:r>
        <w:rPr>
          <w:rFonts w:ascii="Arial" w:cs="Arial" w:eastAsia="Arial" w:hAnsi="Arial"/>
          <w:sz w:val="20"/>
          <w:szCs w:val="20"/>
          <w:color w:val="auto"/>
        </w:rPr>
        <w:t>against the Purchaser or any of its Affiliates (other than a Group Company) unrelated in any way to a Group Company; or</w:t>
      </w:r>
    </w:p>
    <w:p>
      <w:pPr>
        <w:spacing w:after="0" w:line="68" w:lineRule="exact"/>
        <w:rPr>
          <w:rFonts w:ascii="Arial" w:cs="Arial" w:eastAsia="Arial" w:hAnsi="Arial"/>
          <w:sz w:val="20"/>
          <w:szCs w:val="20"/>
          <w:color w:val="auto"/>
        </w:rPr>
      </w:pPr>
    </w:p>
    <w:p>
      <w:pPr>
        <w:ind w:left="1660" w:hanging="504"/>
        <w:spacing w:after="0"/>
        <w:tabs>
          <w:tab w:leader="none" w:pos="1660" w:val="left"/>
        </w:tabs>
        <w:numPr>
          <w:ilvl w:val="1"/>
          <w:numId w:val="566"/>
        </w:numPr>
        <w:rPr>
          <w:rFonts w:ascii="Arial" w:cs="Arial" w:eastAsia="Arial" w:hAnsi="Arial"/>
          <w:sz w:val="20"/>
          <w:szCs w:val="20"/>
          <w:color w:val="auto"/>
        </w:rPr>
      </w:pPr>
      <w:r>
        <w:rPr>
          <w:rFonts w:ascii="Arial" w:cs="Arial" w:eastAsia="Arial" w:hAnsi="Arial"/>
          <w:sz w:val="20"/>
          <w:szCs w:val="20"/>
          <w:color w:val="auto"/>
        </w:rPr>
        <w:t>against the Purchaser arising under this Agreement or any Purchaser Ancillary Document; or</w:t>
      </w:r>
    </w:p>
    <w:p>
      <w:pPr>
        <w:spacing w:after="0" w:line="107" w:lineRule="exact"/>
        <w:rPr>
          <w:rFonts w:ascii="Arial" w:cs="Arial" w:eastAsia="Arial" w:hAnsi="Arial"/>
          <w:sz w:val="20"/>
          <w:szCs w:val="20"/>
          <w:color w:val="auto"/>
        </w:rPr>
      </w:pPr>
    </w:p>
    <w:p>
      <w:pPr>
        <w:ind w:left="1660" w:hanging="504"/>
        <w:spacing w:after="0"/>
        <w:tabs>
          <w:tab w:leader="none" w:pos="1660" w:val="left"/>
        </w:tabs>
        <w:numPr>
          <w:ilvl w:val="1"/>
          <w:numId w:val="566"/>
        </w:numPr>
        <w:rPr>
          <w:rFonts w:ascii="Arial" w:cs="Arial" w:eastAsia="Arial" w:hAnsi="Arial"/>
          <w:sz w:val="20"/>
          <w:szCs w:val="20"/>
          <w:color w:val="auto"/>
        </w:rPr>
      </w:pPr>
      <w:r>
        <w:rPr>
          <w:rFonts w:ascii="Arial" w:cs="Arial" w:eastAsia="Arial" w:hAnsi="Arial"/>
          <w:sz w:val="20"/>
          <w:szCs w:val="20"/>
          <w:color w:val="auto"/>
        </w:rPr>
        <w:t>arising out of any Seller Ancillary Documents;</w:t>
      </w:r>
    </w:p>
    <w:p>
      <w:pPr>
        <w:spacing w:after="0" w:line="107" w:lineRule="exact"/>
        <w:rPr>
          <w:rFonts w:ascii="Arial" w:cs="Arial" w:eastAsia="Arial" w:hAnsi="Arial"/>
          <w:sz w:val="20"/>
          <w:szCs w:val="20"/>
          <w:color w:val="auto"/>
        </w:rPr>
      </w:pPr>
    </w:p>
    <w:p>
      <w:pPr>
        <w:jc w:val="both"/>
        <w:ind w:left="1140" w:hanging="497"/>
        <w:spacing w:after="0" w:line="250" w:lineRule="auto"/>
        <w:tabs>
          <w:tab w:leader="none" w:pos="1140" w:val="left"/>
        </w:tabs>
        <w:numPr>
          <w:ilvl w:val="0"/>
          <w:numId w:val="566"/>
        </w:numPr>
        <w:rPr>
          <w:rFonts w:ascii="Arial" w:cs="Arial" w:eastAsia="Arial" w:hAnsi="Arial"/>
          <w:sz w:val="20"/>
          <w:szCs w:val="20"/>
          <w:color w:val="auto"/>
        </w:rPr>
      </w:pPr>
      <w:r>
        <w:rPr>
          <w:rFonts w:ascii="Arial" w:cs="Arial" w:eastAsia="Arial" w:hAnsi="Arial"/>
          <w:sz w:val="20"/>
          <w:szCs w:val="20"/>
          <w:color w:val="auto"/>
        </w:rPr>
        <w:t>with respect to any amounts comprised in Transaction Payments to the extent not paid on or prior to the Closing Date except to the extent such Transaction Payments were reflected as a liability, write-off or provision in the Financial Statements as of the Locked Box Date;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1" w:lineRule="exact"/>
        <w:rPr>
          <w:rFonts w:ascii="Arial" w:cs="Arial" w:eastAsia="Arial" w:hAnsi="Arial"/>
          <w:sz w:val="20"/>
          <w:szCs w:val="20"/>
          <w:color w:val="auto"/>
        </w:rPr>
      </w:pPr>
    </w:p>
    <w:p>
      <w:pPr>
        <w:ind w:left="4880" w:hanging="111"/>
        <w:spacing w:after="0"/>
        <w:tabs>
          <w:tab w:leader="none" w:pos="4880" w:val="left"/>
        </w:tabs>
        <w:numPr>
          <w:ilvl w:val="2"/>
          <w:numId w:val="566"/>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16" w:name="page517"/>
    <w:bookmarkEnd w:id="516"/>
    <w:p>
      <w:pPr>
        <w:jc w:val="both"/>
        <w:ind w:left="1140" w:hanging="497"/>
        <w:spacing w:after="0" w:line="272" w:lineRule="auto"/>
        <w:tabs>
          <w:tab w:leader="none" w:pos="114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to the extent not covered by the provision (</w:t>
      </w:r>
      <w:r>
        <w:rPr>
          <w:rFonts w:ascii="Arial" w:cs="Arial" w:eastAsia="Arial" w:hAnsi="Arial"/>
          <w:sz w:val="18"/>
          <w:szCs w:val="18"/>
          <w:i w:val="1"/>
          <w:iCs w:val="1"/>
          <w:color w:val="auto"/>
        </w:rPr>
        <w:t>Rückstellung</w:t>
      </w:r>
      <w:r>
        <w:rPr>
          <w:rFonts w:ascii="Arial" w:cs="Arial" w:eastAsia="Arial" w:hAnsi="Arial"/>
          <w:sz w:val="18"/>
          <w:szCs w:val="18"/>
          <w:color w:val="auto"/>
        </w:rPr>
        <w:t>) set up in this respect in the interim accounts of the Company as of the Locked Box Date mentioned under lit. (e) of the definition of Financial Statements, any amount payable by the Company and not yet paid until the Locked Box Date under the agreements made between the Company and Tawazun Economic Council, Abu Dhabi or with respect to the bank guarantee issued by National Bank of Abu Dhabi in favour of Tawazun Economic Council dated October 19, 2015, in all cases to the extent relating to orders received and confirmed by the Company prior to the Closing Date. The Parties agree that they will cause the Company to seek a confirmation from Tawazun Economic Council that no such obligations of the Company are asserted which would fall under this Clause 10.1.1e) sufficiently in time before expiry of the relevant limitation period provided for in Clause 11.1.1.</w:t>
      </w:r>
    </w:p>
    <w:p>
      <w:pPr>
        <w:spacing w:after="0" w:line="62" w:lineRule="exact"/>
        <w:rPr>
          <w:sz w:val="20"/>
          <w:szCs w:val="20"/>
          <w:color w:val="auto"/>
        </w:rPr>
      </w:pPr>
    </w:p>
    <w:p>
      <w:pPr>
        <w:jc w:val="both"/>
        <w:ind w:left="640" w:hanging="634"/>
        <w:spacing w:after="0" w:line="278" w:lineRule="auto"/>
        <w:rPr>
          <w:sz w:val="20"/>
          <w:szCs w:val="20"/>
          <w:color w:val="auto"/>
        </w:rPr>
      </w:pPr>
      <w:r>
        <w:rPr>
          <w:rFonts w:ascii="Arial" w:cs="Arial" w:eastAsia="Arial" w:hAnsi="Arial"/>
          <w:sz w:val="18"/>
          <w:szCs w:val="18"/>
          <w:color w:val="auto"/>
        </w:rPr>
        <w:t>10.1.2 The claims, liabilities, obligations, losses, damages, costs, expenses, penalties, fines and judgments of the Purchaser Indemnified Parties described in this Sub-Clause 10.1 as to which the Purchaser Indemnified Parties are entitled to indemnification are collectively referred to as “</w:t>
      </w:r>
      <w:r>
        <w:rPr>
          <w:rFonts w:ascii="Arial" w:cs="Arial" w:eastAsia="Arial" w:hAnsi="Arial"/>
          <w:sz w:val="18"/>
          <w:szCs w:val="18"/>
          <w:b w:val="1"/>
          <w:bCs w:val="1"/>
          <w:color w:val="auto"/>
        </w:rPr>
        <w:t>Purchaser Losses</w:t>
      </w:r>
      <w:r>
        <w:rPr>
          <w:rFonts w:ascii="Arial" w:cs="Arial" w:eastAsia="Arial" w:hAnsi="Arial"/>
          <w:sz w:val="18"/>
          <w:szCs w:val="18"/>
          <w:color w:val="auto"/>
        </w:rPr>
        <w:t>”. For the avoidance of doubt, in calculating the amount of any Purchaser Loss the proceeds actually received by the relevant Purchaser Indemnified Party or any of its Affiliates under the R&amp;W Insurance Policy with respect to such Purchaser Loss shall be deducted therefrom.</w:t>
      </w:r>
    </w:p>
    <w:p>
      <w:pPr>
        <w:spacing w:after="0" w:line="5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Indemnification Obligations of the Purchaser; Tax Refunds</w:t>
      </w:r>
    </w:p>
    <w:p>
      <w:pPr>
        <w:spacing w:after="0" w:line="114" w:lineRule="exact"/>
        <w:rPr>
          <w:sz w:val="20"/>
          <w:szCs w:val="20"/>
          <w:color w:val="auto"/>
        </w:rPr>
      </w:pPr>
    </w:p>
    <w:p>
      <w:pPr>
        <w:jc w:val="both"/>
        <w:ind w:left="640" w:hanging="634"/>
        <w:spacing w:after="0" w:line="246" w:lineRule="auto"/>
        <w:rPr>
          <w:sz w:val="20"/>
          <w:szCs w:val="20"/>
          <w:color w:val="auto"/>
        </w:rPr>
      </w:pPr>
      <w:r>
        <w:rPr>
          <w:rFonts w:ascii="Arial" w:cs="Arial" w:eastAsia="Arial" w:hAnsi="Arial"/>
          <w:sz w:val="20"/>
          <w:szCs w:val="20"/>
          <w:color w:val="auto"/>
        </w:rPr>
        <w:t>10.2.1 The Purchaser shall indemnify and hold harmless the Seller Indemnified Parties from, against and in respect of any and all claims, liabilities, obligations, losses, damages, costs, expenses, penalties, fines and judgments whenever arising or incurred (including amounts paid in settlement, costs of investigation and reasonable attorneys’ fees and expenses arising out of or relating to:</w:t>
      </w:r>
    </w:p>
    <w:p>
      <w:pPr>
        <w:spacing w:after="0" w:line="83" w:lineRule="exact"/>
        <w:rPr>
          <w:sz w:val="20"/>
          <w:szCs w:val="20"/>
          <w:color w:val="auto"/>
        </w:rPr>
      </w:pPr>
    </w:p>
    <w:p>
      <w:pPr>
        <w:ind w:left="1140" w:hanging="497"/>
        <w:spacing w:after="0" w:line="260" w:lineRule="auto"/>
        <w:tabs>
          <w:tab w:leader="none" w:pos="1140" w:val="left"/>
        </w:tabs>
        <w:numPr>
          <w:ilvl w:val="0"/>
          <w:numId w:val="568"/>
        </w:numPr>
        <w:rPr>
          <w:rFonts w:ascii="Arial" w:cs="Arial" w:eastAsia="Arial" w:hAnsi="Arial"/>
          <w:sz w:val="20"/>
          <w:szCs w:val="20"/>
          <w:color w:val="auto"/>
        </w:rPr>
      </w:pPr>
      <w:r>
        <w:rPr>
          <w:rFonts w:ascii="Arial" w:cs="Arial" w:eastAsia="Arial" w:hAnsi="Arial"/>
          <w:sz w:val="20"/>
          <w:szCs w:val="20"/>
          <w:color w:val="auto"/>
        </w:rPr>
        <w:t>any breach or inaccuracy of any of the Purchaser Warranties or warranty made by the Purchaser in any Purchaser Ancillary Document; or</w:t>
      </w:r>
    </w:p>
    <w:p>
      <w:pPr>
        <w:spacing w:after="0" w:line="68" w:lineRule="exact"/>
        <w:rPr>
          <w:rFonts w:ascii="Arial" w:cs="Arial" w:eastAsia="Arial" w:hAnsi="Arial"/>
          <w:sz w:val="20"/>
          <w:szCs w:val="20"/>
          <w:color w:val="auto"/>
        </w:rPr>
      </w:pPr>
    </w:p>
    <w:p>
      <w:pPr>
        <w:ind w:left="1140" w:right="20" w:hanging="497"/>
        <w:spacing w:after="0" w:line="260" w:lineRule="auto"/>
        <w:tabs>
          <w:tab w:leader="none" w:pos="1140" w:val="left"/>
        </w:tabs>
        <w:numPr>
          <w:ilvl w:val="0"/>
          <w:numId w:val="568"/>
        </w:numPr>
        <w:rPr>
          <w:rFonts w:ascii="Arial" w:cs="Arial" w:eastAsia="Arial" w:hAnsi="Arial"/>
          <w:sz w:val="20"/>
          <w:szCs w:val="20"/>
          <w:color w:val="auto"/>
        </w:rPr>
      </w:pPr>
      <w:r>
        <w:rPr>
          <w:rFonts w:ascii="Arial" w:cs="Arial" w:eastAsia="Arial" w:hAnsi="Arial"/>
          <w:sz w:val="20"/>
          <w:szCs w:val="20"/>
          <w:color w:val="auto"/>
        </w:rPr>
        <w:t>any breach of any covenant, agreement or undertaking made by the Purchaser in this Agreement or in any Purchaser Ancillary Document.</w:t>
      </w:r>
    </w:p>
    <w:p>
      <w:pPr>
        <w:spacing w:after="0" w:line="69"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10.2.2 The claims, liabilities, obligations, losses, damages, costs, expenses, penalties, fines and judgments of the Seller Indemnified Parties described in this Sub-Clause 10.2 as to which the Seller Indemnified Parties are entitled to indemnification are collectively referred to as “</w:t>
      </w:r>
      <w:r>
        <w:rPr>
          <w:rFonts w:ascii="Arial" w:cs="Arial" w:eastAsia="Arial" w:hAnsi="Arial"/>
          <w:sz w:val="20"/>
          <w:szCs w:val="20"/>
          <w:b w:val="1"/>
          <w:bCs w:val="1"/>
          <w:color w:val="auto"/>
        </w:rPr>
        <w:t>Seller Losses</w:t>
      </w:r>
      <w:r>
        <w:rPr>
          <w:rFonts w:ascii="Arial" w:cs="Arial" w:eastAsia="Arial" w:hAnsi="Arial"/>
          <w:sz w:val="20"/>
          <w:szCs w:val="20"/>
          <w:color w:val="auto"/>
        </w:rPr>
        <w:t>”.</w:t>
      </w:r>
    </w:p>
    <w:p>
      <w:pPr>
        <w:spacing w:after="0" w:line="78" w:lineRule="exact"/>
        <w:rPr>
          <w:sz w:val="20"/>
          <w:szCs w:val="20"/>
          <w:color w:val="auto"/>
        </w:rPr>
      </w:pPr>
    </w:p>
    <w:p>
      <w:pPr>
        <w:jc w:val="both"/>
        <w:ind w:left="640" w:hanging="634"/>
        <w:spacing w:after="0" w:line="302" w:lineRule="auto"/>
        <w:rPr>
          <w:sz w:val="20"/>
          <w:szCs w:val="20"/>
          <w:color w:val="auto"/>
        </w:rPr>
      </w:pPr>
      <w:r>
        <w:rPr>
          <w:rFonts w:ascii="Arial" w:cs="Arial" w:eastAsia="Arial" w:hAnsi="Arial"/>
          <w:sz w:val="16"/>
          <w:szCs w:val="16"/>
          <w:color w:val="auto"/>
        </w:rPr>
        <w:t>10.2.3 Purchaser shall reimburse to Seller for any repayment of any Tax (including but not limited to by way of set-off or deduction) received by any Group Company which relates to any time period ending on or prior to the Locked Box Date or with respect to Seller's portion of any such time period (“</w:t>
      </w:r>
      <w:r>
        <w:rPr>
          <w:rFonts w:ascii="Arial" w:cs="Arial" w:eastAsia="Arial" w:hAnsi="Arial"/>
          <w:sz w:val="16"/>
          <w:szCs w:val="16"/>
          <w:b w:val="1"/>
          <w:bCs w:val="1"/>
          <w:color w:val="auto"/>
        </w:rPr>
        <w:t>Tax Refunds</w:t>
      </w:r>
      <w:r>
        <w:rPr>
          <w:rFonts w:ascii="Arial" w:cs="Arial" w:eastAsia="Arial" w:hAnsi="Arial"/>
          <w:sz w:val="16"/>
          <w:szCs w:val="16"/>
          <w:color w:val="auto"/>
        </w:rPr>
        <w:t xml:space="preserve">”), except to the extent such Tax Refunds were reflected as a current receivable in the Financial Statements as of the Locked Box Date and further subject to application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of the other exceptions in the last sentence of Clause 9.1.1. Purchaser shall, and shall procure that the relevant Group Company will, as soon as reasonably practicable, at the latest within fifteen</w:t>
      </w:r>
    </w:p>
    <w:p>
      <w:pPr>
        <w:spacing w:after="0" w:line="4" w:lineRule="exact"/>
        <w:rPr>
          <w:sz w:val="20"/>
          <w:szCs w:val="20"/>
          <w:color w:val="auto"/>
        </w:rPr>
      </w:pPr>
    </w:p>
    <w:p>
      <w:pPr>
        <w:ind w:left="640" w:right="20" w:firstLine="3"/>
        <w:spacing w:after="0" w:line="297" w:lineRule="auto"/>
        <w:tabs>
          <w:tab w:leader="none" w:pos="102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days after the receipt of the respective notification from the Governmental Authority, notify Seller in writing of the receipt of any Tax Refunds and shall compensate the Seller within the next fifteen (15) days after notification.</w:t>
      </w:r>
    </w:p>
    <w:p>
      <w:pPr>
        <w:spacing w:after="0" w:line="3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color w:val="auto"/>
        </w:rPr>
        <w:t>Indemnification Procedure</w:t>
      </w:r>
    </w:p>
    <w:p>
      <w:pPr>
        <w:spacing w:after="0" w:line="114" w:lineRule="exact"/>
        <w:rPr>
          <w:sz w:val="20"/>
          <w:szCs w:val="20"/>
          <w:color w:val="auto"/>
        </w:rPr>
      </w:pPr>
    </w:p>
    <w:p>
      <w:pPr>
        <w:ind w:left="640" w:right="20" w:hanging="634"/>
        <w:spacing w:after="0" w:line="260" w:lineRule="auto"/>
        <w:rPr>
          <w:sz w:val="20"/>
          <w:szCs w:val="20"/>
          <w:color w:val="auto"/>
        </w:rPr>
      </w:pPr>
      <w:r>
        <w:rPr>
          <w:rFonts w:ascii="Arial" w:cs="Arial" w:eastAsia="Arial" w:hAnsi="Arial"/>
          <w:sz w:val="20"/>
          <w:szCs w:val="20"/>
          <w:color w:val="auto"/>
        </w:rPr>
        <w:t>10.3.1 Promptly following receipt by an Indemnified Party of notice by a third party (including any Governmental Entity) of any complaint or the commencement of any audit, investigation, action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7" w:name="page518"/>
    <w:bookmarkEnd w:id="517"/>
    <w:p>
      <w:pPr>
        <w:jc w:val="both"/>
        <w:ind w:left="640"/>
        <w:spacing w:after="0" w:line="257" w:lineRule="auto"/>
        <w:rPr>
          <w:sz w:val="20"/>
          <w:szCs w:val="20"/>
          <w:color w:val="auto"/>
        </w:rPr>
      </w:pPr>
      <w:r>
        <w:rPr>
          <w:rFonts w:ascii="Arial" w:cs="Arial" w:eastAsia="Arial" w:hAnsi="Arial"/>
          <w:sz w:val="19"/>
          <w:szCs w:val="19"/>
          <w:color w:val="auto"/>
        </w:rPr>
        <w:t>or proceeding with respect to which such Indemnified Party may be entitled to receive payment from the other Party for any Purchaser Loss or Seller Loss (as the case may be), such Indemnified Party shall notify the Purchaser or the Seller, as the case may be (the “</w:t>
      </w:r>
      <w:r>
        <w:rPr>
          <w:rFonts w:ascii="Arial" w:cs="Arial" w:eastAsia="Arial" w:hAnsi="Arial"/>
          <w:sz w:val="19"/>
          <w:szCs w:val="19"/>
          <w:b w:val="1"/>
          <w:bCs w:val="1"/>
          <w:color w:val="auto"/>
        </w:rPr>
        <w:t>Indemnifying Party</w:t>
      </w:r>
      <w:r>
        <w:rPr>
          <w:rFonts w:ascii="Arial" w:cs="Arial" w:eastAsia="Arial" w:hAnsi="Arial"/>
          <w:sz w:val="19"/>
          <w:szCs w:val="19"/>
          <w:color w:val="auto"/>
        </w:rPr>
        <w:t>”), promptly following the Indemnified Party’s receipt of such complaint or notice of the commencement of such audit, investigation, action or proceeding; provided, however, that the failure to so notify the Indemnifying Party shall relieve the Indemnifying Party from liability hereunder with respect to such claim only if, and only to the extent that, such failure to so notify the Indemnifying Party results in the forfeiture by the Indemnifying Party of rights and defences otherwise available to the Indemnifying Party with respect to such claim.</w:t>
      </w:r>
    </w:p>
    <w:p>
      <w:pPr>
        <w:spacing w:after="0" w:line="72" w:lineRule="exact"/>
        <w:rPr>
          <w:sz w:val="20"/>
          <w:szCs w:val="20"/>
          <w:color w:val="auto"/>
        </w:rPr>
      </w:pPr>
    </w:p>
    <w:p>
      <w:pPr>
        <w:jc w:val="both"/>
        <w:ind w:left="640" w:hanging="634"/>
        <w:spacing w:after="0" w:line="257" w:lineRule="auto"/>
        <w:rPr>
          <w:sz w:val="20"/>
          <w:szCs w:val="20"/>
          <w:color w:val="auto"/>
        </w:rPr>
      </w:pPr>
      <w:r>
        <w:rPr>
          <w:rFonts w:ascii="Arial" w:cs="Arial" w:eastAsia="Arial" w:hAnsi="Arial"/>
          <w:sz w:val="19"/>
          <w:szCs w:val="19"/>
          <w:color w:val="auto"/>
        </w:rPr>
        <w:t>10.3.2 The Indemnifying Party shall have the right, upon written notice delivered to the Indemnified Party within 25 days thereafter assuming full responsibility for any Purchaser Losses or Seller Losses (as the case may be) resulting from such audit, investigation, action or proceeding, to assume the defence of such audit, investigation, action or proceeding, to the extent such audit, investigation, action or proceeding involves solely monetary damages, including the employment of counsel reasonably satisfactory to the Indemnified Party and the payment of the fees and disbursements of such counsel; provided, however, that an Indemnifying Party will not be entitled to assume the defence of any audit, investigation, action or proceeding if:</w:t>
      </w:r>
    </w:p>
    <w:p>
      <w:pPr>
        <w:spacing w:after="0" w:line="77" w:lineRule="exact"/>
        <w:rPr>
          <w:sz w:val="20"/>
          <w:szCs w:val="20"/>
          <w:color w:val="auto"/>
        </w:rPr>
      </w:pPr>
    </w:p>
    <w:p>
      <w:pPr>
        <w:ind w:left="1140" w:right="20" w:hanging="497"/>
        <w:spacing w:after="0" w:line="260" w:lineRule="auto"/>
        <w:tabs>
          <w:tab w:leader="none" w:pos="1140" w:val="left"/>
        </w:tabs>
        <w:numPr>
          <w:ilvl w:val="0"/>
          <w:numId w:val="570"/>
        </w:numPr>
        <w:rPr>
          <w:rFonts w:ascii="Arial" w:cs="Arial" w:eastAsia="Arial" w:hAnsi="Arial"/>
          <w:sz w:val="20"/>
          <w:szCs w:val="20"/>
          <w:color w:val="auto"/>
        </w:rPr>
      </w:pPr>
      <w:r>
        <w:rPr>
          <w:rFonts w:ascii="Arial" w:cs="Arial" w:eastAsia="Arial" w:hAnsi="Arial"/>
          <w:sz w:val="20"/>
          <w:szCs w:val="20"/>
          <w:color w:val="auto"/>
        </w:rPr>
        <w:t>such claim could reasonably result in criminal liability of, or any other than only payment verdict against, the Indemnified Party; or</w:t>
      </w:r>
    </w:p>
    <w:p>
      <w:pPr>
        <w:spacing w:after="0" w:line="68" w:lineRule="exact"/>
        <w:rPr>
          <w:rFonts w:ascii="Arial" w:cs="Arial" w:eastAsia="Arial" w:hAnsi="Arial"/>
          <w:sz w:val="20"/>
          <w:szCs w:val="20"/>
          <w:color w:val="auto"/>
        </w:rPr>
      </w:pPr>
    </w:p>
    <w:p>
      <w:pPr>
        <w:ind w:left="1140" w:hanging="497"/>
        <w:spacing w:after="0"/>
        <w:tabs>
          <w:tab w:leader="none" w:pos="1140" w:val="left"/>
        </w:tabs>
        <w:numPr>
          <w:ilvl w:val="0"/>
          <w:numId w:val="570"/>
        </w:numPr>
        <w:rPr>
          <w:rFonts w:ascii="Arial" w:cs="Arial" w:eastAsia="Arial" w:hAnsi="Arial"/>
          <w:sz w:val="20"/>
          <w:szCs w:val="20"/>
          <w:color w:val="auto"/>
        </w:rPr>
      </w:pPr>
      <w:r>
        <w:rPr>
          <w:rFonts w:ascii="Arial" w:cs="Arial" w:eastAsia="Arial" w:hAnsi="Arial"/>
          <w:sz w:val="20"/>
          <w:szCs w:val="20"/>
          <w:color w:val="auto"/>
        </w:rPr>
        <w:t>such claim is made by a customer or supplier of a Group Company; or</w:t>
      </w:r>
    </w:p>
    <w:p>
      <w:pPr>
        <w:spacing w:after="0" w:line="107" w:lineRule="exact"/>
        <w:rPr>
          <w:rFonts w:ascii="Arial" w:cs="Arial" w:eastAsia="Arial" w:hAnsi="Arial"/>
          <w:sz w:val="20"/>
          <w:szCs w:val="20"/>
          <w:color w:val="auto"/>
        </w:rPr>
      </w:pPr>
    </w:p>
    <w:p>
      <w:pPr>
        <w:jc w:val="both"/>
        <w:ind w:left="1140" w:hanging="497"/>
        <w:spacing w:after="0" w:line="291" w:lineRule="auto"/>
        <w:tabs>
          <w:tab w:leader="none" w:pos="114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Indemnified Party reasonably believes that the interests of the Indemnifying Party and the Indemnified Party with respect to such claim are in conflict with one another, and as a result, the Indemnifying Party could not adequately represent the interests of the Indemnified Party in such claim; or</w:t>
      </w:r>
    </w:p>
    <w:p>
      <w:pPr>
        <w:spacing w:after="0" w:line="43" w:lineRule="exact"/>
        <w:rPr>
          <w:rFonts w:ascii="Arial" w:cs="Arial" w:eastAsia="Arial" w:hAnsi="Arial"/>
          <w:sz w:val="18"/>
          <w:szCs w:val="18"/>
          <w:color w:val="auto"/>
        </w:rPr>
      </w:pPr>
    </w:p>
    <w:p>
      <w:pPr>
        <w:jc w:val="both"/>
        <w:ind w:left="1140" w:hanging="497"/>
        <w:spacing w:after="0" w:line="250" w:lineRule="auto"/>
        <w:tabs>
          <w:tab w:leader="none" w:pos="1140" w:val="left"/>
        </w:tabs>
        <w:numPr>
          <w:ilvl w:val="0"/>
          <w:numId w:val="570"/>
        </w:numPr>
        <w:rPr>
          <w:rFonts w:ascii="Arial" w:cs="Arial" w:eastAsia="Arial" w:hAnsi="Arial"/>
          <w:sz w:val="20"/>
          <w:szCs w:val="20"/>
          <w:color w:val="auto"/>
        </w:rPr>
      </w:pPr>
      <w:r>
        <w:rPr>
          <w:rFonts w:ascii="Arial" w:cs="Arial" w:eastAsia="Arial" w:hAnsi="Arial"/>
          <w:sz w:val="20"/>
          <w:szCs w:val="20"/>
          <w:color w:val="auto"/>
        </w:rPr>
        <w:t>any insurer, including the insurer under the R&amp;W Insurance Policy, requires, as a condition to an Indemnified Party’s eligibility to recover insurance proceeds on account of such Third Party Claim, that such insurer control the matter.</w:t>
      </w:r>
    </w:p>
    <w:p>
      <w:pPr>
        <w:spacing w:after="0" w:line="78" w:lineRule="exact"/>
        <w:rPr>
          <w:sz w:val="20"/>
          <w:szCs w:val="20"/>
          <w:color w:val="auto"/>
        </w:rPr>
      </w:pPr>
    </w:p>
    <w:p>
      <w:pPr>
        <w:jc w:val="both"/>
        <w:ind w:left="640" w:hanging="634"/>
        <w:spacing w:after="0" w:line="256" w:lineRule="auto"/>
        <w:rPr>
          <w:sz w:val="20"/>
          <w:szCs w:val="20"/>
          <w:color w:val="auto"/>
        </w:rPr>
      </w:pPr>
      <w:r>
        <w:rPr>
          <w:rFonts w:ascii="Arial" w:cs="Arial" w:eastAsia="Arial" w:hAnsi="Arial"/>
          <w:sz w:val="19"/>
          <w:szCs w:val="19"/>
          <w:color w:val="auto"/>
        </w:rPr>
        <w:t>10.3.3 In the event, however, that the Indemnifying Party declines or fails to assume, or is not permitted to assume, the defence of the audit, investigation, action or proceeding on the terms provided above or to employ counsel reasonably satisfactory to the Indemnified Party, in either case within such 25 day period, or if the Indemnifying Party is not entitled to assume the defence of the audit, investigation, action or proceeding in accordance with the preceding sentence, then such Indemnified Party may employ counsel to represent or defend it in any such audit, investigation, action or proceeding and the Indemnifying Party shall pay the reasonable fees and disbursements of such counsel for the Indemnified Party as incurred provided, however, that the Indemnifying Party shall not be required to pay the fees and disbursements of more than one counsel for all Indemnified Parties in any jurisdiction in any single audit, investigation, action or proceeding.</w:t>
      </w:r>
    </w:p>
    <w:p>
      <w:pPr>
        <w:spacing w:after="0" w:line="76"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10.3.4 In any audit, investigation, action or proceeding for which indemnification is being sought hereunder, the Indemnified Party or the Indemnifying Party, whichever is not assuming the defence of such action, shall have the right to participate in such matter and to retain its own counsel at such party’s own expense.</w:t>
      </w:r>
    </w:p>
    <w:p>
      <w:pPr>
        <w:spacing w:after="0" w:line="78" w:lineRule="exact"/>
        <w:rPr>
          <w:sz w:val="20"/>
          <w:szCs w:val="20"/>
          <w:color w:val="auto"/>
        </w:rPr>
      </w:pPr>
    </w:p>
    <w:p>
      <w:pPr>
        <w:jc w:val="both"/>
        <w:ind w:left="640" w:right="20" w:hanging="634"/>
        <w:spacing w:after="0" w:line="260" w:lineRule="auto"/>
        <w:rPr>
          <w:sz w:val="20"/>
          <w:szCs w:val="20"/>
          <w:color w:val="auto"/>
        </w:rPr>
      </w:pPr>
      <w:r>
        <w:rPr>
          <w:rFonts w:ascii="Arial" w:cs="Arial" w:eastAsia="Arial" w:hAnsi="Arial"/>
          <w:sz w:val="20"/>
          <w:szCs w:val="20"/>
          <w:color w:val="auto"/>
        </w:rPr>
        <w:t>10.3.5 The Indemnifying Party or the Indemnified Party (as the case may be) shall at all times use reasonable efforts to keep the Indemnifying Party or the Indemnified Party (as the case may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18" w:name="page519"/>
    <w:bookmarkEnd w:id="518"/>
    <w:p>
      <w:pPr>
        <w:ind w:left="180"/>
        <w:spacing w:after="0" w:line="260" w:lineRule="auto"/>
        <w:rPr>
          <w:sz w:val="20"/>
          <w:szCs w:val="20"/>
          <w:color w:val="auto"/>
        </w:rPr>
      </w:pPr>
      <w:r>
        <w:rPr>
          <w:rFonts w:ascii="Arial" w:cs="Arial" w:eastAsia="Arial" w:hAnsi="Arial"/>
          <w:sz w:val="20"/>
          <w:szCs w:val="20"/>
          <w:color w:val="auto"/>
        </w:rPr>
        <w:t>reasonably appraised of the status of the defence of any matter the defence of which it is maintaining and to cooperate in good faith with each other with respect to the defence of any such matter.</w:t>
      </w:r>
    </w:p>
    <w:p>
      <w:pPr>
        <w:spacing w:after="0" w:line="69" w:lineRule="exact"/>
        <w:rPr>
          <w:sz w:val="20"/>
          <w:szCs w:val="20"/>
          <w:color w:val="auto"/>
        </w:rPr>
      </w:pPr>
    </w:p>
    <w:p>
      <w:pPr>
        <w:jc w:val="both"/>
        <w:ind w:left="180" w:hanging="634"/>
        <w:spacing w:after="0" w:line="273" w:lineRule="auto"/>
        <w:rPr>
          <w:sz w:val="20"/>
          <w:szCs w:val="20"/>
          <w:color w:val="auto"/>
        </w:rPr>
      </w:pPr>
      <w:r>
        <w:rPr>
          <w:rFonts w:ascii="Arial" w:cs="Arial" w:eastAsia="Arial" w:hAnsi="Arial"/>
          <w:sz w:val="18"/>
          <w:szCs w:val="18"/>
          <w:color w:val="auto"/>
        </w:rPr>
        <w:t>10.3.6 No Indemnified Party may settle or compromise any audit, investigation, action or proceeding or consent to the entry of any judgment with respect to which indemnification is being sought hereunder without the prior written consent of the Indemnifying Party unless (i) the Indemnifying Party fails to assume, or is not permitted to assume and maintain the defence of such claim pursuant to Sub-Clause 10.3.1 or (ii) such settlement, compromise or consent includes an unconditional release of the Indemnifying Party and its officers, directors, managers, employees and Affiliates from all liability arising out of such claim. An Indemnifying Party may not, without the prior written consent of the Indemnified Party, settle or compromise any claim or consent to the entry of any judgment with respect to which indemnification is being sought hereunder unless such settlement, compromise or consent:</w:t>
      </w:r>
    </w:p>
    <w:p>
      <w:pPr>
        <w:spacing w:after="0" w:line="60" w:lineRule="exact"/>
        <w:rPr>
          <w:sz w:val="20"/>
          <w:szCs w:val="20"/>
          <w:color w:val="auto"/>
        </w:rPr>
      </w:pPr>
    </w:p>
    <w:p>
      <w:pPr>
        <w:ind w:left="680" w:hanging="497"/>
        <w:spacing w:after="0" w:line="260" w:lineRule="auto"/>
        <w:tabs>
          <w:tab w:leader="none" w:pos="680" w:val="left"/>
        </w:tabs>
        <w:numPr>
          <w:ilvl w:val="0"/>
          <w:numId w:val="571"/>
        </w:numPr>
        <w:rPr>
          <w:rFonts w:ascii="Arial" w:cs="Arial" w:eastAsia="Arial" w:hAnsi="Arial"/>
          <w:sz w:val="20"/>
          <w:szCs w:val="20"/>
          <w:color w:val="auto"/>
        </w:rPr>
      </w:pPr>
      <w:r>
        <w:rPr>
          <w:rFonts w:ascii="Arial" w:cs="Arial" w:eastAsia="Arial" w:hAnsi="Arial"/>
          <w:sz w:val="20"/>
          <w:szCs w:val="20"/>
          <w:color w:val="auto"/>
        </w:rPr>
        <w:t>includes an unconditional release of the Indemnified Party and its officers, directors, managers, employees and Affiliates from all liability arising out of such claim;</w:t>
      </w:r>
    </w:p>
    <w:p>
      <w:pPr>
        <w:spacing w:after="0" w:line="68" w:lineRule="exact"/>
        <w:rPr>
          <w:rFonts w:ascii="Arial" w:cs="Arial" w:eastAsia="Arial" w:hAnsi="Arial"/>
          <w:sz w:val="20"/>
          <w:szCs w:val="20"/>
          <w:color w:val="auto"/>
        </w:rPr>
      </w:pPr>
    </w:p>
    <w:p>
      <w:pPr>
        <w:ind w:left="680" w:hanging="497"/>
        <w:spacing w:after="0" w:line="260" w:lineRule="auto"/>
        <w:tabs>
          <w:tab w:leader="none" w:pos="680" w:val="left"/>
        </w:tabs>
        <w:numPr>
          <w:ilvl w:val="0"/>
          <w:numId w:val="571"/>
        </w:numPr>
        <w:rPr>
          <w:rFonts w:ascii="Arial" w:cs="Arial" w:eastAsia="Arial" w:hAnsi="Arial"/>
          <w:sz w:val="20"/>
          <w:szCs w:val="20"/>
          <w:color w:val="auto"/>
        </w:rPr>
      </w:pPr>
      <w:r>
        <w:rPr>
          <w:rFonts w:ascii="Arial" w:cs="Arial" w:eastAsia="Arial" w:hAnsi="Arial"/>
          <w:sz w:val="20"/>
          <w:szCs w:val="20"/>
          <w:color w:val="auto"/>
        </w:rPr>
        <w:t>does not contain any admission or statement suggesting any wrongdoing or liability on behalf of the Indemnified Party; and</w:t>
      </w:r>
    </w:p>
    <w:p>
      <w:pPr>
        <w:spacing w:after="0" w:line="68" w:lineRule="exact"/>
        <w:rPr>
          <w:rFonts w:ascii="Arial" w:cs="Arial" w:eastAsia="Arial" w:hAnsi="Arial"/>
          <w:sz w:val="20"/>
          <w:szCs w:val="20"/>
          <w:color w:val="auto"/>
        </w:rPr>
      </w:pPr>
    </w:p>
    <w:p>
      <w:pPr>
        <w:ind w:left="680" w:right="20" w:hanging="497"/>
        <w:spacing w:after="0" w:line="316" w:lineRule="auto"/>
        <w:tabs>
          <w:tab w:leader="none" w:pos="6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does not contain any obligation other than for the payment of money or any term that in any manner affects, restrains or interferes with the business of the Indemnified Party or any of the Indemnified Party’s Affiliates.</w:t>
      </w:r>
    </w:p>
    <w:p>
      <w:pPr>
        <w:spacing w:after="0" w:line="22" w:lineRule="exact"/>
        <w:rPr>
          <w:sz w:val="20"/>
          <w:szCs w:val="20"/>
          <w:color w:val="auto"/>
        </w:rPr>
      </w:pPr>
    </w:p>
    <w:p>
      <w:pPr>
        <w:jc w:val="both"/>
        <w:ind w:left="200"/>
        <w:spacing w:after="0" w:line="244" w:lineRule="auto"/>
        <w:rPr>
          <w:sz w:val="20"/>
          <w:szCs w:val="20"/>
          <w:color w:val="auto"/>
        </w:rPr>
      </w:pPr>
      <w:r>
        <w:rPr>
          <w:rFonts w:ascii="Arial" w:cs="Arial" w:eastAsia="Arial" w:hAnsi="Arial"/>
          <w:sz w:val="20"/>
          <w:szCs w:val="20"/>
          <w:color w:val="auto"/>
        </w:rPr>
        <w:t>If at any time the Indemnifying Party notifies the Indemnified Party in writing that the Indemnifying Party and the third party wish to settle or compromise a third party claim for a certain amount and the Indemnified Party declines to do so (or fails to comply with such wish within ten (10) calendar days of such written notification), any liability by the Indemnifying Party towards the Indemnified Party in connection with such third party claim shall be capped at the aforementioned certain amount.</w:t>
      </w:r>
    </w:p>
    <w:p>
      <w:pPr>
        <w:spacing w:after="0" w:line="86" w:lineRule="exact"/>
        <w:rPr>
          <w:sz w:val="20"/>
          <w:szCs w:val="20"/>
          <w:color w:val="auto"/>
        </w:rPr>
      </w:pPr>
    </w:p>
    <w:p>
      <w:pPr>
        <w:jc w:val="both"/>
        <w:ind w:left="180" w:right="20" w:hanging="634"/>
        <w:spacing w:after="0" w:line="244" w:lineRule="auto"/>
        <w:rPr>
          <w:sz w:val="20"/>
          <w:szCs w:val="20"/>
          <w:color w:val="auto"/>
        </w:rPr>
      </w:pPr>
      <w:r>
        <w:rPr>
          <w:rFonts w:ascii="Arial" w:cs="Arial" w:eastAsia="Arial" w:hAnsi="Arial"/>
          <w:sz w:val="20"/>
          <w:szCs w:val="20"/>
          <w:color w:val="auto"/>
        </w:rPr>
        <w:t>10.3.7 In the event an Indemnified Party claims a right to payment pursuant to this Agreement, such Indemnified Party shall send written notice of such claim to the appropriate Indemnifying Party (a “</w:t>
      </w:r>
      <w:r>
        <w:rPr>
          <w:rFonts w:ascii="Arial" w:cs="Arial" w:eastAsia="Arial" w:hAnsi="Arial"/>
          <w:sz w:val="20"/>
          <w:szCs w:val="20"/>
          <w:b w:val="1"/>
          <w:bCs w:val="1"/>
          <w:color w:val="auto"/>
        </w:rPr>
        <w:t>Claim Notice</w:t>
      </w:r>
      <w:r>
        <w:rPr>
          <w:rFonts w:ascii="Arial" w:cs="Arial" w:eastAsia="Arial" w:hAnsi="Arial"/>
          <w:sz w:val="20"/>
          <w:szCs w:val="20"/>
          <w:color w:val="auto"/>
        </w:rPr>
        <w:t>”). The Claim Notice shall specify the basis for such claim. The failure by any Indemnified Party to so notify the Indemnifying Party shall not relieve the Indemnifying Party from any liability that it may have to such Indemnified Party with respect to any claim made pursuant to this Sub-Clause 10.3.</w:t>
      </w:r>
    </w:p>
    <w:p>
      <w:pPr>
        <w:spacing w:after="0" w:line="86" w:lineRule="exact"/>
        <w:rPr>
          <w:sz w:val="20"/>
          <w:szCs w:val="20"/>
          <w:color w:val="auto"/>
        </w:rPr>
      </w:pPr>
    </w:p>
    <w:p>
      <w:pPr>
        <w:jc w:val="both"/>
        <w:ind w:left="180" w:hanging="634"/>
        <w:spacing w:after="0" w:line="268" w:lineRule="auto"/>
        <w:rPr>
          <w:sz w:val="20"/>
          <w:szCs w:val="20"/>
          <w:color w:val="auto"/>
        </w:rPr>
      </w:pPr>
      <w:r>
        <w:rPr>
          <w:rFonts w:ascii="Arial" w:cs="Arial" w:eastAsia="Arial" w:hAnsi="Arial"/>
          <w:sz w:val="18"/>
          <w:szCs w:val="18"/>
          <w:color w:val="auto"/>
        </w:rPr>
        <w:t>10.3.8 The Indemnifying Party shall be obliged to notify the Indemnified Party within thirty (30) days following its receipt of the Claim Notice in the event the Indemnifying Party disputes its liability to the Indemnified Party under this Clause 10 or the amount thereof. If the Indemnifying Party fails to so notify the Indemnified Party and the Indemnified Party thereafter satisfies an underlying third party claim or otherwise takes any relevant action before receiving further notifications from the Indemnifying Party, the Indemnifying Party may not object to the Indemnified Party as a defence any facts or circumstances that would have adversely affected the merits of the claim raised in the Claim Notice of which it could have informed the Indemnified Party within the thirty day period in Sentence 1. After issuance of a Claim Notice, the Indemnified Party and the Indemnifying Party shall establish the merits and amount of the relevant claim (by mutual agreement, litigation, arbitration or otherwise) and, within five</w:t>
      </w:r>
    </w:p>
    <w:p>
      <w:pPr>
        <w:spacing w:after="0" w:line="1" w:lineRule="exact"/>
        <w:rPr>
          <w:sz w:val="20"/>
          <w:szCs w:val="20"/>
          <w:color w:val="auto"/>
        </w:rPr>
      </w:pPr>
    </w:p>
    <w:p>
      <w:pPr>
        <w:jc w:val="both"/>
        <w:ind w:left="180" w:firstLine="3"/>
        <w:spacing w:after="0" w:line="241" w:lineRule="auto"/>
        <w:tabs>
          <w:tab w:leader="none" w:pos="465" w:val="left"/>
        </w:tabs>
        <w:numPr>
          <w:ilvl w:val="0"/>
          <w:numId w:val="572"/>
        </w:numPr>
        <w:rPr>
          <w:rFonts w:ascii="Arial" w:cs="Arial" w:eastAsia="Arial" w:hAnsi="Arial"/>
          <w:sz w:val="20"/>
          <w:szCs w:val="20"/>
          <w:color w:val="auto"/>
        </w:rPr>
      </w:pPr>
      <w:r>
        <w:rPr>
          <w:rFonts w:ascii="Arial" w:cs="Arial" w:eastAsia="Arial" w:hAnsi="Arial"/>
          <w:sz w:val="20"/>
          <w:szCs w:val="20"/>
          <w:color w:val="auto"/>
        </w:rPr>
        <w:t>Business Days following the final determination of the merits and amount of such claim, the Indemnifying Party shall pay to the Indemnified Party in immediately available funds in an amount equal to such claim as determined hereunder.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ind w:left="4420" w:hanging="111"/>
        <w:spacing w:after="0"/>
        <w:tabs>
          <w:tab w:leader="none" w:pos="442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19" w:name="page520"/>
    <w:bookmarkEnd w:id="519"/>
    <w:p>
      <w:pPr>
        <w:jc w:val="both"/>
        <w:ind w:left="640" w:hanging="634"/>
        <w:spacing w:after="0" w:line="250" w:lineRule="auto"/>
        <w:rPr>
          <w:sz w:val="20"/>
          <w:szCs w:val="20"/>
          <w:color w:val="auto"/>
        </w:rPr>
      </w:pPr>
      <w:r>
        <w:rPr>
          <w:rFonts w:ascii="Arial" w:cs="Arial" w:eastAsia="Arial" w:hAnsi="Arial"/>
          <w:sz w:val="20"/>
          <w:szCs w:val="20"/>
          <w:color w:val="auto"/>
        </w:rPr>
        <w:t>10.3.9 Any indemnification obligation of the Seller pursuant to this Clause 10.3 shall be satisfied first from the Escrow Fund in pursuance of the rules provided for in Clause 3.9 and in the Escrow Agreement and, if the Escrow Fund is insufficient or has been fully distributed, by the Seller.</w:t>
      </w:r>
    </w:p>
    <w:p>
      <w:pPr>
        <w:spacing w:after="0" w:line="72" w:lineRule="exact"/>
        <w:rPr>
          <w:sz w:val="20"/>
          <w:szCs w:val="20"/>
          <w:color w:val="auto"/>
        </w:rPr>
      </w:pPr>
    </w:p>
    <w:p>
      <w:pPr>
        <w:ind w:right="7120" w:firstLine="8"/>
        <w:spacing w:after="0" w:line="355" w:lineRule="auto"/>
        <w:tabs>
          <w:tab w:leader="none" w:pos="635" w:val="left"/>
        </w:tabs>
        <w:numPr>
          <w:ilvl w:val="0"/>
          <w:numId w:val="573"/>
        </w:numPr>
        <w:rPr>
          <w:rFonts w:ascii="Arial" w:cs="Arial" w:eastAsia="Arial" w:hAnsi="Arial"/>
          <w:sz w:val="20"/>
          <w:szCs w:val="20"/>
          <w:b w:val="1"/>
          <w:bCs w:val="1"/>
          <w:color w:val="auto"/>
        </w:rPr>
      </w:pPr>
      <w:r>
        <w:rPr>
          <w:rFonts w:ascii="Arial" w:cs="Arial" w:eastAsia="Arial" w:hAnsi="Arial"/>
          <w:sz w:val="20"/>
          <w:szCs w:val="20"/>
          <w:b w:val="1"/>
          <w:bCs w:val="1"/>
          <w:color w:val="auto"/>
        </w:rPr>
        <w:t>LIMITS ON LIABILITY 11.1 Limitation Periods</w:t>
      </w:r>
    </w:p>
    <w:p>
      <w:pPr>
        <w:spacing w:after="0" w:line="1" w:lineRule="exact"/>
        <w:rPr>
          <w:sz w:val="20"/>
          <w:szCs w:val="20"/>
          <w:color w:val="auto"/>
        </w:rPr>
      </w:pPr>
    </w:p>
    <w:p>
      <w:pPr>
        <w:jc w:val="both"/>
        <w:ind w:left="640" w:hanging="634"/>
        <w:spacing w:after="0" w:line="259" w:lineRule="auto"/>
        <w:rPr>
          <w:sz w:val="20"/>
          <w:szCs w:val="20"/>
          <w:color w:val="auto"/>
        </w:rPr>
      </w:pPr>
      <w:r>
        <w:rPr>
          <w:rFonts w:ascii="Arial" w:cs="Arial" w:eastAsia="Arial" w:hAnsi="Arial"/>
          <w:sz w:val="19"/>
          <w:szCs w:val="19"/>
          <w:color w:val="auto"/>
        </w:rPr>
        <w:t>11.1.1 All Claims shall become time-barred (</w:t>
      </w:r>
      <w:r>
        <w:rPr>
          <w:rFonts w:ascii="Arial" w:cs="Arial" w:eastAsia="Arial" w:hAnsi="Arial"/>
          <w:sz w:val="19"/>
          <w:szCs w:val="19"/>
          <w:i w:val="1"/>
          <w:iCs w:val="1"/>
          <w:color w:val="auto"/>
        </w:rPr>
        <w:t>verjähren</w:t>
      </w:r>
      <w:r>
        <w:rPr>
          <w:rFonts w:ascii="Arial" w:cs="Arial" w:eastAsia="Arial" w:hAnsi="Arial"/>
          <w:sz w:val="19"/>
          <w:szCs w:val="19"/>
          <w:color w:val="auto"/>
        </w:rPr>
        <w:t>) on the date which is twenty-seven (27) months after the Closing Date, except for (i) Claims based on a breach of Fundamental Seller Warranties or in relation to specific performance claims (</w:t>
      </w:r>
      <w:r>
        <w:rPr>
          <w:rFonts w:ascii="Arial" w:cs="Arial" w:eastAsia="Arial" w:hAnsi="Arial"/>
          <w:sz w:val="19"/>
          <w:szCs w:val="19"/>
          <w:i w:val="1"/>
          <w:iCs w:val="1"/>
          <w:color w:val="auto"/>
        </w:rPr>
        <w:t>Erfüllungsansprüche</w:t>
      </w:r>
      <w:r>
        <w:rPr>
          <w:rFonts w:ascii="Arial" w:cs="Arial" w:eastAsia="Arial" w:hAnsi="Arial"/>
          <w:sz w:val="19"/>
          <w:szCs w:val="19"/>
          <w:color w:val="auto"/>
        </w:rPr>
        <w:t>) to transfer title to the Shares, which shall become time-barred (</w:t>
      </w:r>
      <w:r>
        <w:rPr>
          <w:rFonts w:ascii="Arial" w:cs="Arial" w:eastAsia="Arial" w:hAnsi="Arial"/>
          <w:sz w:val="19"/>
          <w:szCs w:val="19"/>
          <w:i w:val="1"/>
          <w:iCs w:val="1"/>
          <w:color w:val="auto"/>
        </w:rPr>
        <w:t>verjährt</w:t>
      </w:r>
      <w:r>
        <w:rPr>
          <w:rFonts w:ascii="Arial" w:cs="Arial" w:eastAsia="Arial" w:hAnsi="Arial"/>
          <w:sz w:val="19"/>
          <w:szCs w:val="19"/>
          <w:color w:val="auto"/>
        </w:rPr>
        <w:t>) sixty-six (66) months after the Closing Date; and (ii) Claims relating to Taxes which shall become time-barred (</w:t>
      </w:r>
      <w:r>
        <w:rPr>
          <w:rFonts w:ascii="Arial" w:cs="Arial" w:eastAsia="Arial" w:hAnsi="Arial"/>
          <w:sz w:val="19"/>
          <w:szCs w:val="19"/>
          <w:i w:val="1"/>
          <w:iCs w:val="1"/>
          <w:color w:val="auto"/>
        </w:rPr>
        <w:t>verjährt</w:t>
      </w:r>
      <w:r>
        <w:rPr>
          <w:rFonts w:ascii="Arial" w:cs="Arial" w:eastAsia="Arial" w:hAnsi="Arial"/>
          <w:sz w:val="19"/>
          <w:szCs w:val="19"/>
          <w:color w:val="auto"/>
        </w:rPr>
        <w:t>) six months after the relevant tax assessment notice (</w:t>
      </w:r>
      <w:r>
        <w:rPr>
          <w:rFonts w:ascii="Arial" w:cs="Arial" w:eastAsia="Arial" w:hAnsi="Arial"/>
          <w:sz w:val="19"/>
          <w:szCs w:val="19"/>
          <w:i w:val="1"/>
          <w:iCs w:val="1"/>
          <w:color w:val="auto"/>
        </w:rPr>
        <w:t>Steuerbescheid</w:t>
      </w:r>
      <w:r>
        <w:rPr>
          <w:rFonts w:ascii="Arial" w:cs="Arial" w:eastAsia="Arial" w:hAnsi="Arial"/>
          <w:sz w:val="19"/>
          <w:szCs w:val="19"/>
          <w:color w:val="auto"/>
        </w:rPr>
        <w:t>) has become final and conclusive in terms of form and contents (</w:t>
      </w:r>
      <w:r>
        <w:rPr>
          <w:rFonts w:ascii="Arial" w:cs="Arial" w:eastAsia="Arial" w:hAnsi="Arial"/>
          <w:sz w:val="19"/>
          <w:szCs w:val="19"/>
          <w:i w:val="1"/>
          <w:iCs w:val="1"/>
          <w:color w:val="auto"/>
        </w:rPr>
        <w:t>formell und materiell bestandskräftig)</w:t>
      </w:r>
      <w:r>
        <w:rPr>
          <w:rFonts w:ascii="Arial" w:cs="Arial" w:eastAsia="Arial" w:hAnsi="Arial"/>
          <w:sz w:val="19"/>
          <w:szCs w:val="19"/>
          <w:color w:val="auto"/>
        </w:rPr>
        <w:t>.</w:t>
      </w:r>
    </w:p>
    <w:p>
      <w:pPr>
        <w:spacing w:after="0" w:line="70" w:lineRule="exact"/>
        <w:rPr>
          <w:sz w:val="20"/>
          <w:szCs w:val="20"/>
          <w:color w:val="auto"/>
        </w:rPr>
      </w:pPr>
    </w:p>
    <w:p>
      <w:pPr>
        <w:jc w:val="both"/>
        <w:ind w:left="640" w:hanging="634"/>
        <w:spacing w:after="0" w:line="263" w:lineRule="auto"/>
        <w:rPr>
          <w:sz w:val="20"/>
          <w:szCs w:val="20"/>
          <w:color w:val="auto"/>
        </w:rPr>
      </w:pPr>
      <w:r>
        <w:rPr>
          <w:rFonts w:ascii="Arial" w:cs="Arial" w:eastAsia="Arial" w:hAnsi="Arial"/>
          <w:sz w:val="19"/>
          <w:szCs w:val="19"/>
          <w:color w:val="auto"/>
        </w:rPr>
        <w:t>11.1.2 The expiry period for any Claims shall be tolled (</w:t>
      </w:r>
      <w:r>
        <w:rPr>
          <w:rFonts w:ascii="Arial" w:cs="Arial" w:eastAsia="Arial" w:hAnsi="Arial"/>
          <w:sz w:val="19"/>
          <w:szCs w:val="19"/>
          <w:i w:val="1"/>
          <w:iCs w:val="1"/>
          <w:color w:val="auto"/>
        </w:rPr>
        <w:t>gehemmt</w:t>
      </w:r>
      <w:r>
        <w:rPr>
          <w:rFonts w:ascii="Arial" w:cs="Arial" w:eastAsia="Arial" w:hAnsi="Arial"/>
          <w:sz w:val="19"/>
          <w:szCs w:val="19"/>
          <w:color w:val="auto"/>
        </w:rPr>
        <w:t>) pursuant to Section 209 BGB by a Claim Notice, provided that the Indemnified Party commences judicial proceedings within twelve (12) months after the issuance of the Claim Notice. Section 203 BGB shall not apply, unless the Parties agree in writing that the expiry period shall be suspended (</w:t>
      </w:r>
      <w:r>
        <w:rPr>
          <w:rFonts w:ascii="Arial" w:cs="Arial" w:eastAsia="Arial" w:hAnsi="Arial"/>
          <w:sz w:val="19"/>
          <w:szCs w:val="19"/>
          <w:i w:val="1"/>
          <w:iCs w:val="1"/>
          <w:color w:val="auto"/>
        </w:rPr>
        <w:t>gehemmt</w:t>
      </w:r>
      <w:r>
        <w:rPr>
          <w:rFonts w:ascii="Arial" w:cs="Arial" w:eastAsia="Arial" w:hAnsi="Arial"/>
          <w:sz w:val="19"/>
          <w:szCs w:val="19"/>
          <w:color w:val="auto"/>
        </w:rPr>
        <w:t>) on the basis of pending settlement negotiations.</w:t>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Liability Limits</w:t>
      </w:r>
    </w:p>
    <w:p>
      <w:pPr>
        <w:spacing w:after="0" w:line="114" w:lineRule="exact"/>
        <w:rPr>
          <w:sz w:val="20"/>
          <w:szCs w:val="20"/>
          <w:color w:val="auto"/>
        </w:rPr>
      </w:pPr>
    </w:p>
    <w:p>
      <w:pPr>
        <w:jc w:val="both"/>
        <w:ind w:left="640" w:hanging="634"/>
        <w:spacing w:after="0" w:line="269" w:lineRule="auto"/>
        <w:rPr>
          <w:sz w:val="20"/>
          <w:szCs w:val="20"/>
          <w:color w:val="auto"/>
        </w:rPr>
      </w:pPr>
      <w:r>
        <w:rPr>
          <w:rFonts w:ascii="Arial" w:cs="Arial" w:eastAsia="Arial" w:hAnsi="Arial"/>
          <w:sz w:val="18"/>
          <w:szCs w:val="18"/>
          <w:color w:val="auto"/>
        </w:rPr>
        <w:t>11.2.1 The total aggregate amount of the liability of the Seller in respect of all and any Claims shall be limited to an amount equal to (i) the Purchase Price for Fundamental Seller Warranties and Leakage Claims; (ii) €3,000,000 for Claims subject to Clauses IV C, D, E of the R&amp;W Insurance Policy; (iii) €6,500,000 for Claims subject to Clause IV G of the R&amp;W Insurance Policy (Corrupt Practices); (iv) €5,000,000 above the amount covered by the R&amp;W Insurance Policy for Claims based on a breach of the Seller Warranties in Section 18 of Schedule 1 (Intellectual Property) and</w:t>
      </w:r>
    </w:p>
    <w:p>
      <w:pPr>
        <w:spacing w:after="0" w:line="4" w:lineRule="exact"/>
        <w:rPr>
          <w:sz w:val="20"/>
          <w:szCs w:val="20"/>
          <w:color w:val="auto"/>
        </w:rPr>
      </w:pPr>
    </w:p>
    <w:p>
      <w:pPr>
        <w:jc w:val="both"/>
        <w:ind w:left="640" w:right="20" w:firstLine="3"/>
        <w:spacing w:after="0" w:line="241" w:lineRule="auto"/>
        <w:tabs>
          <w:tab w:leader="none" w:pos="932" w:val="left"/>
        </w:tabs>
        <w:numPr>
          <w:ilvl w:val="0"/>
          <w:numId w:val="574"/>
        </w:numPr>
        <w:rPr>
          <w:rFonts w:ascii="Arial" w:cs="Arial" w:eastAsia="Arial" w:hAnsi="Arial"/>
          <w:sz w:val="20"/>
          <w:szCs w:val="20"/>
          <w:color w:val="auto"/>
        </w:rPr>
      </w:pPr>
      <w:r>
        <w:rPr>
          <w:rFonts w:ascii="Arial" w:cs="Arial" w:eastAsia="Arial" w:hAnsi="Arial"/>
          <w:sz w:val="20"/>
          <w:szCs w:val="20"/>
          <w:color w:val="auto"/>
        </w:rPr>
        <w:t>€440,000 for any other Claims under Seller Warranties and under the indemnity in Clause 10.1.1e) (obligations under the Tawazun Economic Council agreements) and Claims under Seller Warranties subject to Clauses IV A, B, H and I of the R&amp;W Insurance Policy.</w:t>
      </w:r>
    </w:p>
    <w:p>
      <w:pPr>
        <w:spacing w:after="0" w:line="88"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11.2.2 Any Purchaser Indemnified Party shall only have Claims under Seller Warranties if and to the extent an individual Claim exceeds an amount of €15,000 in each case (</w:t>
      </w:r>
      <w:r>
        <w:rPr>
          <w:rFonts w:ascii="Arial" w:cs="Arial" w:eastAsia="Arial" w:hAnsi="Arial"/>
          <w:sz w:val="20"/>
          <w:szCs w:val="20"/>
          <w:i w:val="1"/>
          <w:iCs w:val="1"/>
          <w:color w:val="auto"/>
        </w:rPr>
        <w:t>de-minimis</w:t>
      </w:r>
      <w:r>
        <w:rPr>
          <w:rFonts w:ascii="Arial" w:cs="Arial" w:eastAsia="Arial" w:hAnsi="Arial"/>
          <w:sz w:val="20"/>
          <w:szCs w:val="20"/>
          <w:color w:val="auto"/>
        </w:rPr>
        <w:t>-amount) or the aggregate of individual Claims which are lower than such amount exceeds an amount of €60,000.</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11.2.3  No Double Relief, Access to Records</w:t>
      </w:r>
    </w:p>
    <w:p>
      <w:pPr>
        <w:spacing w:after="0" w:line="108" w:lineRule="exact"/>
        <w:rPr>
          <w:sz w:val="20"/>
          <w:szCs w:val="20"/>
          <w:color w:val="auto"/>
        </w:rPr>
      </w:pPr>
    </w:p>
    <w:p>
      <w:pPr>
        <w:jc w:val="both"/>
        <w:ind w:left="1300" w:right="20" w:hanging="644"/>
        <w:spacing w:after="0" w:line="250" w:lineRule="auto"/>
        <w:tabs>
          <w:tab w:leader="none" w:pos="1300" w:val="left"/>
        </w:tabs>
        <w:numPr>
          <w:ilvl w:val="0"/>
          <w:numId w:val="575"/>
        </w:numPr>
        <w:rPr>
          <w:rFonts w:ascii="Arial" w:cs="Arial" w:eastAsia="Arial" w:hAnsi="Arial"/>
          <w:sz w:val="20"/>
          <w:szCs w:val="20"/>
          <w:color w:val="auto"/>
        </w:rPr>
      </w:pPr>
      <w:r>
        <w:rPr>
          <w:rFonts w:ascii="Arial" w:cs="Arial" w:eastAsia="Arial" w:hAnsi="Arial"/>
          <w:sz w:val="20"/>
          <w:szCs w:val="20"/>
          <w:color w:val="auto"/>
        </w:rPr>
        <w:t>Compensation for any Claim with respect to the same matter or the same set of facts can only be recovered once, regardless of whether they arise under one or several provisions under this Agreement (no double-dip).</w:t>
      </w:r>
    </w:p>
    <w:p>
      <w:pPr>
        <w:spacing w:after="0" w:line="77" w:lineRule="exact"/>
        <w:rPr>
          <w:rFonts w:ascii="Arial" w:cs="Arial" w:eastAsia="Arial" w:hAnsi="Arial"/>
          <w:sz w:val="20"/>
          <w:szCs w:val="20"/>
          <w:color w:val="auto"/>
        </w:rPr>
      </w:pPr>
    </w:p>
    <w:p>
      <w:pPr>
        <w:jc w:val="both"/>
        <w:ind w:left="1300" w:right="20" w:hanging="644"/>
        <w:spacing w:after="0" w:line="250" w:lineRule="auto"/>
        <w:tabs>
          <w:tab w:leader="none" w:pos="1300" w:val="left"/>
        </w:tabs>
        <w:numPr>
          <w:ilvl w:val="0"/>
          <w:numId w:val="575"/>
        </w:numPr>
        <w:rPr>
          <w:rFonts w:ascii="Arial" w:cs="Arial" w:eastAsia="Arial" w:hAnsi="Arial"/>
          <w:sz w:val="20"/>
          <w:szCs w:val="20"/>
          <w:color w:val="auto"/>
        </w:rPr>
      </w:pPr>
      <w:r>
        <w:rPr>
          <w:rFonts w:ascii="Arial" w:cs="Arial" w:eastAsia="Arial" w:hAnsi="Arial"/>
          <w:sz w:val="20"/>
          <w:szCs w:val="20"/>
          <w:color w:val="auto"/>
        </w:rPr>
        <w:t>The Purchaser shall give all such reasonable assistance to the Seller and the Shareholders and access to all such information and documents in its possession or control as reasonably required in order to remedy the Claim and/or determine the Claim, as applicable.</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11.2.4  The Seller shall not be liable for any Claim under or in connection with this Agreement if and to the extent that:</w:t>
      </w:r>
    </w:p>
    <w:p>
      <w:pPr>
        <w:spacing w:after="0" w:line="119" w:lineRule="exact"/>
        <w:rPr>
          <w:sz w:val="20"/>
          <w:szCs w:val="20"/>
          <w:color w:val="auto"/>
        </w:rPr>
      </w:pPr>
    </w:p>
    <w:p>
      <w:pPr>
        <w:ind w:left="1300" w:right="20" w:hanging="644"/>
        <w:spacing w:after="0" w:line="260" w:lineRule="auto"/>
        <w:tabs>
          <w:tab w:leader="none" w:pos="1300" w:val="left"/>
        </w:tabs>
        <w:numPr>
          <w:ilvl w:val="0"/>
          <w:numId w:val="576"/>
        </w:numPr>
        <w:rPr>
          <w:rFonts w:ascii="Arial" w:cs="Arial" w:eastAsia="Arial" w:hAnsi="Arial"/>
          <w:sz w:val="20"/>
          <w:szCs w:val="20"/>
          <w:color w:val="auto"/>
        </w:rPr>
      </w:pPr>
      <w:r>
        <w:rPr>
          <w:rFonts w:ascii="Arial" w:cs="Arial" w:eastAsia="Arial" w:hAnsi="Arial"/>
          <w:sz w:val="20"/>
          <w:szCs w:val="20"/>
          <w:color w:val="auto"/>
        </w:rPr>
        <w:t>the amount of the Claim is recoverable from a third party (including the R&amp;W Insurer or any other insurance providers);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2" w:lineRule="exact"/>
        <w:rPr>
          <w:rFonts w:ascii="Arial" w:cs="Arial" w:eastAsia="Arial" w:hAnsi="Arial"/>
          <w:sz w:val="20"/>
          <w:szCs w:val="20"/>
          <w:color w:val="auto"/>
        </w:rPr>
      </w:pPr>
    </w:p>
    <w:p>
      <w:pPr>
        <w:ind w:left="4880" w:hanging="111"/>
        <w:spacing w:after="0"/>
        <w:tabs>
          <w:tab w:leader="none" w:pos="488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20" w:name="page521"/>
    <w:bookmarkEnd w:id="520"/>
    <w:p>
      <w:pPr>
        <w:jc w:val="both"/>
        <w:ind w:left="1300" w:hanging="644"/>
        <w:spacing w:after="0" w:line="250" w:lineRule="auto"/>
        <w:tabs>
          <w:tab w:leader="none" w:pos="1300" w:val="left"/>
        </w:tabs>
        <w:numPr>
          <w:ilvl w:val="0"/>
          <w:numId w:val="577"/>
        </w:numPr>
        <w:rPr>
          <w:rFonts w:ascii="Arial" w:cs="Arial" w:eastAsia="Arial" w:hAnsi="Arial"/>
          <w:sz w:val="20"/>
          <w:szCs w:val="20"/>
          <w:color w:val="auto"/>
        </w:rPr>
      </w:pPr>
      <w:r>
        <w:rPr>
          <w:rFonts w:ascii="Arial" w:cs="Arial" w:eastAsia="Arial" w:hAnsi="Arial"/>
          <w:sz w:val="20"/>
          <w:szCs w:val="20"/>
          <w:color w:val="auto"/>
        </w:rPr>
        <w:t>Purchaser, Purchaser's affiliates or – following the Closing Date – the Company Group have participated in causing such Claim within the meaning of Section 254 (1) BGB or have failed to comply with their obligation to mitigate damages pursuant to Section 254 (2) BGB;</w:t>
      </w:r>
    </w:p>
    <w:p>
      <w:pPr>
        <w:spacing w:after="0" w:line="7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577"/>
        </w:numPr>
        <w:rPr>
          <w:rFonts w:ascii="Arial" w:cs="Arial" w:eastAsia="Arial" w:hAnsi="Arial"/>
          <w:sz w:val="20"/>
          <w:szCs w:val="20"/>
          <w:color w:val="auto"/>
        </w:rPr>
      </w:pPr>
      <w:r>
        <w:rPr>
          <w:rFonts w:ascii="Arial" w:cs="Arial" w:eastAsia="Arial" w:hAnsi="Arial"/>
          <w:sz w:val="20"/>
          <w:szCs w:val="20"/>
          <w:color w:val="auto"/>
        </w:rPr>
        <w:t>the relevant action or omission triggering the Claim was carried out at the direction, request or with the prior written consent of the Purchaser or was explicitly provided for in this Agreement;</w:t>
      </w:r>
    </w:p>
    <w:p>
      <w:pPr>
        <w:spacing w:after="0" w:line="68" w:lineRule="exact"/>
        <w:rPr>
          <w:rFonts w:ascii="Arial" w:cs="Arial" w:eastAsia="Arial" w:hAnsi="Arial"/>
          <w:sz w:val="20"/>
          <w:szCs w:val="20"/>
          <w:color w:val="auto"/>
        </w:rPr>
      </w:pPr>
    </w:p>
    <w:p>
      <w:pPr>
        <w:ind w:left="1300" w:hanging="644"/>
        <w:spacing w:after="0" w:line="316" w:lineRule="auto"/>
        <w:tabs>
          <w:tab w:leader="none" w:pos="13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Claim results or is increased (in that case limited to the increase) from the passing of, or any change in, after the Closing Date, any applicable law or administrative practice or order of any Governmental Entity;</w:t>
      </w:r>
    </w:p>
    <w:p>
      <w:pPr>
        <w:spacing w:after="0" w:line="21" w:lineRule="exact"/>
        <w:rPr>
          <w:rFonts w:ascii="Arial" w:cs="Arial" w:eastAsia="Arial" w:hAnsi="Arial"/>
          <w:sz w:val="18"/>
          <w:szCs w:val="18"/>
          <w:color w:val="auto"/>
        </w:rPr>
      </w:pPr>
    </w:p>
    <w:p>
      <w:pPr>
        <w:ind w:left="1300" w:right="20" w:hanging="644"/>
        <w:spacing w:after="0" w:line="260" w:lineRule="auto"/>
        <w:tabs>
          <w:tab w:leader="none" w:pos="1300" w:val="left"/>
        </w:tabs>
        <w:numPr>
          <w:ilvl w:val="0"/>
          <w:numId w:val="577"/>
        </w:numPr>
        <w:rPr>
          <w:rFonts w:ascii="Arial" w:cs="Arial" w:eastAsia="Arial" w:hAnsi="Arial"/>
          <w:sz w:val="20"/>
          <w:szCs w:val="20"/>
          <w:color w:val="auto"/>
        </w:rPr>
      </w:pPr>
      <w:r>
        <w:rPr>
          <w:rFonts w:ascii="Arial" w:cs="Arial" w:eastAsia="Arial" w:hAnsi="Arial"/>
          <w:sz w:val="20"/>
          <w:szCs w:val="20"/>
          <w:color w:val="auto"/>
        </w:rPr>
        <w:t>the procedures set forth in Sub-Clause 4.4 and Clause 10 were not observed by Purchaser if and to the extent damages were caused or increased by such non-compliance;</w:t>
      </w:r>
    </w:p>
    <w:p>
      <w:pPr>
        <w:spacing w:after="0" w:line="68"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577"/>
        </w:numPr>
        <w:rPr>
          <w:rFonts w:ascii="Arial" w:cs="Arial" w:eastAsia="Arial" w:hAnsi="Arial"/>
          <w:sz w:val="20"/>
          <w:szCs w:val="20"/>
          <w:color w:val="auto"/>
        </w:rPr>
      </w:pPr>
      <w:r>
        <w:rPr>
          <w:rFonts w:ascii="Arial" w:cs="Arial" w:eastAsia="Arial" w:hAnsi="Arial"/>
          <w:sz w:val="20"/>
          <w:szCs w:val="20"/>
          <w:color w:val="auto"/>
        </w:rPr>
        <w:t>it is reduced by any present or future advantage or benefit, including tax benefits, arising out of or in connection with the relevant matter giving raise to the Claim;</w:t>
      </w:r>
    </w:p>
    <w:p>
      <w:pPr>
        <w:spacing w:after="0" w:line="69" w:lineRule="exact"/>
        <w:rPr>
          <w:sz w:val="20"/>
          <w:szCs w:val="20"/>
          <w:color w:val="auto"/>
        </w:rPr>
      </w:pPr>
    </w:p>
    <w:p>
      <w:pPr>
        <w:ind w:left="1300" w:right="20" w:hanging="644"/>
        <w:spacing w:after="0" w:line="260" w:lineRule="auto"/>
        <w:tabs>
          <w:tab w:leader="none" w:pos="1300" w:val="left"/>
        </w:tabs>
        <w:numPr>
          <w:ilvl w:val="0"/>
          <w:numId w:val="578"/>
        </w:numPr>
        <w:rPr>
          <w:rFonts w:ascii="Arial" w:cs="Arial" w:eastAsia="Arial" w:hAnsi="Arial"/>
          <w:sz w:val="20"/>
          <w:szCs w:val="20"/>
          <w:color w:val="auto"/>
        </w:rPr>
      </w:pPr>
      <w:r>
        <w:rPr>
          <w:rFonts w:ascii="Arial" w:cs="Arial" w:eastAsia="Arial" w:hAnsi="Arial"/>
          <w:sz w:val="20"/>
          <w:szCs w:val="20"/>
          <w:color w:val="auto"/>
        </w:rPr>
        <w:t>the relevant amount is reflected as a write-off, liability or provision in the consolidated balance sheet of the Company as of the Locked Box Date.</w:t>
      </w:r>
    </w:p>
    <w:p>
      <w:pPr>
        <w:spacing w:after="0" w:line="69" w:lineRule="exact"/>
        <w:rPr>
          <w:sz w:val="20"/>
          <w:szCs w:val="20"/>
          <w:color w:val="auto"/>
        </w:rPr>
      </w:pPr>
    </w:p>
    <w:p>
      <w:pPr>
        <w:jc w:val="both"/>
        <w:ind w:left="640" w:hanging="634"/>
        <w:spacing w:after="0" w:line="291" w:lineRule="auto"/>
        <w:rPr>
          <w:sz w:val="20"/>
          <w:szCs w:val="20"/>
          <w:color w:val="auto"/>
        </w:rPr>
      </w:pPr>
      <w:r>
        <w:rPr>
          <w:rFonts w:ascii="Arial" w:cs="Arial" w:eastAsia="Arial" w:hAnsi="Arial"/>
          <w:sz w:val="18"/>
          <w:szCs w:val="18"/>
          <w:color w:val="auto"/>
        </w:rPr>
        <w:t>11.2.5 Any failure of any Purchaser Indemnified Party to comply with any notification obligation shall release the Seller from its indemnification obligations only if, and only to the extent that, such failure to so notify the Seller results in the forfeiture by the Seller of rights and defences otherwise available to the Seller with respect to such claim.</w:t>
      </w:r>
    </w:p>
    <w:p>
      <w:pPr>
        <w:spacing w:after="0" w:line="44" w:lineRule="exact"/>
        <w:rPr>
          <w:sz w:val="20"/>
          <w:szCs w:val="20"/>
          <w:color w:val="auto"/>
        </w:rPr>
      </w:pPr>
    </w:p>
    <w:p>
      <w:pPr>
        <w:jc w:val="both"/>
        <w:ind w:left="640" w:right="20" w:hanging="634"/>
        <w:spacing w:after="0" w:line="260" w:lineRule="auto"/>
        <w:rPr>
          <w:sz w:val="20"/>
          <w:szCs w:val="20"/>
          <w:color w:val="auto"/>
        </w:rPr>
      </w:pPr>
      <w:r>
        <w:rPr>
          <w:rFonts w:ascii="Arial" w:cs="Arial" w:eastAsia="Arial" w:hAnsi="Arial"/>
          <w:sz w:val="20"/>
          <w:szCs w:val="20"/>
          <w:color w:val="auto"/>
        </w:rPr>
        <w:t>11.2.6 For the avoidance of doubt no provision herein shall prohibit any Purchaser Indemnified Party from recovery of amounts under the R&amp;W Insurance Policy.</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color w:val="auto"/>
        </w:rPr>
        <w:t>Investigations</w:t>
      </w:r>
    </w:p>
    <w:p>
      <w:pPr>
        <w:spacing w:after="0" w:line="114"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The respective warranties of the Parties contained in this Agreement or in any certificate or other document delivered by any Party prior to the Closing Date and the rights to indemnification set forth in Clause 10 shall not be deemed waived or otherwise affected by any investigation made, or knowledge acquired, by a Party to this Agreement, provided that the liability limitations of the Seller in Clause 11.2.1 shall remain unaffected.</w:t>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color w:val="auto"/>
        </w:rPr>
        <w:t>Exclusion of further Remedies</w:t>
      </w:r>
    </w:p>
    <w:p>
      <w:pPr>
        <w:spacing w:after="0" w:line="114"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The remedies provided for in this Agreement (including in Sub-Clause 4.4) and recovery under the R&amp;W Insurance Policy shall be the sole remedies available to a Purchaser Indemnified Party with respect to Claims or otherwise as regards claims of a purchaser for defects of the purchased object (</w:t>
      </w:r>
      <w:r>
        <w:rPr>
          <w:rFonts w:ascii="Arial" w:cs="Arial" w:eastAsia="Arial" w:hAnsi="Arial"/>
          <w:sz w:val="18"/>
          <w:szCs w:val="18"/>
          <w:i w:val="1"/>
          <w:iCs w:val="1"/>
          <w:color w:val="auto"/>
        </w:rPr>
        <w:t>Rechte des Käufers bei Mängeln der verkauften</w:t>
      </w:r>
      <w:r>
        <w:rPr>
          <w:rFonts w:ascii="Arial" w:cs="Arial" w:eastAsia="Arial" w:hAnsi="Arial"/>
          <w:sz w:val="18"/>
          <w:szCs w:val="18"/>
          <w:color w:val="auto"/>
        </w:rPr>
        <w:t xml:space="preserve"> </w:t>
      </w:r>
      <w:r>
        <w:rPr>
          <w:rFonts w:ascii="Arial" w:cs="Arial" w:eastAsia="Arial" w:hAnsi="Arial"/>
          <w:sz w:val="18"/>
          <w:szCs w:val="18"/>
          <w:i w:val="1"/>
          <w:iCs w:val="1"/>
          <w:color w:val="auto"/>
        </w:rPr>
        <w:t>Sache</w:t>
      </w:r>
      <w:r>
        <w:rPr>
          <w:rFonts w:ascii="Arial" w:cs="Arial" w:eastAsia="Arial" w:hAnsi="Arial"/>
          <w:sz w:val="18"/>
          <w:szCs w:val="18"/>
          <w:color w:val="auto"/>
        </w:rPr>
        <w:t>). To the extent permitted by law any further claims and remedies of a Purchaser Indemnified Party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defects of the purchased object (</w:t>
      </w:r>
      <w:r>
        <w:rPr>
          <w:rFonts w:ascii="Arial" w:cs="Arial" w:eastAsia="Arial" w:hAnsi="Arial"/>
          <w:sz w:val="18"/>
          <w:szCs w:val="18"/>
          <w:i w:val="1"/>
          <w:iCs w:val="1"/>
          <w:color w:val="auto"/>
        </w:rPr>
        <w:t>Mängel der verkauften Sache</w:t>
      </w:r>
      <w:r>
        <w:rPr>
          <w:rFonts w:ascii="Arial" w:cs="Arial" w:eastAsia="Arial" w:hAnsi="Arial"/>
          <w:sz w:val="18"/>
          <w:szCs w:val="18"/>
          <w:color w:val="auto"/>
        </w:rPr>
        <w:t>) irrespective of which nature, amount or legal basis, are hereby expressly waived and excluded, in particular, without limitation, claims for pre-contractual fault (Section 311 (2) and (3) and Section 241 (2) BGB), breach of contract (</w:t>
      </w:r>
      <w:r>
        <w:rPr>
          <w:rFonts w:ascii="Arial" w:cs="Arial" w:eastAsia="Arial" w:hAnsi="Arial"/>
          <w:sz w:val="18"/>
          <w:szCs w:val="18"/>
          <w:i w:val="1"/>
          <w:iCs w:val="1"/>
          <w:color w:val="auto"/>
        </w:rPr>
        <w:t>Pflichtverletzung aus dem Schuldverhältnis</w:t>
      </w:r>
      <w:r>
        <w:rPr>
          <w:rFonts w:ascii="Arial" w:cs="Arial" w:eastAsia="Arial" w:hAnsi="Arial"/>
          <w:sz w:val="18"/>
          <w:szCs w:val="18"/>
          <w:color w:val="auto"/>
        </w:rPr>
        <w:t>), frustration of contract (</w:t>
      </w:r>
      <w:r>
        <w:rPr>
          <w:rFonts w:ascii="Arial" w:cs="Arial" w:eastAsia="Arial" w:hAnsi="Arial"/>
          <w:sz w:val="18"/>
          <w:szCs w:val="18"/>
          <w:i w:val="1"/>
          <w:iCs w:val="1"/>
          <w:color w:val="auto"/>
        </w:rPr>
        <w:t>Störung der Geschäftsgrundlage</w:t>
      </w:r>
      <w:r>
        <w:rPr>
          <w:rFonts w:ascii="Arial" w:cs="Arial" w:eastAsia="Arial" w:hAnsi="Arial"/>
          <w:sz w:val="18"/>
          <w:szCs w:val="18"/>
          <w:color w:val="auto"/>
        </w:rPr>
        <w:t>), claims arising from statutory warranty provisions (</w:t>
      </w:r>
      <w:r>
        <w:rPr>
          <w:rFonts w:ascii="Arial" w:cs="Arial" w:eastAsia="Arial" w:hAnsi="Arial"/>
          <w:sz w:val="18"/>
          <w:szCs w:val="18"/>
          <w:i w:val="1"/>
          <w:iCs w:val="1"/>
          <w:color w:val="auto"/>
        </w:rPr>
        <w:t>gesetzliche Gewährleistungsbestimmungen</w:t>
      </w:r>
      <w:r>
        <w:rPr>
          <w:rFonts w:ascii="Arial" w:cs="Arial" w:eastAsia="Arial" w:hAnsi="Arial"/>
          <w:sz w:val="18"/>
          <w:szCs w:val="18"/>
          <w:color w:val="auto"/>
        </w:rPr>
        <w:t>) and any other claims to terminate this Agreement (</w:t>
      </w:r>
      <w:r>
        <w:rPr>
          <w:rFonts w:ascii="Arial" w:cs="Arial" w:eastAsia="Arial" w:hAnsi="Arial"/>
          <w:sz w:val="18"/>
          <w:szCs w:val="18"/>
          <w:i w:val="1"/>
          <w:iCs w:val="1"/>
          <w:color w:val="auto"/>
        </w:rPr>
        <w:t>zurücktreten vom</w:t>
      </w:r>
      <w:r>
        <w:rPr>
          <w:rFonts w:ascii="Arial" w:cs="Arial" w:eastAsia="Arial" w:hAnsi="Arial"/>
          <w:sz w:val="18"/>
          <w:szCs w:val="18"/>
          <w:color w:val="auto"/>
        </w:rPr>
        <w:t xml:space="preserve"> </w:t>
      </w:r>
      <w:r>
        <w:rPr>
          <w:rFonts w:ascii="Arial" w:cs="Arial" w:eastAsia="Arial" w:hAnsi="Arial"/>
          <w:sz w:val="18"/>
          <w:szCs w:val="18"/>
          <w:i w:val="1"/>
          <w:iCs w:val="1"/>
          <w:color w:val="auto"/>
        </w:rPr>
        <w:t>Vertrag</w:t>
      </w:r>
      <w:r>
        <w:rPr>
          <w:rFonts w:ascii="Arial" w:cs="Arial" w:eastAsia="Arial" w:hAnsi="Arial"/>
          <w:sz w:val="18"/>
          <w:szCs w:val="18"/>
          <w:color w:val="auto"/>
        </w:rPr>
        <w:t>), to reduce the Purchase Price (</w:t>
      </w:r>
      <w:r>
        <w:rPr>
          <w:rFonts w:ascii="Arial" w:cs="Arial" w:eastAsia="Arial" w:hAnsi="Arial"/>
          <w:sz w:val="18"/>
          <w:szCs w:val="18"/>
          <w:i w:val="1"/>
          <w:iCs w:val="1"/>
          <w:color w:val="auto"/>
        </w:rPr>
        <w:t>Kaufpreis mindern</w:t>
      </w:r>
      <w:r>
        <w:rPr>
          <w:rFonts w:ascii="Arial" w:cs="Arial" w:eastAsia="Arial" w:hAnsi="Arial"/>
          <w:sz w:val="18"/>
          <w:szCs w:val="18"/>
          <w:color w:val="auto"/>
        </w:rPr>
        <w:t>) or to rescind this Agreement (</w:t>
      </w:r>
      <w:r>
        <w:rPr>
          <w:rFonts w:ascii="Arial" w:cs="Arial" w:eastAsia="Arial" w:hAnsi="Arial"/>
          <w:sz w:val="18"/>
          <w:szCs w:val="18"/>
          <w:i w:val="1"/>
          <w:iCs w:val="1"/>
          <w:color w:val="auto"/>
        </w:rPr>
        <w:t>anfechten</w:t>
      </w:r>
      <w:r>
        <w:rPr>
          <w:rFonts w:ascii="Arial" w:cs="Arial" w:eastAsia="Arial" w:hAnsi="Arial"/>
          <w:sz w:val="18"/>
          <w:szCs w:val="18"/>
          <w:color w:val="auto"/>
        </w:rPr>
        <w:t>), or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to cause the termination, invalidity or unwinding (</w:t>
      </w:r>
      <w:r>
        <w:rPr>
          <w:rFonts w:ascii="Arial" w:cs="Arial" w:eastAsia="Arial" w:hAnsi="Arial"/>
          <w:sz w:val="18"/>
          <w:szCs w:val="18"/>
          <w:i w:val="1"/>
          <w:iCs w:val="1"/>
          <w:color w:val="auto"/>
        </w:rPr>
        <w:t>Rückabwicklung</w:t>
      </w:r>
      <w:r>
        <w:rPr>
          <w:rFonts w:ascii="Arial" w:cs="Arial" w:eastAsia="Arial" w:hAnsi="Arial"/>
          <w:sz w:val="18"/>
          <w:szCs w:val="18"/>
          <w:color w:val="auto"/>
        </w:rPr>
        <w:t>) of this Agreement, a change of its content or a reimbursement or reduction of the Purchase Price.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21" w:name="page522"/>
    <w:bookmarkEnd w:id="521"/>
    <w:p>
      <w:pPr>
        <w:spacing w:after="0"/>
        <w:tabs>
          <w:tab w:leader="none" w:pos="62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8"/>
          <w:szCs w:val="18"/>
          <w:b w:val="1"/>
          <w:bCs w:val="1"/>
          <w:color w:val="auto"/>
        </w:rPr>
        <w:t>No Limitation for Intentional Breach</w:t>
      </w:r>
    </w:p>
    <w:p>
      <w:pPr>
        <w:spacing w:after="0" w:line="11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limitations and exclusions of Seller’s liability under this Agreement set forth in this Clause 11 shall not apply (i) to any intentional (</w:t>
      </w:r>
      <w:r>
        <w:rPr>
          <w:rFonts w:ascii="Arial" w:cs="Arial" w:eastAsia="Arial" w:hAnsi="Arial"/>
          <w:sz w:val="20"/>
          <w:szCs w:val="20"/>
          <w:i w:val="1"/>
          <w:iCs w:val="1"/>
          <w:color w:val="auto"/>
        </w:rPr>
        <w:t>vorsätzlich</w:t>
      </w:r>
      <w:r>
        <w:rPr>
          <w:rFonts w:ascii="Arial" w:cs="Arial" w:eastAsia="Arial" w:hAnsi="Arial"/>
          <w:sz w:val="20"/>
          <w:szCs w:val="20"/>
          <w:color w:val="auto"/>
        </w:rPr>
        <w:t>) breach of any of the Sellers’ obligations under this Agreement or (ii) in the event of fraud, wilful default or wilful concealment on behalf of the Seller or its advisers and representatives. Sections 123 and 826 BGB shall not be affected.</w:t>
      </w:r>
    </w:p>
    <w:p>
      <w:pPr>
        <w:spacing w:after="0" w:line="77" w:lineRule="exact"/>
        <w:rPr>
          <w:sz w:val="20"/>
          <w:szCs w:val="20"/>
          <w:color w:val="auto"/>
        </w:rPr>
      </w:pPr>
    </w:p>
    <w:p>
      <w:pPr>
        <w:ind w:left="640" w:hanging="632"/>
        <w:spacing w:after="0"/>
        <w:tabs>
          <w:tab w:leader="none" w:pos="640" w:val="left"/>
        </w:tabs>
        <w:numPr>
          <w:ilvl w:val="0"/>
          <w:numId w:val="579"/>
        </w:numPr>
        <w:rPr>
          <w:rFonts w:ascii="Arial" w:cs="Arial" w:eastAsia="Arial" w:hAnsi="Arial"/>
          <w:sz w:val="20"/>
          <w:szCs w:val="20"/>
          <w:b w:val="1"/>
          <w:bCs w:val="1"/>
          <w:color w:val="auto"/>
        </w:rPr>
      </w:pPr>
      <w:r>
        <w:rPr>
          <w:rFonts w:ascii="Arial" w:cs="Arial" w:eastAsia="Arial" w:hAnsi="Arial"/>
          <w:sz w:val="20"/>
          <w:szCs w:val="20"/>
          <w:b w:val="1"/>
          <w:bCs w:val="1"/>
          <w:color w:val="auto"/>
        </w:rPr>
        <w:t>NON-COMPETITION AGREEMENT</w:t>
      </w:r>
    </w:p>
    <w:p>
      <w:pPr>
        <w:spacing w:after="0" w:line="113"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 xml:space="preserve">The Parties and the Shareholders hereby enter into the non-competition agreement included in this Deed as </w:t>
      </w:r>
      <w:r>
        <w:rPr>
          <w:rFonts w:ascii="Arial" w:cs="Arial" w:eastAsia="Arial" w:hAnsi="Arial"/>
          <w:sz w:val="20"/>
          <w:szCs w:val="20"/>
          <w:u w:val="single" w:color="auto"/>
          <w:color w:val="auto"/>
        </w:rPr>
        <w:t>Appendix 12</w:t>
      </w:r>
      <w:r>
        <w:rPr>
          <w:rFonts w:ascii="Arial" w:cs="Arial" w:eastAsia="Arial" w:hAnsi="Arial"/>
          <w:sz w:val="20"/>
          <w:szCs w:val="20"/>
          <w:color w:val="auto"/>
        </w:rPr>
        <w:t xml:space="preserve"> (the “</w:t>
      </w:r>
      <w:r>
        <w:rPr>
          <w:rFonts w:ascii="Arial" w:cs="Arial" w:eastAsia="Arial" w:hAnsi="Arial"/>
          <w:sz w:val="20"/>
          <w:szCs w:val="20"/>
          <w:b w:val="1"/>
          <w:bCs w:val="1"/>
          <w:color w:val="auto"/>
        </w:rPr>
        <w:t>Non-Competition Agreement</w:t>
      </w:r>
      <w:r>
        <w:rPr>
          <w:rFonts w:ascii="Arial" w:cs="Arial" w:eastAsia="Arial" w:hAnsi="Arial"/>
          <w:sz w:val="20"/>
          <w:szCs w:val="20"/>
          <w:color w:val="auto"/>
        </w:rPr>
        <w:t>”).</w:t>
      </w:r>
    </w:p>
    <w:p>
      <w:pPr>
        <w:spacing w:after="0" w:line="62" w:lineRule="exact"/>
        <w:rPr>
          <w:rFonts w:ascii="Arial" w:cs="Arial" w:eastAsia="Arial" w:hAnsi="Arial"/>
          <w:sz w:val="20"/>
          <w:szCs w:val="20"/>
          <w:b w:val="1"/>
          <w:bCs w:val="1"/>
          <w:color w:val="auto"/>
        </w:rPr>
      </w:pPr>
    </w:p>
    <w:p>
      <w:pPr>
        <w:ind w:left="640" w:hanging="632"/>
        <w:spacing w:after="0"/>
        <w:tabs>
          <w:tab w:leader="none" w:pos="640" w:val="left"/>
        </w:tabs>
        <w:numPr>
          <w:ilvl w:val="0"/>
          <w:numId w:val="579"/>
        </w:numPr>
        <w:rPr>
          <w:rFonts w:ascii="Arial" w:cs="Arial" w:eastAsia="Arial" w:hAnsi="Arial"/>
          <w:sz w:val="20"/>
          <w:szCs w:val="20"/>
          <w:b w:val="1"/>
          <w:bCs w:val="1"/>
          <w:color w:val="auto"/>
        </w:rPr>
      </w:pPr>
      <w:r>
        <w:rPr>
          <w:rFonts w:ascii="Arial" w:cs="Arial" w:eastAsia="Arial" w:hAnsi="Arial"/>
          <w:sz w:val="20"/>
          <w:szCs w:val="20"/>
          <w:b w:val="1"/>
          <w:bCs w:val="1"/>
          <w:color w:val="auto"/>
        </w:rPr>
        <w:t>APPROVAL DECISIONS</w:t>
      </w:r>
    </w:p>
    <w:p>
      <w:pPr>
        <w:spacing w:after="0" w:line="114"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 xml:space="preserve">13.1.1 The Shareholders made a shareholder resolution of the Seller, attached as </w:t>
      </w:r>
      <w:r>
        <w:rPr>
          <w:rFonts w:ascii="Arial" w:cs="Arial" w:eastAsia="Arial" w:hAnsi="Arial"/>
          <w:sz w:val="20"/>
          <w:szCs w:val="20"/>
          <w:u w:val="single" w:color="auto"/>
          <w:color w:val="auto"/>
        </w:rPr>
        <w:t>Appendix 13.1.1</w:t>
      </w:r>
      <w:r>
        <w:rPr>
          <w:rFonts w:ascii="Arial" w:cs="Arial" w:eastAsia="Arial" w:hAnsi="Arial"/>
          <w:sz w:val="20"/>
          <w:szCs w:val="20"/>
          <w:color w:val="auto"/>
        </w:rPr>
        <w:t xml:space="preserve"> for documentary purposes only, that the sale and assignment of the Shares by the Seller to the Purchaser in accordance with this Agreement is approved.</w:t>
      </w:r>
    </w:p>
    <w:p>
      <w:pPr>
        <w:spacing w:after="0" w:line="78"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 xml:space="preserve">13.1.2 The Seller in its capacity as the only shareholder of the Company made a shareholder resolution of the Company, attached as </w:t>
      </w:r>
      <w:r>
        <w:rPr>
          <w:rFonts w:ascii="Arial" w:cs="Arial" w:eastAsia="Arial" w:hAnsi="Arial"/>
          <w:sz w:val="20"/>
          <w:szCs w:val="20"/>
          <w:u w:val="single" w:color="auto"/>
          <w:color w:val="auto"/>
        </w:rPr>
        <w:t>Appendix 13.1.2</w:t>
      </w:r>
      <w:r>
        <w:rPr>
          <w:rFonts w:ascii="Arial" w:cs="Arial" w:eastAsia="Arial" w:hAnsi="Arial"/>
          <w:sz w:val="20"/>
          <w:szCs w:val="20"/>
          <w:color w:val="auto"/>
        </w:rPr>
        <w:t xml:space="preserve"> for documentary purposes only, that the sale and assignment of the Shares by the Seller to the Purchaser in accordance with this Agreement is approved.</w:t>
      </w:r>
    </w:p>
    <w:p>
      <w:pPr>
        <w:spacing w:after="0" w:line="72" w:lineRule="exact"/>
        <w:rPr>
          <w:sz w:val="20"/>
          <w:szCs w:val="20"/>
          <w:color w:val="auto"/>
        </w:rPr>
      </w:pPr>
    </w:p>
    <w:p>
      <w:pPr>
        <w:ind w:right="6260" w:firstLine="8"/>
        <w:spacing w:after="0" w:line="374" w:lineRule="auto"/>
        <w:tabs>
          <w:tab w:leader="none" w:pos="635" w:val="left"/>
        </w:tabs>
        <w:numPr>
          <w:ilvl w:val="0"/>
          <w:numId w:val="580"/>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 PROVISIONS 14.1 Shareholder Guarantee</w:t>
      </w:r>
    </w:p>
    <w:p>
      <w:pPr>
        <w:jc w:val="both"/>
        <w:ind w:left="660"/>
        <w:spacing w:after="0" w:line="260" w:lineRule="auto"/>
        <w:rPr>
          <w:sz w:val="20"/>
          <w:szCs w:val="20"/>
          <w:color w:val="auto"/>
        </w:rPr>
      </w:pPr>
      <w:r>
        <w:rPr>
          <w:rFonts w:ascii="Arial" w:cs="Arial" w:eastAsia="Arial" w:hAnsi="Arial"/>
          <w:sz w:val="20"/>
          <w:szCs w:val="20"/>
          <w:color w:val="auto"/>
        </w:rPr>
        <w:t>The Shareholders hereby guarantee as if they were the debtor themselves (</w:t>
      </w:r>
      <w:r>
        <w:rPr>
          <w:rFonts w:ascii="Arial" w:cs="Arial" w:eastAsia="Arial" w:hAnsi="Arial"/>
          <w:sz w:val="20"/>
          <w:szCs w:val="20"/>
          <w:i w:val="1"/>
          <w:iCs w:val="1"/>
          <w:color w:val="auto"/>
        </w:rPr>
        <w:t>verbürgen sich selbstschuldnerisch für</w:t>
      </w:r>
      <w:r>
        <w:rPr>
          <w:rFonts w:ascii="Arial" w:cs="Arial" w:eastAsia="Arial" w:hAnsi="Arial"/>
          <w:sz w:val="20"/>
          <w:szCs w:val="20"/>
          <w:color w:val="auto"/>
        </w:rPr>
        <w:t>) all obligations of the Seller arising out of or in connection with this Agreement.</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6"/>
          <w:szCs w:val="16"/>
          <w:b w:val="1"/>
          <w:bCs w:val="1"/>
          <w:color w:val="auto"/>
        </w:rPr>
        <w:t>Public Announcements</w:t>
      </w:r>
    </w:p>
    <w:p>
      <w:pPr>
        <w:spacing w:after="0" w:line="114"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Subject to its legal obligations, the Seller shall (and shall cause the Company Group to) consult with the Purchaser regarding the timing and content of all announcements regarding this Agreement or the transactions contemplated hereby to the financial community, Governmental Entities, employees, customers, suppliers or the general public and shall use reasonable efforts to agree upon the text of any such announcement prior to its release.</w:t>
      </w:r>
    </w:p>
    <w:p>
      <w:pPr>
        <w:spacing w:after="0" w:line="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6"/>
          <w:szCs w:val="16"/>
          <w:b w:val="1"/>
          <w:bCs w:val="1"/>
          <w:color w:val="auto"/>
        </w:rPr>
        <w:t>Notices</w:t>
      </w:r>
    </w:p>
    <w:p>
      <w:pPr>
        <w:spacing w:after="0" w:line="114"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All notices, communications and deliveries required or made hereunder must be made in writing, signed by or on behalf of the Party or Shareholder making the same (unless notarisation or any other specific form is required by mandatory law) and shall be delivered personally or by telecopy transmission (including transmission of PDF documents by e-mail) or by a national overnight courier service or by registered or certified mail (return receipt requested) (with postage and other fees prepaid) as follows:</w:t>
      </w:r>
    </w:p>
    <w:p>
      <w:pPr>
        <w:spacing w:after="0" w:line="220"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To the Purchaser:</w:t>
            </w:r>
          </w:p>
        </w:tc>
        <w:tc>
          <w:tcPr>
            <w:tcW w:w="1860" w:type="dxa"/>
            <w:vAlign w:val="bottom"/>
            <w:gridSpan w:val="2"/>
          </w:tcPr>
          <w:p>
            <w:pPr>
              <w:spacing w:after="0"/>
              <w:rPr>
                <w:sz w:val="20"/>
                <w:szCs w:val="20"/>
                <w:color w:val="auto"/>
              </w:rPr>
            </w:pPr>
            <w:r>
              <w:rPr>
                <w:rFonts w:ascii="Arial" w:cs="Arial" w:eastAsia="Arial" w:hAnsi="Arial"/>
                <w:sz w:val="18"/>
                <w:szCs w:val="18"/>
                <w:color w:val="auto"/>
              </w:rPr>
              <w:t>Melissa Brown, Esq.</w:t>
            </w:r>
          </w:p>
        </w:tc>
      </w:tr>
      <w:tr>
        <w:trPr>
          <w:trHeight w:val="216"/>
        </w:trPr>
        <w:tc>
          <w:tcPr>
            <w:tcW w:w="39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5"/>
              </w:rPr>
              <w:t>AEROVIRONMENT,Inc.</w:t>
            </w:r>
          </w:p>
        </w:tc>
      </w:tr>
      <w:tr>
        <w:trPr>
          <w:trHeight w:val="216"/>
        </w:trPr>
        <w:tc>
          <w:tcPr>
            <w:tcW w:w="39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900 Innovators Way</w:t>
            </w:r>
          </w:p>
        </w:tc>
      </w:tr>
      <w:tr>
        <w:trPr>
          <w:trHeight w:val="216"/>
        </w:trPr>
        <w:tc>
          <w:tcPr>
            <w:tcW w:w="39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Simi Valley, CA 93065</w:t>
            </w:r>
          </w:p>
        </w:tc>
      </w:tr>
      <w:tr>
        <w:trPr>
          <w:trHeight w:val="216"/>
        </w:trPr>
        <w:tc>
          <w:tcPr>
            <w:tcW w:w="39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190"/>
        </w:trPr>
        <w:tc>
          <w:tcPr>
            <w:tcW w:w="3960" w:type="dxa"/>
            <w:vAlign w:val="bottom"/>
          </w:tcPr>
          <w:p>
            <w:pPr>
              <w:spacing w:after="0"/>
              <w:rPr>
                <w:sz w:val="16"/>
                <w:szCs w:val="16"/>
                <w:color w:val="auto"/>
              </w:rPr>
            </w:pPr>
          </w:p>
        </w:tc>
        <w:tc>
          <w:tcPr>
            <w:tcW w:w="1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BrownM@avinc.com</w:t>
            </w:r>
          </w:p>
        </w:tc>
        <w:tc>
          <w:tcPr>
            <w:tcW w:w="3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22" w:name="page523"/>
    <w:bookmarkEnd w:id="522"/>
    <w:p>
      <w:pPr>
        <w:spacing w:after="0" w:line="282" w:lineRule="auto"/>
        <w:rPr>
          <w:sz w:val="20"/>
          <w:szCs w:val="20"/>
          <w:color w:val="auto"/>
        </w:rPr>
      </w:pPr>
      <w:r>
        <w:rPr>
          <w:rFonts w:ascii="Arial" w:cs="Arial" w:eastAsia="Arial" w:hAnsi="Arial"/>
          <w:sz w:val="18"/>
          <w:szCs w:val="18"/>
          <w:b w:val="1"/>
          <w:bCs w:val="1"/>
          <w:color w:val="auto"/>
        </w:rPr>
        <w:t>Pursuant to Item 601(a)(6) of Regulation S-K, certain personally identifiable information contained in this document, marked by brackets as [***], has been omitted.</w:t>
      </w:r>
    </w:p>
    <w:p>
      <w:pPr>
        <w:sectPr>
          <w:pgSz w:w="11900" w:h="16838" w:orient="portrait"/>
          <w:cols w:equalWidth="0" w:num="1">
            <w:col w:w="9920"/>
          </w:cols>
          <w:pgMar w:left="980" w:top="877" w:right="999" w:bottom="1440" w:gutter="0" w:footer="0" w:header="0"/>
        </w:sectPr>
      </w:pP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line="282" w:lineRule="auto"/>
        <w:rPr>
          <w:sz w:val="20"/>
          <w:szCs w:val="20"/>
          <w:color w:val="auto"/>
        </w:rPr>
      </w:pPr>
      <w:r>
        <w:rPr>
          <w:rFonts w:ascii="Arial" w:cs="Arial" w:eastAsia="Arial" w:hAnsi="Arial"/>
          <w:sz w:val="18"/>
          <w:szCs w:val="18"/>
          <w:b w:val="1"/>
          <w:bCs w:val="1"/>
          <w:color w:val="auto"/>
        </w:rPr>
        <w:t>To the Notary (for purposes of the notary trust account):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Michael Prinz zu Löwenstein,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 &amp; Spalding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Taunustor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60310 Frankfurt am 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mloewenstein@kslaw.com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Norbert Gebbeken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Unmanned Systems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GmbHVogelsangstraße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73760 Ostfildern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Gebbeken.usi@gmail.com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Timo Huesmann, Esq.</w:t>
      </w:r>
    </w:p>
    <w:p>
      <w:pPr>
        <w:spacing w:after="0" w:line="9" w:lineRule="exact"/>
        <w:rPr>
          <w:sz w:val="20"/>
          <w:szCs w:val="20"/>
          <w:color w:val="auto"/>
        </w:rPr>
      </w:pPr>
    </w:p>
    <w:p>
      <w:pPr>
        <w:ind w:right="1720"/>
        <w:spacing w:after="0" w:line="250" w:lineRule="auto"/>
        <w:rPr>
          <w:sz w:val="20"/>
          <w:szCs w:val="20"/>
          <w:color w:val="auto"/>
        </w:rPr>
      </w:pPr>
      <w:r>
        <w:rPr>
          <w:rFonts w:ascii="Arial" w:cs="Arial" w:eastAsia="Arial" w:hAnsi="Arial"/>
          <w:sz w:val="18"/>
          <w:szCs w:val="18"/>
          <w:color w:val="auto"/>
        </w:rPr>
        <w:t>Stahl &amp; Kessler Rechtsanwälte Partnerschaft mbBRichard-Wagner-Straße 10 70184 Stuttgart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timo.huesmann@sk-stuttgart.de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Norbert Gebbeken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Thomas Biehne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Adam Jaroh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 Timo Huesmann, Esq.</w:t>
      </w:r>
    </w:p>
    <w:p>
      <w:pPr>
        <w:spacing w:after="0" w:line="23" w:lineRule="exact"/>
        <w:rPr>
          <w:sz w:val="20"/>
          <w:szCs w:val="20"/>
          <w:color w:val="auto"/>
        </w:rPr>
      </w:pPr>
    </w:p>
    <w:p>
      <w:pPr>
        <w:ind w:right="1720"/>
        <w:spacing w:after="0" w:line="250" w:lineRule="auto"/>
        <w:rPr>
          <w:sz w:val="20"/>
          <w:szCs w:val="20"/>
          <w:color w:val="auto"/>
        </w:rPr>
      </w:pPr>
      <w:r>
        <w:rPr>
          <w:rFonts w:ascii="Arial" w:cs="Arial" w:eastAsia="Arial" w:hAnsi="Arial"/>
          <w:sz w:val="18"/>
          <w:szCs w:val="18"/>
          <w:color w:val="auto"/>
        </w:rPr>
        <w:t>Stahl &amp; Kessler Rechtsanwälte Partnerschaft mbBRichard-Wagner-Straße 10 70184 Stuttgart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timo.huesmann@sk-stuttgart.de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Klaus K. Fischer, LL.M.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Göring, Schmiegelt &amp; Fischer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Neue Mainzer Str. 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60311 Frankfurt am 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k.fischer@gsf-law.de</w:t>
      </w:r>
    </w:p>
    <w:p>
      <w:pPr>
        <w:spacing w:after="0" w:line="200" w:lineRule="exact"/>
        <w:rPr>
          <w:sz w:val="20"/>
          <w:szCs w:val="20"/>
          <w:color w:val="auto"/>
        </w:rPr>
      </w:pPr>
    </w:p>
    <w:p>
      <w:pPr>
        <w:sectPr>
          <w:pgSz w:w="11900" w:h="16838" w:orient="portrait"/>
          <w:cols w:equalWidth="0" w:num="2">
            <w:col w:w="4600" w:space="380"/>
            <w:col w:w="4940"/>
          </w:cols>
          <w:pgMar w:left="980" w:top="877" w:right="999" w:bottom="1440" w:gutter="0" w:footer="0" w:header="0"/>
          <w:type w:val="continuous"/>
        </w:sectPr>
      </w:pPr>
    </w:p>
    <w:p>
      <w:pPr>
        <w:spacing w:after="0" w:line="22"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or to such other representative or at such other address of a Party or Shareholder as such Party or Shareholder may furnish to the other Parties and to the Shareholders in writing. Any such notice, communication or delivery shall be deemed given or made (a) on the date of delivery, if delivered in person, or (b) upon transmission by facsimile, (c) on the first Business Day following timely delivery to an international overnight courier service or (d) on the actual date of receipt following it being mailed by surface or air mail.</w:t>
      </w:r>
    </w:p>
    <w:p>
      <w:pPr>
        <w:spacing w:after="0" w:line="6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6"/>
          <w:szCs w:val="16"/>
          <w:b w:val="1"/>
          <w:bCs w:val="1"/>
          <w:color w:val="auto"/>
        </w:rPr>
        <w:t>Schedules and Appendices</w:t>
      </w:r>
    </w:p>
    <w:p>
      <w:pPr>
        <w:spacing w:after="0" w:line="114"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The Schedules and Appendices are hereby incorporated into this Agreement and are hereby made a part hereof as if set out in full herein and/or in the Reference Deed.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523" w:name="page524"/>
    <w:bookmarkEnd w:id="523"/>
    <w:p>
      <w:pPr>
        <w:spacing w:after="0"/>
        <w:tabs>
          <w:tab w:leader="none" w:pos="62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6"/>
          <w:szCs w:val="16"/>
          <w:b w:val="1"/>
          <w:bCs w:val="1"/>
          <w:color w:val="auto"/>
        </w:rPr>
        <w:t>Assignment; Successors in Interest</w:t>
      </w:r>
    </w:p>
    <w:p>
      <w:pPr>
        <w:spacing w:after="0" w:line="114" w:lineRule="exact"/>
        <w:rPr>
          <w:sz w:val="20"/>
          <w:szCs w:val="20"/>
          <w:color w:val="auto"/>
        </w:rPr>
      </w:pPr>
    </w:p>
    <w:p>
      <w:pPr>
        <w:jc w:val="both"/>
        <w:ind w:left="640" w:hanging="634"/>
        <w:spacing w:after="0" w:line="259" w:lineRule="auto"/>
        <w:rPr>
          <w:sz w:val="20"/>
          <w:szCs w:val="20"/>
          <w:color w:val="auto"/>
        </w:rPr>
      </w:pPr>
      <w:r>
        <w:rPr>
          <w:rFonts w:ascii="Arial" w:cs="Arial" w:eastAsia="Arial" w:hAnsi="Arial"/>
          <w:sz w:val="19"/>
          <w:szCs w:val="19"/>
          <w:color w:val="auto"/>
        </w:rPr>
        <w:t>14.5.1 No assignment or transfer by any Party of such Party’s rights and obligations hereunder shall be made except with the prior written consent of the other Party; provided that the Purchaser shall, without the obligation to obtain the prior written consent of any other Party, be entitled to assign this Agreement or all or any part of its rights or obligations (with the exception of any payment obligation) hereunder to one or more Affiliates of the Purchaser, provided that the Purchaser shall be obliged to re-assign any previously assigned rights and obligations to the Purchaser at the moment the Purchaser loses control over such Affiliate.</w:t>
      </w:r>
    </w:p>
    <w:p>
      <w:pPr>
        <w:spacing w:after="0" w:line="70" w:lineRule="exact"/>
        <w:rPr>
          <w:sz w:val="20"/>
          <w:szCs w:val="20"/>
          <w:color w:val="auto"/>
        </w:rPr>
      </w:pPr>
    </w:p>
    <w:p>
      <w:pPr>
        <w:jc w:val="both"/>
        <w:ind w:left="640" w:hanging="634"/>
        <w:spacing w:after="0" w:line="250" w:lineRule="auto"/>
        <w:rPr>
          <w:sz w:val="20"/>
          <w:szCs w:val="20"/>
          <w:color w:val="auto"/>
        </w:rPr>
      </w:pPr>
      <w:r>
        <w:rPr>
          <w:rFonts w:ascii="Arial" w:cs="Arial" w:eastAsia="Arial" w:hAnsi="Arial"/>
          <w:sz w:val="20"/>
          <w:szCs w:val="20"/>
          <w:color w:val="auto"/>
        </w:rPr>
        <w:t>14.5.2 This Agreement shall be binding upon and shall inure to the benefit of the Parties and their respective successors and permitted assigns, and any reference to a Party shall also be a reference to the successors and permitted assigns thereof.</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6"/>
          <w:szCs w:val="16"/>
          <w:b w:val="1"/>
          <w:bCs w:val="1"/>
          <w:color w:val="auto"/>
        </w:rPr>
        <w:t>Captions</w:t>
      </w:r>
    </w:p>
    <w:p>
      <w:pPr>
        <w:spacing w:after="0" w:line="11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titles, captions and table of contents contained herein are inserted herein only as a matter of convenience and for reference and in no way define, limit, extend or describe the scope of this Agreement or the intent of any provision hereof.</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8"/>
          <w:szCs w:val="18"/>
          <w:b w:val="1"/>
          <w:bCs w:val="1"/>
          <w:color w:val="auto"/>
        </w:rPr>
        <w:t>Governing Law</w:t>
      </w:r>
    </w:p>
    <w:p>
      <w:pPr>
        <w:spacing w:after="0" w:line="114"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It is the mutual understanding of the Parties that this Agreement shall be governed by and construed and enforced in accordance with the laws of Germany.</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6"/>
          <w:szCs w:val="16"/>
          <w:b w:val="1"/>
          <w:bCs w:val="1"/>
          <w:color w:val="auto"/>
        </w:rPr>
        <w:t>Dispute Resolution</w:t>
      </w:r>
    </w:p>
    <w:p>
      <w:pPr>
        <w:spacing w:after="0" w:line="114"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All disputes out or in connection with the present contract shall be subject to the exclusive jurisdiction of the courts in Frankfurt am Main, Germany.</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6"/>
          <w:szCs w:val="16"/>
          <w:b w:val="1"/>
          <w:bCs w:val="1"/>
          <w:color w:val="auto"/>
        </w:rPr>
        <w:t>Amendments</w:t>
      </w:r>
    </w:p>
    <w:p>
      <w:pPr>
        <w:spacing w:after="0" w:line="11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Any amendment, supplementation (</w:t>
      </w:r>
      <w:r>
        <w:rPr>
          <w:rFonts w:ascii="Arial" w:cs="Arial" w:eastAsia="Arial" w:hAnsi="Arial"/>
          <w:sz w:val="20"/>
          <w:szCs w:val="20"/>
          <w:i w:val="1"/>
          <w:iCs w:val="1"/>
          <w:color w:val="auto"/>
        </w:rPr>
        <w:t>Ergänzung</w:t>
      </w:r>
      <w:r>
        <w:rPr>
          <w:rFonts w:ascii="Arial" w:cs="Arial" w:eastAsia="Arial" w:hAnsi="Arial"/>
          <w:sz w:val="20"/>
          <w:szCs w:val="20"/>
          <w:color w:val="auto"/>
        </w:rPr>
        <w:t>) or suspension (</w:t>
      </w:r>
      <w:r>
        <w:rPr>
          <w:rFonts w:ascii="Arial" w:cs="Arial" w:eastAsia="Arial" w:hAnsi="Arial"/>
          <w:sz w:val="20"/>
          <w:szCs w:val="20"/>
          <w:i w:val="1"/>
          <w:iCs w:val="1"/>
          <w:color w:val="auto"/>
        </w:rPr>
        <w:t>Aufhebung</w:t>
      </w:r>
      <w:r>
        <w:rPr>
          <w:rFonts w:ascii="Arial" w:cs="Arial" w:eastAsia="Arial" w:hAnsi="Arial"/>
          <w:sz w:val="20"/>
          <w:szCs w:val="20"/>
          <w:color w:val="auto"/>
        </w:rPr>
        <w:t>) of this Agreement, including this provision, shall be valid only if agreed in writing (</w:t>
      </w:r>
      <w:r>
        <w:rPr>
          <w:rFonts w:ascii="Arial" w:cs="Arial" w:eastAsia="Arial" w:hAnsi="Arial"/>
          <w:sz w:val="20"/>
          <w:szCs w:val="20"/>
          <w:i w:val="1"/>
          <w:iCs w:val="1"/>
          <w:color w:val="auto"/>
        </w:rPr>
        <w:t>Schriftform</w:t>
      </w:r>
      <w:r>
        <w:rPr>
          <w:rFonts w:ascii="Arial" w:cs="Arial" w:eastAsia="Arial" w:hAnsi="Arial"/>
          <w:sz w:val="20"/>
          <w:szCs w:val="20"/>
          <w:color w:val="auto"/>
        </w:rPr>
        <w:t>), except where a stricter form (e.g. notarisation) is required under mandatory law.</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14.10</w:t>
      </w:r>
      <w:r>
        <w:rPr>
          <w:sz w:val="20"/>
          <w:szCs w:val="20"/>
          <w:color w:val="auto"/>
        </w:rPr>
        <w:tab/>
      </w:r>
      <w:r>
        <w:rPr>
          <w:rFonts w:ascii="Arial" w:cs="Arial" w:eastAsia="Arial" w:hAnsi="Arial"/>
          <w:sz w:val="18"/>
          <w:szCs w:val="18"/>
          <w:b w:val="1"/>
          <w:bCs w:val="1"/>
          <w:color w:val="auto"/>
        </w:rPr>
        <w:t>Severability</w:t>
      </w:r>
    </w:p>
    <w:p>
      <w:pPr>
        <w:spacing w:after="0" w:line="114"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If any provision of this Agreement should be or become wholly or partially void (</w:t>
      </w:r>
      <w:r>
        <w:rPr>
          <w:rFonts w:ascii="Arial" w:cs="Arial" w:eastAsia="Arial" w:hAnsi="Arial"/>
          <w:sz w:val="18"/>
          <w:szCs w:val="18"/>
          <w:i w:val="1"/>
          <w:iCs w:val="1"/>
          <w:color w:val="auto"/>
        </w:rPr>
        <w:t>nichtig</w:t>
      </w:r>
      <w:r>
        <w:rPr>
          <w:rFonts w:ascii="Arial" w:cs="Arial" w:eastAsia="Arial" w:hAnsi="Arial"/>
          <w:sz w:val="18"/>
          <w:szCs w:val="18"/>
          <w:color w:val="auto"/>
        </w:rPr>
        <w:t>), ineffective (</w:t>
      </w:r>
      <w:r>
        <w:rPr>
          <w:rFonts w:ascii="Arial" w:cs="Arial" w:eastAsia="Arial" w:hAnsi="Arial"/>
          <w:sz w:val="18"/>
          <w:szCs w:val="18"/>
          <w:i w:val="1"/>
          <w:iCs w:val="1"/>
          <w:color w:val="auto"/>
        </w:rPr>
        <w:t>unwirksam</w:t>
      </w:r>
      <w:r>
        <w:rPr>
          <w:rFonts w:ascii="Arial" w:cs="Arial" w:eastAsia="Arial" w:hAnsi="Arial"/>
          <w:sz w:val="18"/>
          <w:szCs w:val="18"/>
          <w:color w:val="auto"/>
        </w:rPr>
        <w:t>) or unenforceable (</w:t>
      </w:r>
      <w:r>
        <w:rPr>
          <w:rFonts w:ascii="Arial" w:cs="Arial" w:eastAsia="Arial" w:hAnsi="Arial"/>
          <w:sz w:val="18"/>
          <w:szCs w:val="18"/>
          <w:i w:val="1"/>
          <w:iCs w:val="1"/>
          <w:color w:val="auto"/>
        </w:rPr>
        <w:t>undurchsetzbar</w:t>
      </w:r>
      <w:r>
        <w:rPr>
          <w:rFonts w:ascii="Arial" w:cs="Arial" w:eastAsia="Arial" w:hAnsi="Arial"/>
          <w:sz w:val="18"/>
          <w:szCs w:val="18"/>
          <w:color w:val="auto"/>
        </w:rPr>
        <w:t>), the validity, effectiveness and enforceability of the other provisions of this Agreement shall not be affected thereby. Any such void, ineffective or unenforceable provision shall be deemed replaced by such valid, effective and enforceable provision as comes closest to the economic intent and purpose of the void, ineffective or unenforceable provision as it regards subject-matter, extent (</w:t>
      </w:r>
      <w:r>
        <w:rPr>
          <w:rFonts w:ascii="Arial" w:cs="Arial" w:eastAsia="Arial" w:hAnsi="Arial"/>
          <w:sz w:val="18"/>
          <w:szCs w:val="18"/>
          <w:i w:val="1"/>
          <w:iCs w:val="1"/>
          <w:color w:val="auto"/>
        </w:rPr>
        <w:t>Maß</w:t>
      </w:r>
      <w:r>
        <w:rPr>
          <w:rFonts w:ascii="Arial" w:cs="Arial" w:eastAsia="Arial" w:hAnsi="Arial"/>
          <w:sz w:val="18"/>
          <w:szCs w:val="18"/>
          <w:color w:val="auto"/>
        </w:rPr>
        <w:t>), time, place and scope (</w:t>
      </w:r>
      <w:r>
        <w:rPr>
          <w:rFonts w:ascii="Arial" w:cs="Arial" w:eastAsia="Arial" w:hAnsi="Arial"/>
          <w:sz w:val="18"/>
          <w:szCs w:val="18"/>
          <w:i w:val="1"/>
          <w:iCs w:val="1"/>
          <w:color w:val="auto"/>
        </w:rPr>
        <w:t>Geltungsbereich</w:t>
      </w:r>
      <w:r>
        <w:rPr>
          <w:rFonts w:ascii="Arial" w:cs="Arial" w:eastAsia="Arial" w:hAnsi="Arial"/>
          <w:sz w:val="18"/>
          <w:szCs w:val="18"/>
          <w:color w:val="auto"/>
        </w:rPr>
        <w:t xml:space="preserve">). The aforesaid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gap (</w:t>
      </w:r>
      <w:r>
        <w:rPr>
          <w:rFonts w:ascii="Arial" w:cs="Arial" w:eastAsia="Arial" w:hAnsi="Arial"/>
          <w:sz w:val="18"/>
          <w:szCs w:val="18"/>
          <w:i w:val="1"/>
          <w:iCs w:val="1"/>
          <w:color w:val="auto"/>
        </w:rPr>
        <w:t>Lücke</w:t>
      </w:r>
      <w:r>
        <w:rPr>
          <w:rFonts w:ascii="Arial" w:cs="Arial" w:eastAsia="Arial" w:hAnsi="Arial"/>
          <w:sz w:val="18"/>
          <w:szCs w:val="18"/>
          <w:color w:val="auto"/>
        </w:rPr>
        <w:t>) in this Agreement.</w:t>
      </w:r>
    </w:p>
    <w:p>
      <w:pPr>
        <w:spacing w:after="0" w:line="5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14.11</w:t>
      </w:r>
      <w:r>
        <w:rPr>
          <w:sz w:val="20"/>
          <w:szCs w:val="20"/>
          <w:color w:val="auto"/>
        </w:rPr>
        <w:tab/>
      </w:r>
      <w:r>
        <w:rPr>
          <w:rFonts w:ascii="Arial" w:cs="Arial" w:eastAsia="Arial" w:hAnsi="Arial"/>
          <w:sz w:val="16"/>
          <w:szCs w:val="16"/>
          <w:b w:val="1"/>
          <w:bCs w:val="1"/>
          <w:color w:val="auto"/>
        </w:rPr>
        <w:t>Cooperation Following the Closing</w:t>
      </w:r>
    </w:p>
    <w:p>
      <w:pPr>
        <w:spacing w:after="0" w:line="11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Following the Closing, each Party shall deliver to the other Parties such further information and documents and shall execute and deliver to the other Parties such further instruments and agreements as any other Party shall reasonably request to consummate or confirm the transactions provided for herein, to accomplish the purpose hereof or to assure to any other Party the benefits hereof.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24" w:name="page525"/>
    <w:bookmarkEnd w:id="524"/>
    <w:p>
      <w:pPr>
        <w:spacing w:after="0"/>
        <w:tabs>
          <w:tab w:leader="none" w:pos="620" w:val="left"/>
        </w:tabs>
        <w:rPr>
          <w:sz w:val="20"/>
          <w:szCs w:val="20"/>
          <w:color w:val="auto"/>
        </w:rPr>
      </w:pPr>
      <w:r>
        <w:rPr>
          <w:rFonts w:ascii="Arial" w:cs="Arial" w:eastAsia="Arial" w:hAnsi="Arial"/>
          <w:sz w:val="20"/>
          <w:szCs w:val="20"/>
          <w:b w:val="1"/>
          <w:bCs w:val="1"/>
          <w:color w:val="auto"/>
        </w:rPr>
        <w:t>14.12</w:t>
      </w:r>
      <w:r>
        <w:rPr>
          <w:sz w:val="20"/>
          <w:szCs w:val="20"/>
          <w:color w:val="auto"/>
        </w:rPr>
        <w:tab/>
      </w:r>
      <w:r>
        <w:rPr>
          <w:rFonts w:ascii="Arial" w:cs="Arial" w:eastAsia="Arial" w:hAnsi="Arial"/>
          <w:sz w:val="16"/>
          <w:szCs w:val="16"/>
          <w:b w:val="1"/>
          <w:bCs w:val="1"/>
          <w:color w:val="auto"/>
        </w:rPr>
        <w:t>Transaction Costs</w:t>
      </w:r>
    </w:p>
    <w:p>
      <w:pPr>
        <w:spacing w:after="0" w:line="114"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Except as provided above or as otherwise expressly provided herein each Party and the Shareholders shall pay its own fees, costs and expenses incurred in connection herewith and the transactions contemplated hereby, including the fees, costs and expenses of its financial advisors, accountants and counsel.</w:t>
      </w:r>
    </w:p>
    <w:p>
      <w:pPr>
        <w:spacing w:after="0" w:line="6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9"/>
          <w:szCs w:val="19"/>
          <w:color w:val="auto"/>
        </w:rPr>
        <w:t>The Purchaser shall bear the brokerage commission due to BNP Paribas Securities Corp.. The Seller shall solely be responsible for the fees and expenses of any other broker set forth on Disclosure Schedule 28.</w:t>
      </w:r>
    </w:p>
    <w:p>
      <w:pPr>
        <w:spacing w:after="0" w:line="4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costs of notarisation of this Agreement and of the Escrow Fund shall be borne by the Purchaser. The costs of the providing of the data room services by Datasite shall be borne by the Seller and, to the extent already paid by Purchaser, shall be reimbursed by the Seller to the Purchaser.</w:t>
      </w:r>
    </w:p>
    <w:p>
      <w:pPr>
        <w:spacing w:after="0" w:line="7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All premiums, broker commissions, underwriting commissions, Taxes, and other fees and expenses payable with respect to the R&amp;W Insurance Policy or in accordance with the terms of the R&amp;W Insurance Policy shall be borne by Seller at 50% (the “</w:t>
      </w:r>
      <w:r>
        <w:rPr>
          <w:rFonts w:ascii="Arial" w:cs="Arial" w:eastAsia="Arial" w:hAnsi="Arial"/>
          <w:sz w:val="18"/>
          <w:szCs w:val="18"/>
          <w:b w:val="1"/>
          <w:bCs w:val="1"/>
          <w:color w:val="auto"/>
        </w:rPr>
        <w:t>Seller R&amp;W Insurance Contribution</w:t>
      </w:r>
      <w:r>
        <w:rPr>
          <w:rFonts w:ascii="Arial" w:cs="Arial" w:eastAsia="Arial" w:hAnsi="Arial"/>
          <w:sz w:val="18"/>
          <w:szCs w:val="18"/>
          <w:color w:val="auto"/>
        </w:rPr>
        <w:t>”) and by the Purchaser for the remainder. The Seller R&amp;W Insurance Contribution will be paid by deduction from the purchase price payment pursuant to Clause 3.1e).</w:t>
      </w:r>
    </w:p>
    <w:p>
      <w:pPr>
        <w:spacing w:after="0" w:line="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14.13</w:t>
      </w:r>
      <w:r>
        <w:rPr>
          <w:sz w:val="20"/>
          <w:szCs w:val="20"/>
          <w:color w:val="auto"/>
        </w:rPr>
        <w:tab/>
      </w:r>
      <w:r>
        <w:rPr>
          <w:rFonts w:ascii="Arial" w:cs="Arial" w:eastAsia="Arial" w:hAnsi="Arial"/>
          <w:sz w:val="16"/>
          <w:szCs w:val="16"/>
          <w:b w:val="1"/>
          <w:bCs w:val="1"/>
          <w:color w:val="auto"/>
        </w:rPr>
        <w:t>Language</w:t>
      </w:r>
    </w:p>
    <w:p>
      <w:pPr>
        <w:spacing w:after="0" w:line="11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language of this Agreement is English and all documents, notices, waivers and all other written communication or otherwise between the Parties in connection with this Agreement shall be in English. If this Agreement is translated into another language, the English language text shall prevail, provided that the rule in Sub-Clause 1.2.1i) shall not be affected.</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14.14</w:t>
      </w:r>
      <w:r>
        <w:rPr>
          <w:sz w:val="20"/>
          <w:szCs w:val="20"/>
          <w:color w:val="auto"/>
        </w:rPr>
        <w:tab/>
      </w:r>
      <w:r>
        <w:rPr>
          <w:rFonts w:ascii="Arial" w:cs="Arial" w:eastAsia="Arial" w:hAnsi="Arial"/>
          <w:sz w:val="18"/>
          <w:szCs w:val="18"/>
          <w:b w:val="1"/>
          <w:bCs w:val="1"/>
          <w:color w:val="auto"/>
        </w:rPr>
        <w:t>Data Room</w:t>
      </w:r>
    </w:p>
    <w:p>
      <w:pPr>
        <w:spacing w:after="0" w:line="114"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At or prior to the date hereof, each Party has been provided by Datasite with a data storage device containing all contents of the data room until the date of the closing thereof and with a certificate of Datasite confirming such date and the fact that the device contains all such contents. A warranty stating that certain documents have been made available, provided or delivered to the Purchaser shall mean that the documents in question have been included in the data room.</w:t>
      </w:r>
    </w:p>
    <w:p>
      <w:pPr>
        <w:spacing w:after="0" w:line="8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 further copy of the data storage device shall, for a period of five years, be deposited with the Notary; upon request of either Party the Notary will provide such Party with a copy of that device. The Notary shall not be liable for the conservation, preservation and/or content of such data storage device. After elapse of the said five year period the Notary shall be entitled to destroy the device.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25" w:name="page526"/>
    <w:bookmarkEnd w:id="525"/>
    <w:p>
      <w:pPr>
        <w:spacing w:after="0"/>
        <w:rPr>
          <w:sz w:val="20"/>
          <w:szCs w:val="20"/>
          <w:color w:val="auto"/>
        </w:rPr>
      </w:pPr>
      <w:r>
        <w:rPr>
          <w:rFonts w:ascii="Arial" w:cs="Arial" w:eastAsia="Arial" w:hAnsi="Arial"/>
          <w:sz w:val="20"/>
          <w:szCs w:val="20"/>
          <w:b w:val="1"/>
          <w:bCs w:val="1"/>
          <w:color w:val="auto"/>
        </w:rPr>
        <w:t>SCHEDULE 1 - SELLER WARRANTIES</w:t>
      </w:r>
    </w:p>
    <w:p>
      <w:pPr>
        <w:spacing w:after="0" w:line="288" w:lineRule="exact"/>
        <w:rPr>
          <w:sz w:val="20"/>
          <w:szCs w:val="20"/>
          <w:color w:val="auto"/>
        </w:rPr>
      </w:pPr>
    </w:p>
    <w:p>
      <w:pPr>
        <w:ind w:left="660" w:hanging="652"/>
        <w:spacing w:after="0"/>
        <w:tabs>
          <w:tab w:leader="none" w:pos="660"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color w:val="auto"/>
        </w:rPr>
        <w:t>ORGANISATION</w:t>
      </w:r>
    </w:p>
    <w:p>
      <w:pPr>
        <w:spacing w:after="0" w:line="11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20"/>
          <w:szCs w:val="20"/>
          <w:color w:val="auto"/>
        </w:rPr>
        <w:t>Each Group Company is a corporation or limited liability company, as applicable, duly formed and validly existing under the laws of the jurisdiction of incorporation or organisation, as applicable, set forth on Disclosure Schedule 3 and each has all requisite power and authority to own, lease and operate its properties and to carry on its business as now being conducted.</w:t>
      </w:r>
    </w:p>
    <w:p>
      <w:pPr>
        <w:spacing w:after="0" w:line="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20"/>
          <w:szCs w:val="20"/>
          <w:color w:val="auto"/>
        </w:rPr>
        <w:t>Each Group Company is duly qualified or registered as a foreign corporation or limited liability company, as applicable, to transact business under the Laws of each jurisdiction where the character of its activities or the location of the properties owned or leased by it requires such qualification or registration.</w:t>
      </w:r>
    </w:p>
    <w:p>
      <w:pPr>
        <w:spacing w:after="0" w:line="7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20"/>
          <w:szCs w:val="20"/>
          <w:color w:val="auto"/>
        </w:rPr>
        <w:t>The Seller has heretofore made available to the Purchaser true, correct and complete copies of the constitutional documents of each Group Company as currently in effect and the corporate or limited liability company, as applicable, record books with respect to actions taken by its shareholders, board of directors, members or managers, as applicable.</w:t>
      </w:r>
    </w:p>
    <w:p>
      <w:pPr>
        <w:spacing w:after="0" w:line="83"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20"/>
          <w:szCs w:val="20"/>
          <w:u w:val="single" w:color="auto"/>
          <w:color w:val="auto"/>
        </w:rPr>
        <w:t xml:space="preserve">Disclosure Schedule 1 </w:t>
      </w:r>
      <w:r>
        <w:rPr>
          <w:rFonts w:ascii="Arial" w:cs="Arial" w:eastAsia="Arial" w:hAnsi="Arial"/>
          <w:sz w:val="20"/>
          <w:szCs w:val="20"/>
          <w:color w:val="auto"/>
        </w:rPr>
        <w:t>contains a true, correct and complete list of the jurisdictions in which the Subsidiary is</w:t>
      </w:r>
      <w:r>
        <w:rPr>
          <w:rFonts w:ascii="Arial" w:cs="Arial" w:eastAsia="Arial" w:hAnsi="Arial"/>
          <w:sz w:val="20"/>
          <w:szCs w:val="20"/>
          <w:u w:val="single" w:color="auto"/>
          <w:color w:val="auto"/>
        </w:rPr>
        <w:t xml:space="preserve"> </w:t>
      </w:r>
      <w:r>
        <w:rPr>
          <w:rFonts w:ascii="Arial" w:cs="Arial" w:eastAsia="Arial" w:hAnsi="Arial"/>
          <w:sz w:val="20"/>
          <w:szCs w:val="20"/>
          <w:color w:val="auto"/>
        </w:rPr>
        <w:t>qualified or registered to do business as a foreign corporation.</w:t>
      </w:r>
    </w:p>
    <w:p>
      <w:pPr>
        <w:spacing w:after="0" w:line="69" w:lineRule="exact"/>
        <w:rPr>
          <w:sz w:val="20"/>
          <w:szCs w:val="20"/>
          <w:color w:val="auto"/>
        </w:rPr>
      </w:pPr>
    </w:p>
    <w:p>
      <w:pPr>
        <w:ind w:left="660" w:hanging="652"/>
        <w:spacing w:after="0"/>
        <w:tabs>
          <w:tab w:leader="none" w:pos="66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SHARE</w:t>
      </w:r>
    </w:p>
    <w:p>
      <w:pPr>
        <w:spacing w:after="0" w:line="11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20"/>
          <w:szCs w:val="20"/>
          <w:u w:val="single" w:color="auto"/>
          <w:color w:val="auto"/>
        </w:rPr>
        <w:t xml:space="preserve">Disclosure Schedule 2.1 </w:t>
      </w:r>
      <w:r>
        <w:rPr>
          <w:rFonts w:ascii="Arial" w:cs="Arial" w:eastAsia="Arial" w:hAnsi="Arial"/>
          <w:sz w:val="20"/>
          <w:szCs w:val="20"/>
          <w:color w:val="auto"/>
        </w:rPr>
        <w:t>accurately and completely sets forth the capital structure of each Group Company including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number of shares of capital share, units or other equity interests which are authorised and which are issued and outstanding.</w:t>
      </w:r>
    </w:p>
    <w:p>
      <w:pPr>
        <w:spacing w:after="0" w:line="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All of the issued and outstanding shares of capital share, units or other equity interests of each Group Company:</w:t>
      </w:r>
    </w:p>
    <w:p>
      <w:pPr>
        <w:spacing w:after="0" w:line="132" w:lineRule="exact"/>
        <w:rPr>
          <w:sz w:val="20"/>
          <w:szCs w:val="20"/>
          <w:color w:val="auto"/>
        </w:rPr>
      </w:pPr>
    </w:p>
    <w:p>
      <w:pPr>
        <w:ind w:left="1000" w:hanging="344"/>
        <w:spacing w:after="0"/>
        <w:tabs>
          <w:tab w:leader="none" w:pos="1000" w:val="left"/>
        </w:tabs>
        <w:numPr>
          <w:ilvl w:val="0"/>
          <w:numId w:val="583"/>
        </w:numPr>
        <w:rPr>
          <w:rFonts w:ascii="Arial" w:cs="Arial" w:eastAsia="Arial" w:hAnsi="Arial"/>
          <w:sz w:val="18"/>
          <w:szCs w:val="18"/>
          <w:color w:val="auto"/>
        </w:rPr>
      </w:pPr>
      <w:r>
        <w:rPr>
          <w:rFonts w:ascii="Arial" w:cs="Arial" w:eastAsia="Arial" w:hAnsi="Arial"/>
          <w:sz w:val="20"/>
          <w:szCs w:val="20"/>
          <w:color w:val="auto"/>
        </w:rPr>
        <w:t>are duly authorised, validly issued, fully paid and non-assessable,</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0"/>
          <w:numId w:val="583"/>
        </w:numPr>
        <w:rPr>
          <w:rFonts w:ascii="Arial" w:cs="Arial" w:eastAsia="Arial" w:hAnsi="Arial"/>
          <w:sz w:val="18"/>
          <w:szCs w:val="18"/>
          <w:color w:val="auto"/>
        </w:rPr>
      </w:pPr>
      <w:r>
        <w:rPr>
          <w:rFonts w:ascii="Arial" w:cs="Arial" w:eastAsia="Arial" w:hAnsi="Arial"/>
          <w:sz w:val="20"/>
          <w:szCs w:val="20"/>
          <w:color w:val="auto"/>
        </w:rPr>
        <w:t>are held of record by the Persons and in the amounts set forth on Disclosure Schedule 2.1, and</w:t>
      </w:r>
    </w:p>
    <w:p>
      <w:pPr>
        <w:spacing w:after="0" w:line="107"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583"/>
        </w:numPr>
        <w:rPr>
          <w:rFonts w:ascii="Arial" w:cs="Arial" w:eastAsia="Arial" w:hAnsi="Arial"/>
          <w:sz w:val="18"/>
          <w:szCs w:val="18"/>
          <w:color w:val="auto"/>
        </w:rPr>
      </w:pPr>
      <w:r>
        <w:rPr>
          <w:rFonts w:ascii="Arial" w:cs="Arial" w:eastAsia="Arial" w:hAnsi="Arial"/>
          <w:sz w:val="20"/>
          <w:szCs w:val="20"/>
          <w:color w:val="auto"/>
        </w:rPr>
        <w:t>were not issued or acquired by the holders thereof in violation of any Law, agreement or the pre-emptive rights of any Person.</w:t>
      </w:r>
    </w:p>
    <w:p>
      <w:pPr>
        <w:spacing w:after="0" w:line="6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20"/>
          <w:szCs w:val="20"/>
          <w:color w:val="auto"/>
        </w:rPr>
        <w:t>Except as set forth on Disclosure Schedule 2.1, no shares of capital share, units or other equity interests of a Group Company are reserved for issuance or are held as treasury shares, and</w:t>
      </w:r>
    </w:p>
    <w:p>
      <w:pPr>
        <w:spacing w:after="0" w:line="70" w:lineRule="exact"/>
        <w:rPr>
          <w:sz w:val="20"/>
          <w:szCs w:val="20"/>
          <w:color w:val="auto"/>
        </w:rPr>
      </w:pPr>
    </w:p>
    <w:p>
      <w:pPr>
        <w:jc w:val="both"/>
        <w:ind w:left="1020" w:hanging="350"/>
        <w:spacing w:after="0" w:line="291" w:lineRule="auto"/>
        <w:tabs>
          <w:tab w:leader="none" w:pos="1020" w:val="left"/>
        </w:tabs>
        <w:numPr>
          <w:ilvl w:val="1"/>
          <w:numId w:val="584"/>
        </w:numPr>
        <w:rPr>
          <w:rFonts w:ascii="Arial" w:cs="Arial" w:eastAsia="Arial" w:hAnsi="Arial"/>
          <w:sz w:val="16"/>
          <w:szCs w:val="16"/>
          <w:color w:val="auto"/>
        </w:rPr>
      </w:pPr>
      <w:r>
        <w:rPr>
          <w:rFonts w:ascii="Arial" w:cs="Arial" w:eastAsia="Arial" w:hAnsi="Arial"/>
          <w:sz w:val="18"/>
          <w:szCs w:val="18"/>
          <w:color w:val="auto"/>
        </w:rPr>
        <w:t>there are no outstanding options, warrants, rights, calls, commitments, conversion rights, rights of exchange, subscriptions, claims of any character, agreements, obligations, convertible or exchangeable securities or other plans or commitments, contingent or otherwise, relating to the capital share of a Group Company;</w:t>
      </w:r>
    </w:p>
    <w:p>
      <w:pPr>
        <w:spacing w:after="0" w:line="43" w:lineRule="exact"/>
        <w:rPr>
          <w:rFonts w:ascii="Arial" w:cs="Arial" w:eastAsia="Arial" w:hAnsi="Arial"/>
          <w:sz w:val="16"/>
          <w:szCs w:val="16"/>
          <w:color w:val="auto"/>
        </w:rPr>
      </w:pPr>
    </w:p>
    <w:p>
      <w:pPr>
        <w:jc w:val="both"/>
        <w:ind w:left="1000" w:hanging="344"/>
        <w:spacing w:after="0" w:line="246" w:lineRule="auto"/>
        <w:tabs>
          <w:tab w:leader="none" w:pos="1000" w:val="left"/>
        </w:tabs>
        <w:numPr>
          <w:ilvl w:val="1"/>
          <w:numId w:val="584"/>
        </w:numPr>
        <w:rPr>
          <w:rFonts w:ascii="Arial" w:cs="Arial" w:eastAsia="Arial" w:hAnsi="Arial"/>
          <w:sz w:val="18"/>
          <w:szCs w:val="18"/>
          <w:color w:val="auto"/>
        </w:rPr>
      </w:pPr>
      <w:r>
        <w:rPr>
          <w:rFonts w:ascii="Arial" w:cs="Arial" w:eastAsia="Arial" w:hAnsi="Arial"/>
          <w:sz w:val="20"/>
          <w:szCs w:val="20"/>
          <w:color w:val="auto"/>
        </w:rPr>
        <w:t>there are no outstanding contracts or other agreements of a Group Company, the Seller or any other Person to purchase, redeem or otherwise acquire any outstanding shares of capital share, units or other equity interests of a Group Company, or securities or obligations of any kind convertible into any shares of the capital share, units or other equity interests of a Group Company;</w:t>
      </w:r>
    </w:p>
    <w:p>
      <w:pPr>
        <w:spacing w:after="0" w:line="83"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585"/>
        </w:numPr>
        <w:rPr>
          <w:rFonts w:ascii="Arial" w:cs="Arial" w:eastAsia="Arial" w:hAnsi="Arial"/>
          <w:sz w:val="18"/>
          <w:szCs w:val="18"/>
          <w:color w:val="auto"/>
        </w:rPr>
      </w:pPr>
      <w:r>
        <w:rPr>
          <w:rFonts w:ascii="Arial" w:cs="Arial" w:eastAsia="Arial" w:hAnsi="Arial"/>
          <w:sz w:val="20"/>
          <w:szCs w:val="20"/>
          <w:color w:val="auto"/>
        </w:rPr>
        <w:t>there are no dividends which have accrued or been declared but are unpaid on the capital share, units or other equity interests of a Group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880" w:hanging="111"/>
        <w:spacing w:after="0"/>
        <w:tabs>
          <w:tab w:leader="none" w:pos="4880" w:val="left"/>
        </w:tabs>
        <w:numPr>
          <w:ilvl w:val="2"/>
          <w:numId w:val="585"/>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26" w:name="page527"/>
    <w:bookmarkEnd w:id="526"/>
    <w:p>
      <w:pPr>
        <w:ind w:left="1000" w:hanging="344"/>
        <w:spacing w:after="0" w:line="260" w:lineRule="auto"/>
        <w:tabs>
          <w:tab w:leader="none" w:pos="1000" w:val="left"/>
        </w:tabs>
        <w:numPr>
          <w:ilvl w:val="0"/>
          <w:numId w:val="586"/>
        </w:numPr>
        <w:rPr>
          <w:rFonts w:ascii="Arial" w:cs="Arial" w:eastAsia="Arial" w:hAnsi="Arial"/>
          <w:sz w:val="18"/>
          <w:szCs w:val="18"/>
          <w:color w:val="auto"/>
        </w:rPr>
      </w:pPr>
      <w:r>
        <w:rPr>
          <w:rFonts w:ascii="Arial" w:cs="Arial" w:eastAsia="Arial" w:hAnsi="Arial"/>
          <w:sz w:val="20"/>
          <w:szCs w:val="20"/>
          <w:color w:val="auto"/>
        </w:rPr>
        <w:t>there are no outstanding or authorised share appreciation, phantom share, share plans or similar rights with respect to a Group Company; and</w:t>
      </w:r>
    </w:p>
    <w:p>
      <w:pPr>
        <w:spacing w:after="0" w:line="68" w:lineRule="exact"/>
        <w:rPr>
          <w:rFonts w:ascii="Arial" w:cs="Arial" w:eastAsia="Arial" w:hAnsi="Arial"/>
          <w:sz w:val="18"/>
          <w:szCs w:val="18"/>
          <w:color w:val="auto"/>
        </w:rPr>
      </w:pPr>
    </w:p>
    <w:p>
      <w:pPr>
        <w:jc w:val="both"/>
        <w:ind w:left="1000" w:right="20" w:hanging="344"/>
        <w:spacing w:after="0" w:line="269" w:lineRule="auto"/>
        <w:tabs>
          <w:tab w:leader="none" w:pos="1000" w:val="left"/>
        </w:tabs>
        <w:numPr>
          <w:ilvl w:val="0"/>
          <w:numId w:val="586"/>
        </w:numPr>
        <w:rPr>
          <w:rFonts w:ascii="Arial" w:cs="Arial" w:eastAsia="Arial" w:hAnsi="Arial"/>
          <w:sz w:val="17"/>
          <w:szCs w:val="17"/>
          <w:color w:val="auto"/>
        </w:rPr>
      </w:pPr>
      <w:r>
        <w:rPr>
          <w:rFonts w:ascii="Arial" w:cs="Arial" w:eastAsia="Arial" w:hAnsi="Arial"/>
          <w:sz w:val="19"/>
          <w:szCs w:val="19"/>
          <w:color w:val="auto"/>
        </w:rPr>
        <w:t>there are no voting agreements or other agreements relating to the management of a Group Company. Except as set forth on Disclosure Schedule 2.1, no Group Company has ever purchased, redeemed or otherwise acquired any shares of capital share, units or other equity interests of a Group Company.</w:t>
      </w:r>
    </w:p>
    <w:p>
      <w:pPr>
        <w:spacing w:after="0" w:line="6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20"/>
          <w:szCs w:val="20"/>
          <w:color w:val="auto"/>
        </w:rPr>
        <w:t>The merger into the Company of the former telerob Gesellschaft für Fernhantierungstechnik mbH (HRB 214151 of the Commercial Register at the Local Court (</w:t>
      </w:r>
      <w:r>
        <w:rPr>
          <w:rFonts w:ascii="Arial" w:cs="Arial" w:eastAsia="Arial" w:hAnsi="Arial"/>
          <w:sz w:val="20"/>
          <w:szCs w:val="20"/>
          <w:i w:val="1"/>
          <w:iCs w:val="1"/>
          <w:color w:val="auto"/>
        </w:rPr>
        <w:t>Amtsgericht</w:t>
      </w:r>
      <w:r>
        <w:rPr>
          <w:rFonts w:ascii="Arial" w:cs="Arial" w:eastAsia="Arial" w:hAnsi="Arial"/>
          <w:sz w:val="20"/>
          <w:szCs w:val="20"/>
          <w:color w:val="auto"/>
        </w:rPr>
        <w:t>) in Stuttgart) was valid and effective and does not give rise to any rights or claims of former shareholders of such merged entity.</w:t>
      </w:r>
    </w:p>
    <w:p>
      <w:pPr>
        <w:spacing w:after="0" w:line="78"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color w:val="auto"/>
        </w:rPr>
        <w:t>Other than the Seller, no other Person is the record holder of any capital share, units or other equity interests in the Company. Since October 6, 2016, no prior offer, issue, redemption, call, purchase, sale, transfer, negotiation or other transaction of any nature or kind with respect to any capital share (including options, warrants or debt convertible into shares, options or warrants) of a Group Company or any entity that has been merged into a Group Company has given rise to any claim or action by any Person that is enforceable against a Group Company, the Seller, or the Purchaser, and to the knowledge of the Seller and the Shareholders, no fact or circumstance exists that could give rise to any such right, claim or action. A list of all redemptions or transfers of shares of capital share, units or other equity interests of a Group Company since incorporation is set forth on Disclosure Schedule 2.1.</w:t>
      </w:r>
    </w:p>
    <w:p>
      <w:pPr>
        <w:spacing w:after="0" w:line="60" w:lineRule="exact"/>
        <w:rPr>
          <w:sz w:val="20"/>
          <w:szCs w:val="20"/>
          <w:color w:val="auto"/>
        </w:rPr>
      </w:pPr>
    </w:p>
    <w:p>
      <w:pPr>
        <w:ind w:left="660" w:hanging="652"/>
        <w:spacing w:after="0"/>
        <w:tabs>
          <w:tab w:leader="none" w:pos="66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18" w:lineRule="exact"/>
        <w:rPr>
          <w:rFonts w:ascii="Arial" w:cs="Arial" w:eastAsia="Arial" w:hAnsi="Arial"/>
          <w:sz w:val="18"/>
          <w:szCs w:val="18"/>
          <w:b w:val="1"/>
          <w:bCs w:val="1"/>
          <w:color w:val="auto"/>
        </w:rPr>
      </w:pPr>
    </w:p>
    <w:p>
      <w:pPr>
        <w:jc w:val="both"/>
        <w:ind w:left="66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3</w:t>
      </w:r>
      <w:r>
        <w:rPr>
          <w:rFonts w:ascii="Arial" w:cs="Arial" w:eastAsia="Arial" w:hAnsi="Arial"/>
          <w:sz w:val="20"/>
          <w:szCs w:val="20"/>
          <w:color w:val="auto"/>
        </w:rPr>
        <w:t>, no Group Company has since October 6, 2016, owned, nor does it currently own, directly or indirectly, any capital share or other equities, securities or interests in any other corporation or in any limited liability company, partnership, joint venture or other entity or otherwise Control any other such entity. Other than the Company, no other Person is the record holder of any capital share, units or other equity interests in the Subsidiary.</w:t>
      </w:r>
    </w:p>
    <w:p>
      <w:pPr>
        <w:spacing w:after="0" w:line="84" w:lineRule="exact"/>
        <w:rPr>
          <w:rFonts w:ascii="Arial" w:cs="Arial" w:eastAsia="Arial" w:hAnsi="Arial"/>
          <w:sz w:val="18"/>
          <w:szCs w:val="18"/>
          <w:b w:val="1"/>
          <w:bCs w:val="1"/>
          <w:color w:val="auto"/>
        </w:rPr>
      </w:pPr>
    </w:p>
    <w:p>
      <w:pPr>
        <w:ind w:left="660" w:hanging="652"/>
        <w:spacing w:after="0"/>
        <w:tabs>
          <w:tab w:leader="none" w:pos="66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REAL PROPERTY</w:t>
      </w:r>
    </w:p>
    <w:p>
      <w:pPr>
        <w:spacing w:after="0" w:line="11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20"/>
          <w:szCs w:val="20"/>
          <w:color w:val="auto"/>
        </w:rPr>
        <w:t>No Group Company is the owner of any real property or is holding any rights assimilated to real property (</w:t>
      </w:r>
      <w:r>
        <w:rPr>
          <w:rFonts w:ascii="Arial" w:cs="Arial" w:eastAsia="Arial" w:hAnsi="Arial"/>
          <w:sz w:val="20"/>
          <w:szCs w:val="20"/>
          <w:i w:val="1"/>
          <w:iCs w:val="1"/>
          <w:color w:val="auto"/>
        </w:rPr>
        <w:t>grundstücksgleiche Rechte</w:t>
      </w:r>
      <w:r>
        <w:rPr>
          <w:rFonts w:ascii="Arial" w:cs="Arial" w:eastAsia="Arial" w:hAnsi="Arial"/>
          <w:sz w:val="20"/>
          <w:szCs w:val="20"/>
          <w:color w:val="auto"/>
        </w:rPr>
        <w:t>).</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u w:val="single" w:color="auto"/>
          <w:color w:val="auto"/>
        </w:rPr>
        <w:t xml:space="preserve">Disclosure Schedule 4.2 </w:t>
      </w:r>
      <w:r>
        <w:rPr>
          <w:rFonts w:ascii="Arial" w:cs="Arial" w:eastAsia="Arial" w:hAnsi="Arial"/>
          <w:sz w:val="16"/>
          <w:szCs w:val="16"/>
          <w:color w:val="auto"/>
        </w:rPr>
        <w:t>sets forth a true and correct legal description of the Leased Real Property.</w:t>
      </w:r>
    </w:p>
    <w:p>
      <w:pPr>
        <w:spacing w:after="0" w:line="131"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20"/>
          <w:szCs w:val="20"/>
          <w:color w:val="auto"/>
        </w:rPr>
        <w:t>Each relevant Group Company, as listed on Disclosure Schedule 4.2, has a valid leasehold interest in the Leased Real Property, and the leases granting such interests are in full force and effect.</w:t>
      </w:r>
    </w:p>
    <w:p>
      <w:pPr>
        <w:spacing w:after="0" w:line="69" w:lineRule="exact"/>
        <w:rPr>
          <w:sz w:val="20"/>
          <w:szCs w:val="20"/>
          <w:color w:val="auto"/>
        </w:rPr>
      </w:pPr>
    </w:p>
    <w:p>
      <w:pPr>
        <w:jc w:val="both"/>
        <w:ind w:left="660" w:right="20" w:hanging="647"/>
        <w:spacing w:after="0" w:line="291" w:lineRule="auto"/>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No portion of the Leased Real Property, or any building or improvement located thereon, materially violates any Law for which compliance a Group Company is responsible, including – but subject to the above limitation – those Laws relating to zoning, building, land use, environmental, health and safety, fire, air, sanitation and noise control.</w:t>
      </w:r>
    </w:p>
    <w:p>
      <w:pPr>
        <w:spacing w:after="0" w:line="4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Except for the Permitted Liens, to the Knowledge of the Seller and the Shareholders, no Leased Real Property is subject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27" w:name="page528"/>
    <w:bookmarkEnd w:id="527"/>
    <w:p>
      <w:pPr>
        <w:ind w:left="1020" w:hanging="350"/>
        <w:spacing w:after="0" w:line="260" w:lineRule="auto"/>
        <w:tabs>
          <w:tab w:leader="none" w:pos="1020" w:val="left"/>
        </w:tabs>
        <w:numPr>
          <w:ilvl w:val="0"/>
          <w:numId w:val="588"/>
        </w:numPr>
        <w:rPr>
          <w:rFonts w:ascii="Arial" w:cs="Arial" w:eastAsia="Arial" w:hAnsi="Arial"/>
          <w:sz w:val="18"/>
          <w:szCs w:val="18"/>
          <w:color w:val="auto"/>
        </w:rPr>
      </w:pPr>
      <w:r>
        <w:rPr>
          <w:rFonts w:ascii="Arial" w:cs="Arial" w:eastAsia="Arial" w:hAnsi="Arial"/>
          <w:sz w:val="20"/>
          <w:szCs w:val="20"/>
          <w:color w:val="auto"/>
        </w:rPr>
        <w:t>any decree or order of any Governmental Entity (or, to the Knowledge of the Seller and each Group Company, threatened or proposed order) or</w:t>
      </w:r>
    </w:p>
    <w:p>
      <w:pPr>
        <w:spacing w:after="0" w:line="68" w:lineRule="exact"/>
        <w:rPr>
          <w:rFonts w:ascii="Arial" w:cs="Arial" w:eastAsia="Arial" w:hAnsi="Arial"/>
          <w:sz w:val="18"/>
          <w:szCs w:val="18"/>
          <w:color w:val="auto"/>
        </w:rPr>
      </w:pPr>
    </w:p>
    <w:p>
      <w:pPr>
        <w:ind w:left="1020" w:right="20" w:hanging="350"/>
        <w:spacing w:after="0" w:line="260" w:lineRule="auto"/>
        <w:tabs>
          <w:tab w:leader="none" w:pos="1020" w:val="left"/>
        </w:tabs>
        <w:numPr>
          <w:ilvl w:val="0"/>
          <w:numId w:val="588"/>
        </w:numPr>
        <w:rPr>
          <w:rFonts w:ascii="Arial" w:cs="Arial" w:eastAsia="Arial" w:hAnsi="Arial"/>
          <w:sz w:val="18"/>
          <w:szCs w:val="18"/>
          <w:color w:val="auto"/>
        </w:rPr>
      </w:pPr>
      <w:r>
        <w:rPr>
          <w:rFonts w:ascii="Arial" w:cs="Arial" w:eastAsia="Arial" w:hAnsi="Arial"/>
          <w:sz w:val="20"/>
          <w:szCs w:val="20"/>
          <w:color w:val="auto"/>
        </w:rPr>
        <w:t>any rights of way, building use restrictions, exceptions, variances, reservations or limitations of any nature whatsoever.</w:t>
      </w:r>
    </w:p>
    <w:p>
      <w:pPr>
        <w:spacing w:after="0" w:line="6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Disclosure Schedule 4.5</w:t>
      </w:r>
      <w:r>
        <w:rPr>
          <w:rFonts w:ascii="Arial" w:cs="Arial" w:eastAsia="Arial" w:hAnsi="Arial"/>
          <w:sz w:val="19"/>
          <w:szCs w:val="19"/>
          <w:color w:val="auto"/>
        </w:rPr>
        <w:t>, the improvements and fixtures on the Leased Real Property are in good operating condition and in a state of good maintenance and repair, ordinary wear and tear excepted, are adequate and suitable for the purposes for which they are presently being used. Except as set forth in Disclosure Schedule 4.5, to Sellers Knowledge, none of the buildings and improvements owned or utilized by a Group Company is constructed of, or contains as a component part thereof, any material that, either in its present form or as such material could reasonably be expected to change through aging and normal use and service, releases any substance, whether gaseous, liquid or solid, which is or may be, either in a single dose or through repeated and prolonged exposure, injurious or hazardous to the health of any individual who may from time to time be in or about such buildings or improvements. There is no condemnation, expropriation or similar proceeding pending or, to the Knowledge of the Seller and the Shareholders, threatened against any of the Leased Real Property or any improvement thereon.</w:t>
      </w:r>
    </w:p>
    <w:p>
      <w:pPr>
        <w:spacing w:after="0" w:line="79"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20"/>
          <w:szCs w:val="20"/>
          <w:color w:val="auto"/>
        </w:rPr>
        <w:t>The Leased Real Property constitutes all of the real property utilized by the Company Group in the operation of the Business.</w:t>
      </w:r>
    </w:p>
    <w:p>
      <w:pPr>
        <w:spacing w:after="0" w:line="69" w:lineRule="exact"/>
        <w:rPr>
          <w:sz w:val="20"/>
          <w:szCs w:val="20"/>
          <w:color w:val="auto"/>
        </w:rPr>
      </w:pPr>
    </w:p>
    <w:p>
      <w:pPr>
        <w:ind w:left="660" w:hanging="652"/>
        <w:spacing w:after="0"/>
        <w:tabs>
          <w:tab w:leader="none" w:pos="660"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TITLE TO ASSETS; RELATED MATTERS</w:t>
      </w:r>
    </w:p>
    <w:p>
      <w:pPr>
        <w:spacing w:after="0" w:line="11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5</w:t>
      </w:r>
      <w:r>
        <w:rPr>
          <w:rFonts w:ascii="Arial" w:cs="Arial" w:eastAsia="Arial" w:hAnsi="Arial"/>
          <w:sz w:val="20"/>
          <w:szCs w:val="20"/>
          <w:color w:val="auto"/>
        </w:rPr>
        <w:t>, the Group Companies have good and marketable title to all of their respective property and assets, free and clear of all Liens except Permitted Liens.</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All equipment and other items of tangible personal property and assets of the Group Companies:</w:t>
      </w:r>
    </w:p>
    <w:p>
      <w:pPr>
        <w:spacing w:after="0" w:line="132" w:lineRule="exact"/>
        <w:rPr>
          <w:sz w:val="20"/>
          <w:szCs w:val="20"/>
          <w:color w:val="auto"/>
        </w:rPr>
      </w:pPr>
    </w:p>
    <w:p>
      <w:pPr>
        <w:ind w:left="1020" w:hanging="350"/>
        <w:spacing w:after="0"/>
        <w:tabs>
          <w:tab w:leader="none" w:pos="1020" w:val="left"/>
        </w:tabs>
        <w:numPr>
          <w:ilvl w:val="0"/>
          <w:numId w:val="590"/>
        </w:numPr>
        <w:rPr>
          <w:rFonts w:ascii="Arial" w:cs="Arial" w:eastAsia="Arial" w:hAnsi="Arial"/>
          <w:sz w:val="15"/>
          <w:szCs w:val="15"/>
          <w:color w:val="auto"/>
        </w:rPr>
      </w:pPr>
      <w:r>
        <w:rPr>
          <w:rFonts w:ascii="Arial" w:cs="Arial" w:eastAsia="Arial" w:hAnsi="Arial"/>
          <w:sz w:val="16"/>
          <w:szCs w:val="16"/>
          <w:color w:val="auto"/>
        </w:rPr>
        <w:t>are in good operating condition and in a state of good maintenance and repair, ordinary wear and tear excepted;</w:t>
      </w:r>
    </w:p>
    <w:p>
      <w:pPr>
        <w:spacing w:after="0" w:line="153" w:lineRule="exact"/>
        <w:rPr>
          <w:rFonts w:ascii="Arial" w:cs="Arial" w:eastAsia="Arial" w:hAnsi="Arial"/>
          <w:sz w:val="15"/>
          <w:szCs w:val="15"/>
          <w:color w:val="auto"/>
        </w:rPr>
      </w:pPr>
    </w:p>
    <w:p>
      <w:pPr>
        <w:ind w:left="1020" w:hanging="350"/>
        <w:spacing w:after="0"/>
        <w:tabs>
          <w:tab w:leader="none" w:pos="1020" w:val="left"/>
        </w:tabs>
        <w:numPr>
          <w:ilvl w:val="0"/>
          <w:numId w:val="590"/>
        </w:numPr>
        <w:rPr>
          <w:rFonts w:ascii="Arial" w:cs="Arial" w:eastAsia="Arial" w:hAnsi="Arial"/>
          <w:sz w:val="18"/>
          <w:szCs w:val="18"/>
          <w:color w:val="auto"/>
        </w:rPr>
      </w:pPr>
      <w:r>
        <w:rPr>
          <w:rFonts w:ascii="Arial" w:cs="Arial" w:eastAsia="Arial" w:hAnsi="Arial"/>
          <w:sz w:val="20"/>
          <w:szCs w:val="20"/>
          <w:color w:val="auto"/>
        </w:rPr>
        <w:t>were acquired and are usable in the Ordinary Course and materially conform to all Applicable Laws.</w:t>
      </w:r>
    </w:p>
    <w:p>
      <w:pPr>
        <w:spacing w:after="0" w:line="10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20"/>
          <w:szCs w:val="20"/>
          <w:color w:val="auto"/>
        </w:rPr>
        <w:t>The Seller and each Group Company has no Knowledge of any material defect or problem with any of such equipment, tangible personal property or assets, other than ordinary wear and tear.</w:t>
      </w:r>
    </w:p>
    <w:p>
      <w:pPr>
        <w:spacing w:after="0" w:line="6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20"/>
          <w:szCs w:val="20"/>
          <w:color w:val="auto"/>
        </w:rPr>
        <w:t>Except as set forth on Disclosure Schedule 5, since December 31, 2019, no Group Company has sold, transferred or disposed of any assets, other than sales of inventory in the Ordinary Course.</w:t>
      </w:r>
    </w:p>
    <w:p>
      <w:pPr>
        <w:spacing w:after="0" w:line="6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9"/>
          <w:szCs w:val="19"/>
          <w:color w:val="auto"/>
        </w:rPr>
        <w:t>Disclosure Schedule 5 sets forth a true, correct and complete list and general description of each item of tangible personal property of each Group Company (including leased personal property) having a book value of more than €10.000 or, if not recognized in the balance sheet, aggregate lease or rent payments remaining outstanding from the Locked Box Date until the term of the lease or rental agreement of more than €10,000.</w:t>
      </w:r>
    </w:p>
    <w:p>
      <w:pPr>
        <w:spacing w:after="0" w:line="68" w:lineRule="exact"/>
        <w:rPr>
          <w:sz w:val="20"/>
          <w:szCs w:val="20"/>
          <w:color w:val="auto"/>
        </w:rPr>
      </w:pPr>
    </w:p>
    <w:p>
      <w:pPr>
        <w:ind w:left="660" w:hanging="652"/>
        <w:spacing w:after="0"/>
        <w:tabs>
          <w:tab w:leader="none" w:pos="66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AND PRODUCTS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The Group Companies’ inventory (both as of the date hereof and on the Closing Date)</w:t>
      </w:r>
    </w:p>
    <w:p>
      <w:pPr>
        <w:spacing w:after="0" w:line="132" w:lineRule="exact"/>
        <w:rPr>
          <w:sz w:val="20"/>
          <w:szCs w:val="20"/>
          <w:color w:val="auto"/>
        </w:rPr>
      </w:pPr>
    </w:p>
    <w:p>
      <w:pPr>
        <w:ind w:left="1000" w:hanging="344"/>
        <w:spacing w:after="0"/>
        <w:tabs>
          <w:tab w:leader="none" w:pos="1000" w:val="left"/>
        </w:tabs>
        <w:numPr>
          <w:ilvl w:val="0"/>
          <w:numId w:val="592"/>
        </w:numPr>
        <w:rPr>
          <w:rFonts w:ascii="Arial" w:cs="Arial" w:eastAsia="Arial" w:hAnsi="Arial"/>
          <w:sz w:val="18"/>
          <w:szCs w:val="18"/>
          <w:color w:val="auto"/>
        </w:rPr>
      </w:pPr>
      <w:r>
        <w:rPr>
          <w:rFonts w:ascii="Arial" w:cs="Arial" w:eastAsia="Arial" w:hAnsi="Arial"/>
          <w:sz w:val="20"/>
          <w:szCs w:val="20"/>
          <w:color w:val="auto"/>
        </w:rPr>
        <w:t>is sufficient for the operation of the Business in the Ordinary Course,</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0"/>
          <w:numId w:val="592"/>
        </w:numPr>
        <w:rPr>
          <w:rFonts w:ascii="Arial" w:cs="Arial" w:eastAsia="Arial" w:hAnsi="Arial"/>
          <w:sz w:val="18"/>
          <w:szCs w:val="18"/>
          <w:color w:val="auto"/>
        </w:rPr>
      </w:pPr>
      <w:r>
        <w:rPr>
          <w:rFonts w:ascii="Arial" w:cs="Arial" w:eastAsia="Arial" w:hAnsi="Arial"/>
          <w:sz w:val="20"/>
          <w:szCs w:val="20"/>
          <w:color w:val="auto"/>
        </w:rPr>
        <w:t>consists of items that are good and merchantable within normal trade tolerances,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4880" w:hanging="111"/>
        <w:spacing w:after="0"/>
        <w:tabs>
          <w:tab w:leader="none" w:pos="488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28" w:name="page529"/>
    <w:bookmarkEnd w:id="528"/>
    <w:p>
      <w:pPr>
        <w:ind w:left="1000" w:hanging="344"/>
        <w:spacing w:after="0"/>
        <w:tabs>
          <w:tab w:leader="none" w:pos="1000" w:val="left"/>
        </w:tabs>
        <w:numPr>
          <w:ilvl w:val="0"/>
          <w:numId w:val="593"/>
        </w:numPr>
        <w:rPr>
          <w:rFonts w:ascii="Arial" w:cs="Arial" w:eastAsia="Arial" w:hAnsi="Arial"/>
          <w:sz w:val="16"/>
          <w:szCs w:val="16"/>
          <w:color w:val="auto"/>
        </w:rPr>
      </w:pPr>
      <w:r>
        <w:rPr>
          <w:rFonts w:ascii="Arial" w:cs="Arial" w:eastAsia="Arial" w:hAnsi="Arial"/>
          <w:sz w:val="18"/>
          <w:szCs w:val="18"/>
          <w:color w:val="auto"/>
        </w:rPr>
        <w:t>is of a quality and quantity presently usable or saleable in the Ordinary Course (subject to applicable reserves),</w:t>
      </w:r>
    </w:p>
    <w:p>
      <w:pPr>
        <w:spacing w:after="0" w:line="130" w:lineRule="exact"/>
        <w:rPr>
          <w:rFonts w:ascii="Arial" w:cs="Arial" w:eastAsia="Arial" w:hAnsi="Arial"/>
          <w:sz w:val="16"/>
          <w:szCs w:val="16"/>
          <w:color w:val="auto"/>
        </w:rPr>
      </w:pPr>
    </w:p>
    <w:p>
      <w:pPr>
        <w:jc w:val="both"/>
        <w:ind w:left="1000" w:hanging="344"/>
        <w:spacing w:after="0" w:line="250" w:lineRule="auto"/>
        <w:tabs>
          <w:tab w:leader="none" w:pos="1000" w:val="left"/>
        </w:tabs>
        <w:numPr>
          <w:ilvl w:val="0"/>
          <w:numId w:val="593"/>
        </w:numPr>
        <w:rPr>
          <w:rFonts w:ascii="Arial" w:cs="Arial" w:eastAsia="Arial" w:hAnsi="Arial"/>
          <w:sz w:val="18"/>
          <w:szCs w:val="18"/>
          <w:color w:val="auto"/>
        </w:rPr>
      </w:pPr>
      <w:r>
        <w:rPr>
          <w:rFonts w:ascii="Arial" w:cs="Arial" w:eastAsia="Arial" w:hAnsi="Arial"/>
          <w:sz w:val="20"/>
          <w:szCs w:val="20"/>
          <w:color w:val="auto"/>
        </w:rPr>
        <w:t>is valued on the books and records of a Group Company, as applicable, at the lower of cost or market value with the cost determined under the moving average cost (</w:t>
      </w:r>
      <w:r>
        <w:rPr>
          <w:rFonts w:ascii="Arial" w:cs="Arial" w:eastAsia="Arial" w:hAnsi="Arial"/>
          <w:sz w:val="20"/>
          <w:szCs w:val="20"/>
          <w:i w:val="1"/>
          <w:iCs w:val="1"/>
          <w:color w:val="auto"/>
        </w:rPr>
        <w:t>gleitender Durchschnitt</w:t>
      </w:r>
      <w:r>
        <w:rPr>
          <w:rFonts w:ascii="Arial" w:cs="Arial" w:eastAsia="Arial" w:hAnsi="Arial"/>
          <w:sz w:val="20"/>
          <w:szCs w:val="20"/>
          <w:color w:val="auto"/>
        </w:rPr>
        <w:t>) method consistent with past practice, and</w:t>
      </w:r>
    </w:p>
    <w:p>
      <w:pPr>
        <w:spacing w:after="0" w:line="77"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593"/>
        </w:numPr>
        <w:rPr>
          <w:rFonts w:ascii="Arial" w:cs="Arial" w:eastAsia="Arial" w:hAnsi="Arial"/>
          <w:sz w:val="18"/>
          <w:szCs w:val="18"/>
          <w:color w:val="auto"/>
        </w:rPr>
      </w:pPr>
      <w:r>
        <w:rPr>
          <w:rFonts w:ascii="Arial" w:cs="Arial" w:eastAsia="Arial" w:hAnsi="Arial"/>
          <w:sz w:val="20"/>
          <w:szCs w:val="20"/>
          <w:color w:val="auto"/>
        </w:rPr>
        <w:t>is subject to reserves determined in accordance with GAAP consistently applied, specifically including reserves for obsolescence and excess inventory. No previously sold inventory is subject to returns in excess of those historically experienced by the Group Companies.</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The products manufactured or sold by the Group Companies in the Business until the Closing Date:</w:t>
      </w:r>
    </w:p>
    <w:p>
      <w:pPr>
        <w:spacing w:after="0" w:line="132" w:lineRule="exact"/>
        <w:rPr>
          <w:sz w:val="20"/>
          <w:szCs w:val="20"/>
          <w:color w:val="auto"/>
        </w:rPr>
      </w:pPr>
    </w:p>
    <w:p>
      <w:pPr>
        <w:ind w:left="1000" w:hanging="344"/>
        <w:spacing w:after="0"/>
        <w:tabs>
          <w:tab w:leader="none" w:pos="1000" w:val="left"/>
        </w:tabs>
        <w:numPr>
          <w:ilvl w:val="0"/>
          <w:numId w:val="594"/>
        </w:numPr>
        <w:rPr>
          <w:rFonts w:ascii="Arial" w:cs="Arial" w:eastAsia="Arial" w:hAnsi="Arial"/>
          <w:sz w:val="18"/>
          <w:szCs w:val="18"/>
          <w:color w:val="auto"/>
        </w:rPr>
      </w:pPr>
      <w:r>
        <w:rPr>
          <w:rFonts w:ascii="Arial" w:cs="Arial" w:eastAsia="Arial" w:hAnsi="Arial"/>
          <w:sz w:val="20"/>
          <w:szCs w:val="20"/>
          <w:color w:val="auto"/>
        </w:rPr>
        <w:t>are, and have been, in material compliance with all Applicable Laws;</w:t>
      </w:r>
    </w:p>
    <w:p>
      <w:pPr>
        <w:spacing w:after="0" w:line="107"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594"/>
        </w:numPr>
        <w:rPr>
          <w:rFonts w:ascii="Arial" w:cs="Arial" w:eastAsia="Arial" w:hAnsi="Arial"/>
          <w:sz w:val="18"/>
          <w:szCs w:val="18"/>
          <w:color w:val="auto"/>
        </w:rPr>
      </w:pPr>
      <w:r>
        <w:rPr>
          <w:rFonts w:ascii="Arial" w:cs="Arial" w:eastAsia="Arial" w:hAnsi="Arial"/>
          <w:sz w:val="20"/>
          <w:szCs w:val="20"/>
          <w:color w:val="auto"/>
        </w:rPr>
        <w:t>do not and will not give raise to any recall obligation of a Group Company or to product liability or personal injury claim of any third party;</w:t>
      </w:r>
    </w:p>
    <w:p>
      <w:pPr>
        <w:spacing w:after="0" w:line="68" w:lineRule="exact"/>
        <w:rPr>
          <w:rFonts w:ascii="Arial" w:cs="Arial" w:eastAsia="Arial" w:hAnsi="Arial"/>
          <w:sz w:val="18"/>
          <w:szCs w:val="18"/>
          <w:color w:val="auto"/>
        </w:rPr>
      </w:pPr>
    </w:p>
    <w:p>
      <w:pPr>
        <w:ind w:left="1000" w:hanging="344"/>
        <w:spacing w:after="0" w:line="316" w:lineRule="auto"/>
        <w:tabs>
          <w:tab w:leader="none" w:pos="1000" w:val="left"/>
        </w:tabs>
        <w:numPr>
          <w:ilvl w:val="0"/>
          <w:numId w:val="594"/>
        </w:numPr>
        <w:rPr>
          <w:rFonts w:ascii="Arial" w:cs="Arial" w:eastAsia="Arial" w:hAnsi="Arial"/>
          <w:sz w:val="16"/>
          <w:szCs w:val="16"/>
          <w:color w:val="auto"/>
        </w:rPr>
      </w:pPr>
      <w:r>
        <w:rPr>
          <w:rFonts w:ascii="Arial" w:cs="Arial" w:eastAsia="Arial" w:hAnsi="Arial"/>
          <w:sz w:val="18"/>
          <w:szCs w:val="18"/>
          <w:color w:val="auto"/>
        </w:rPr>
        <w:t>are, and at all relevant times have been, fit for ordinary purposes for which they are intended to be used and conform in all material respect to any promises or affirmations of fact made with respect to such products.</w:t>
      </w:r>
    </w:p>
    <w:p>
      <w:pPr>
        <w:spacing w:after="0" w:line="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20"/>
          <w:szCs w:val="20"/>
          <w:color w:val="auto"/>
        </w:rPr>
        <w:t>There is no design defect with respect to any of such products, and each of such products contains adequate warnings, presented in a reasonably prominent manner, in accordance with Applicable Law and current industry practice with respect to its contents and use.</w:t>
      </w:r>
    </w:p>
    <w:p>
      <w:pPr>
        <w:spacing w:after="0" w:line="78" w:lineRule="exact"/>
        <w:rPr>
          <w:sz w:val="20"/>
          <w:szCs w:val="20"/>
          <w:color w:val="auto"/>
        </w:rPr>
      </w:pPr>
    </w:p>
    <w:p>
      <w:pPr>
        <w:ind w:left="660" w:hanging="652"/>
        <w:spacing w:after="0"/>
        <w:tabs>
          <w:tab w:leader="none" w:pos="660" w:val="left"/>
        </w:tabs>
        <w:numPr>
          <w:ilvl w:val="0"/>
          <w:numId w:val="59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 xml:space="preserve">The Financial Statements are attached as </w:t>
      </w:r>
      <w:r>
        <w:rPr>
          <w:rFonts w:ascii="Arial" w:cs="Arial" w:eastAsia="Arial" w:hAnsi="Arial"/>
          <w:sz w:val="16"/>
          <w:szCs w:val="16"/>
          <w:u w:val="single" w:color="auto"/>
          <w:color w:val="auto"/>
        </w:rPr>
        <w:t>Disclosure Schedule 7</w:t>
      </w:r>
      <w:r>
        <w:rPr>
          <w:rFonts w:ascii="Arial" w:cs="Arial" w:eastAsia="Arial" w:hAnsi="Arial"/>
          <w:sz w:val="16"/>
          <w:szCs w:val="16"/>
          <w:color w:val="auto"/>
        </w:rPr>
        <w:t>.</w:t>
      </w:r>
    </w:p>
    <w:p>
      <w:pPr>
        <w:spacing w:after="0" w:line="13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20"/>
          <w:szCs w:val="20"/>
          <w:color w:val="auto"/>
        </w:rPr>
        <w:t>Except as expressly noted on Disclosure Schedule 7, the Financial Statements have been prepared in accordance with GAAP from the books and records of the Group Companies, and such books and records have been maintained on a basis consistent with GAAP.</w:t>
      </w:r>
    </w:p>
    <w:p>
      <w:pPr>
        <w:spacing w:after="0" w:line="7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9"/>
          <w:szCs w:val="19"/>
          <w:color w:val="auto"/>
        </w:rPr>
        <w:t>Each balance sheet included in the Financial Statements (including the related notes and schedules, if any) fairly presents the financial position of each Company and its Subsidiaries or the relevant Group Company, as applicable, as of the date of such balance sheet, and each statement of income and cash flows included in the Financial Statements (including any related notes and schedules, if any) fairly presents the results of operations and changes in cash flows of each Company and its Subsidiaries or the relevant Group Company, as applicable, for the periods set forth therein, in each case in accordance with GAAP (except as expressly noted therein or as disclosed on Disclosure Schedule 7) and in each case to the extent the relevant facts were known or could have been known using the diligence of a proper merchant at the time the relevant balance sheet or statement of income and cash flows, as the case may be, were prepared.</w:t>
      </w:r>
    </w:p>
    <w:p>
      <w:pPr>
        <w:spacing w:after="0" w:line="7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20"/>
          <w:szCs w:val="20"/>
          <w:color w:val="auto"/>
        </w:rPr>
        <w:t>Since December 31, 2019, there has been no change in any accounting (or tax accounting) policy, practice or procedure of a Group Company.</w:t>
      </w:r>
    </w:p>
    <w:p>
      <w:pPr>
        <w:spacing w:after="0" w:line="6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20"/>
          <w:szCs w:val="20"/>
          <w:color w:val="auto"/>
        </w:rPr>
        <w:t>The Group Companies maintain accurate books and records reflecting each of their assets and liabilities and maintain proper and adequate internal accounting controls sufficient to provide reasonable assurances regarding the reliability of financial reporting and the preparation of annual financial statements for external purposes in accordance with GAAP.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29" w:name="page530"/>
    <w:bookmarkEnd w:id="529"/>
    <w:p>
      <w:pPr>
        <w:ind w:left="652" w:hanging="652"/>
        <w:spacing w:after="0"/>
        <w:tabs>
          <w:tab w:leader="none" w:pos="652"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NO UNDISCLOSED LIABILITIES</w:t>
      </w:r>
    </w:p>
    <w:p>
      <w:pPr>
        <w:spacing w:after="0" w:line="118" w:lineRule="exact"/>
        <w:rPr>
          <w:rFonts w:ascii="Arial" w:cs="Arial" w:eastAsia="Arial" w:hAnsi="Arial"/>
          <w:sz w:val="18"/>
          <w:szCs w:val="18"/>
          <w:b w:val="1"/>
          <w:bCs w:val="1"/>
          <w:color w:val="auto"/>
        </w:rPr>
      </w:pPr>
    </w:p>
    <w:p>
      <w:pPr>
        <w:jc w:val="both"/>
        <w:ind w:left="652"/>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 xml:space="preserve">Except as disclosed on </w:t>
      </w:r>
      <w:r>
        <w:rPr>
          <w:rFonts w:ascii="Arial" w:cs="Arial" w:eastAsia="Arial" w:hAnsi="Arial"/>
          <w:sz w:val="20"/>
          <w:szCs w:val="20"/>
          <w:u w:val="single" w:color="auto"/>
          <w:color w:val="auto"/>
        </w:rPr>
        <w:t>Disclosure Schedule 8</w:t>
      </w:r>
      <w:r>
        <w:rPr>
          <w:rFonts w:ascii="Arial" w:cs="Arial" w:eastAsia="Arial" w:hAnsi="Arial"/>
          <w:sz w:val="20"/>
          <w:szCs w:val="20"/>
          <w:color w:val="auto"/>
        </w:rPr>
        <w:t>, no Group Company has any liability or obligation (whether absolute, accrued, contingent or otherwise) that is not adequately reflected or provided for in the Financial Statements in accordance with GAAP, except liabilities and obligations that have been incurred since the date of the relevant Financial Statement in the Ordinary Course, and no Group Company owes any Group Debt other than the Lockman Outstanding.</w:t>
      </w:r>
    </w:p>
    <w:p>
      <w:pPr>
        <w:spacing w:after="0" w:line="84" w:lineRule="exact"/>
        <w:rPr>
          <w:rFonts w:ascii="Arial" w:cs="Arial" w:eastAsia="Arial" w:hAnsi="Arial"/>
          <w:sz w:val="18"/>
          <w:szCs w:val="18"/>
          <w:b w:val="1"/>
          <w:bCs w:val="1"/>
          <w:color w:val="auto"/>
        </w:rPr>
      </w:pPr>
    </w:p>
    <w:p>
      <w:pPr>
        <w:ind w:left="652" w:hanging="652"/>
        <w:spacing w:after="0"/>
        <w:tabs>
          <w:tab w:leader="none" w:pos="652"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CERTAIN CHANGES</w:t>
      </w:r>
    </w:p>
    <w:p>
      <w:pPr>
        <w:spacing w:after="0" w:line="118"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20"/>
          <w:szCs w:val="20"/>
          <w:color w:val="auto"/>
        </w:rPr>
        <w:t xml:space="preserve">Since December 31, 2019 and except as set forth on </w:t>
      </w:r>
      <w:r>
        <w:rPr>
          <w:rFonts w:ascii="Arial" w:cs="Arial" w:eastAsia="Arial" w:hAnsi="Arial"/>
          <w:sz w:val="20"/>
          <w:szCs w:val="20"/>
          <w:u w:val="single" w:color="auto"/>
          <w:color w:val="auto"/>
        </w:rPr>
        <w:t>Disclosure Schedule 9</w:t>
      </w:r>
      <w:r>
        <w:rPr>
          <w:rFonts w:ascii="Arial" w:cs="Arial" w:eastAsia="Arial" w:hAnsi="Arial"/>
          <w:sz w:val="20"/>
          <w:szCs w:val="20"/>
          <w:color w:val="auto"/>
        </w:rPr>
        <w:t>, there has not been:</w:t>
      </w:r>
    </w:p>
    <w:p>
      <w:pPr>
        <w:spacing w:after="0" w:line="107" w:lineRule="exact"/>
        <w:rPr>
          <w:rFonts w:ascii="Arial" w:cs="Arial" w:eastAsia="Arial" w:hAnsi="Arial"/>
          <w:sz w:val="18"/>
          <w:szCs w:val="18"/>
          <w:b w:val="1"/>
          <w:bCs w:val="1"/>
          <w:color w:val="auto"/>
        </w:rPr>
      </w:pPr>
    </w:p>
    <w:p>
      <w:pPr>
        <w:ind w:left="992" w:hanging="344"/>
        <w:spacing w:after="0"/>
        <w:tabs>
          <w:tab w:leader="none" w:pos="992" w:val="left"/>
        </w:tabs>
        <w:numPr>
          <w:ilvl w:val="1"/>
          <w:numId w:val="596"/>
        </w:numPr>
        <w:rPr>
          <w:rFonts w:ascii="Arial" w:cs="Arial" w:eastAsia="Arial" w:hAnsi="Arial"/>
          <w:sz w:val="18"/>
          <w:szCs w:val="18"/>
          <w:color w:val="auto"/>
        </w:rPr>
      </w:pPr>
      <w:r>
        <w:rPr>
          <w:rFonts w:ascii="Arial" w:cs="Arial" w:eastAsia="Arial" w:hAnsi="Arial"/>
          <w:sz w:val="20"/>
          <w:szCs w:val="20"/>
          <w:color w:val="auto"/>
        </w:rPr>
        <w:t>any Material Adverse Effect,</w:t>
      </w:r>
    </w:p>
    <w:p>
      <w:pPr>
        <w:spacing w:after="0" w:line="107" w:lineRule="exact"/>
        <w:rPr>
          <w:rFonts w:ascii="Arial" w:cs="Arial" w:eastAsia="Arial" w:hAnsi="Arial"/>
          <w:sz w:val="18"/>
          <w:szCs w:val="18"/>
          <w:color w:val="auto"/>
        </w:rPr>
      </w:pPr>
    </w:p>
    <w:p>
      <w:pPr>
        <w:ind w:left="992" w:hanging="344"/>
        <w:spacing w:after="0" w:line="260" w:lineRule="auto"/>
        <w:tabs>
          <w:tab w:leader="none" w:pos="992" w:val="left"/>
        </w:tabs>
        <w:numPr>
          <w:ilvl w:val="1"/>
          <w:numId w:val="596"/>
        </w:numPr>
        <w:rPr>
          <w:rFonts w:ascii="Arial" w:cs="Arial" w:eastAsia="Arial" w:hAnsi="Arial"/>
          <w:sz w:val="18"/>
          <w:szCs w:val="18"/>
          <w:color w:val="auto"/>
        </w:rPr>
      </w:pPr>
      <w:r>
        <w:rPr>
          <w:rFonts w:ascii="Arial" w:cs="Arial" w:eastAsia="Arial" w:hAnsi="Arial"/>
          <w:sz w:val="20"/>
          <w:szCs w:val="20"/>
          <w:color w:val="auto"/>
        </w:rPr>
        <w:t>any damage, destruction, loss or casualty to property or assets of a Group Company with a value in excess of € 10.000,00, whether or not covered by insurance.</w:t>
      </w:r>
    </w:p>
    <w:p>
      <w:pPr>
        <w:spacing w:after="0" w:line="67" w:lineRule="exact"/>
        <w:rPr>
          <w:rFonts w:ascii="Arial" w:cs="Arial" w:eastAsia="Arial" w:hAnsi="Arial"/>
          <w:sz w:val="18"/>
          <w:szCs w:val="18"/>
          <w:color w:val="auto"/>
        </w:rPr>
      </w:pPr>
    </w:p>
    <w:p>
      <w:pPr>
        <w:ind w:left="652" w:hanging="652"/>
        <w:spacing w:after="0"/>
        <w:tabs>
          <w:tab w:leader="none" w:pos="652"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left="652" w:hanging="647"/>
        <w:spacing w:after="0" w:line="246" w:lineRule="auto"/>
        <w:tabs>
          <w:tab w:leader="none" w:pos="631"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10</w:t>
      </w:r>
      <w:r>
        <w:rPr>
          <w:rFonts w:ascii="Arial" w:cs="Arial" w:eastAsia="Arial" w:hAnsi="Arial"/>
          <w:sz w:val="20"/>
          <w:szCs w:val="20"/>
          <w:color w:val="auto"/>
        </w:rPr>
        <w:t>, there is no suit, action, claim, arbitration, proceeding or investigation pending or, to the Knowledge of the Seller and each Group Company, threatened against, relating to or involving a Group Company or its respective real or personal property before any Governmental Entity or arbitrator (a “</w:t>
      </w:r>
      <w:r>
        <w:rPr>
          <w:rFonts w:ascii="Arial" w:cs="Arial" w:eastAsia="Arial" w:hAnsi="Arial"/>
          <w:sz w:val="20"/>
          <w:szCs w:val="20"/>
          <w:b w:val="1"/>
          <w:bCs w:val="1"/>
          <w:color w:val="auto"/>
        </w:rPr>
        <w:t>Legal</w:t>
      </w:r>
      <w:r>
        <w:rPr>
          <w:rFonts w:ascii="Arial" w:cs="Arial" w:eastAsia="Arial" w:hAnsi="Arial"/>
          <w:sz w:val="20"/>
          <w:szCs w:val="20"/>
          <w:color w:val="auto"/>
        </w:rPr>
        <w:t xml:space="preserve"> </w:t>
      </w:r>
      <w:r>
        <w:rPr>
          <w:rFonts w:ascii="Arial" w:cs="Arial" w:eastAsia="Arial" w:hAnsi="Arial"/>
          <w:sz w:val="20"/>
          <w:szCs w:val="20"/>
          <w:b w:val="1"/>
          <w:bCs w:val="1"/>
          <w:color w:val="auto"/>
        </w:rPr>
        <w:t>Proceeding</w:t>
      </w:r>
      <w:r>
        <w:rPr>
          <w:rFonts w:ascii="Arial" w:cs="Arial" w:eastAsia="Arial" w:hAnsi="Arial"/>
          <w:sz w:val="20"/>
          <w:szCs w:val="20"/>
          <w:color w:val="auto"/>
        </w:rPr>
        <w:t>”).</w:t>
      </w:r>
    </w:p>
    <w:p>
      <w:pPr>
        <w:spacing w:after="0" w:line="83" w:lineRule="exact"/>
        <w:rPr>
          <w:sz w:val="20"/>
          <w:szCs w:val="20"/>
          <w:color w:val="auto"/>
        </w:rPr>
      </w:pPr>
    </w:p>
    <w:p>
      <w:pPr>
        <w:jc w:val="both"/>
        <w:ind w:left="652" w:hanging="647"/>
        <w:spacing w:after="0" w:line="246" w:lineRule="auto"/>
        <w:tabs>
          <w:tab w:leader="none" w:pos="631"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20"/>
          <w:szCs w:val="20"/>
          <w:color w:val="auto"/>
        </w:rPr>
        <w:t>None of the Legal Proceedings set forth on Disclosure Schedule 10, if finally determined adversely, is reasonably likely, individually or in the aggregate, to have a Material Adverse Effect. No Group Company is subject to any judgment, decree, injunction, rule or order of any court or arbitration panel except those shown in Disclosure Schedule 10 and except those that have been fully settled.</w:t>
      </w:r>
    </w:p>
    <w:p>
      <w:pPr>
        <w:spacing w:after="0" w:line="83" w:lineRule="exact"/>
        <w:rPr>
          <w:sz w:val="20"/>
          <w:szCs w:val="20"/>
          <w:color w:val="auto"/>
        </w:rPr>
      </w:pPr>
    </w:p>
    <w:p>
      <w:pPr>
        <w:ind w:left="652" w:hanging="652"/>
        <w:spacing w:after="0"/>
        <w:tabs>
          <w:tab w:leader="none" w:pos="652"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w:t>
      </w:r>
    </w:p>
    <w:p>
      <w:pPr>
        <w:spacing w:after="0" w:line="117"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20"/>
          <w:szCs w:val="20"/>
          <w:color w:val="auto"/>
        </w:rPr>
        <w:t>Each Group Company is (and has been at all times since October 6, 2016, and to the Knowledge of Seller during the past five (5) years) in material compliance with all Applicable Laws (including Applicable Laws relating to corruption, environmental matters and the safety and health of employees).</w:t>
      </w:r>
    </w:p>
    <w:p>
      <w:pPr>
        <w:spacing w:after="0" w:line="78"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20"/>
          <w:szCs w:val="20"/>
          <w:color w:val="auto"/>
        </w:rPr>
        <w:t>To the Knowledge of the Seller and each Group Company each reseller who was or is engaged in selling products of the Company Group in any jurisdiction is (and has been since October 6, 2016, and to the Knowledge of Seller during the past five (5) years) in compliance with all Anti-Corruption Laws.</w:t>
      </w:r>
    </w:p>
    <w:p>
      <w:pPr>
        <w:spacing w:after="0" w:line="78" w:lineRule="exact"/>
        <w:rPr>
          <w:sz w:val="20"/>
          <w:szCs w:val="20"/>
          <w:color w:val="auto"/>
        </w:rPr>
      </w:pPr>
    </w:p>
    <w:p>
      <w:pPr>
        <w:jc w:val="both"/>
        <w:ind w:left="652" w:right="20"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11</w:t>
      </w:r>
      <w:r>
        <w:rPr>
          <w:rFonts w:ascii="Arial" w:cs="Arial" w:eastAsia="Arial" w:hAnsi="Arial"/>
          <w:sz w:val="20"/>
          <w:szCs w:val="20"/>
          <w:color w:val="auto"/>
        </w:rPr>
        <w:t>, since October 6, 2016, and to the Knowledge of Seller during the past five (5) years:</w:t>
      </w:r>
    </w:p>
    <w:p>
      <w:pPr>
        <w:spacing w:after="0" w:line="70" w:lineRule="exact"/>
        <w:rPr>
          <w:sz w:val="20"/>
          <w:szCs w:val="20"/>
          <w:color w:val="auto"/>
        </w:rPr>
      </w:pPr>
    </w:p>
    <w:p>
      <w:pPr>
        <w:jc w:val="both"/>
        <w:ind w:left="992" w:hanging="344"/>
        <w:spacing w:after="0" w:line="246" w:lineRule="auto"/>
        <w:tabs>
          <w:tab w:leader="none" w:pos="992" w:val="left"/>
        </w:tabs>
        <w:numPr>
          <w:ilvl w:val="0"/>
          <w:numId w:val="598"/>
        </w:numPr>
        <w:rPr>
          <w:rFonts w:ascii="Arial" w:cs="Arial" w:eastAsia="Arial" w:hAnsi="Arial"/>
          <w:sz w:val="18"/>
          <w:szCs w:val="18"/>
          <w:color w:val="auto"/>
        </w:rPr>
      </w:pPr>
      <w:r>
        <w:rPr>
          <w:rFonts w:ascii="Arial" w:cs="Arial" w:eastAsia="Arial" w:hAnsi="Arial"/>
          <w:sz w:val="20"/>
          <w:szCs w:val="20"/>
          <w:color w:val="auto"/>
        </w:rPr>
        <w:t>no Group Company has been charged with, nor received any written notice that it is under investigation with respect to, and, to the Knowledge of the Seller and each Group Company, no Group Company is otherwise now under investigation with respect to, any violation of any Applicable Law or other requirement of a Governmental Entity,</w:t>
      </w:r>
    </w:p>
    <w:p>
      <w:pPr>
        <w:spacing w:after="0" w:line="83" w:lineRule="exact"/>
        <w:rPr>
          <w:rFonts w:ascii="Arial" w:cs="Arial" w:eastAsia="Arial" w:hAnsi="Arial"/>
          <w:sz w:val="18"/>
          <w:szCs w:val="18"/>
          <w:color w:val="auto"/>
        </w:rPr>
      </w:pPr>
    </w:p>
    <w:p>
      <w:pPr>
        <w:ind w:left="992" w:hanging="344"/>
        <w:spacing w:after="0" w:line="260" w:lineRule="auto"/>
        <w:tabs>
          <w:tab w:leader="none" w:pos="992" w:val="left"/>
        </w:tabs>
        <w:numPr>
          <w:ilvl w:val="0"/>
          <w:numId w:val="598"/>
        </w:numPr>
        <w:rPr>
          <w:rFonts w:ascii="Arial" w:cs="Arial" w:eastAsia="Arial" w:hAnsi="Arial"/>
          <w:sz w:val="18"/>
          <w:szCs w:val="18"/>
          <w:color w:val="auto"/>
        </w:rPr>
      </w:pPr>
      <w:r>
        <w:rPr>
          <w:rFonts w:ascii="Arial" w:cs="Arial" w:eastAsia="Arial" w:hAnsi="Arial"/>
          <w:sz w:val="20"/>
          <w:szCs w:val="20"/>
          <w:color w:val="auto"/>
        </w:rPr>
        <w:t>no Group Company is a party to, or bound by, any order, judgment, decree, injunction, rule or award of any Governmental Entity or arbitrator and</w:t>
      </w:r>
    </w:p>
    <w:p>
      <w:pPr>
        <w:spacing w:after="0" w:line="68" w:lineRule="exact"/>
        <w:rPr>
          <w:rFonts w:ascii="Arial" w:cs="Arial" w:eastAsia="Arial" w:hAnsi="Arial"/>
          <w:sz w:val="18"/>
          <w:szCs w:val="18"/>
          <w:color w:val="auto"/>
        </w:rPr>
      </w:pPr>
    </w:p>
    <w:p>
      <w:pPr>
        <w:ind w:left="992" w:hanging="344"/>
        <w:spacing w:after="0" w:line="260" w:lineRule="auto"/>
        <w:tabs>
          <w:tab w:leader="none" w:pos="992" w:val="left"/>
        </w:tabs>
        <w:numPr>
          <w:ilvl w:val="0"/>
          <w:numId w:val="598"/>
        </w:numPr>
        <w:rPr>
          <w:rFonts w:ascii="Arial" w:cs="Arial" w:eastAsia="Arial" w:hAnsi="Arial"/>
          <w:sz w:val="18"/>
          <w:szCs w:val="18"/>
          <w:color w:val="auto"/>
        </w:rPr>
      </w:pPr>
      <w:r>
        <w:rPr>
          <w:rFonts w:ascii="Arial" w:cs="Arial" w:eastAsia="Arial" w:hAnsi="Arial"/>
          <w:sz w:val="20"/>
          <w:szCs w:val="20"/>
          <w:color w:val="auto"/>
        </w:rPr>
        <w:t>each Group Company has filed all reports and has all Licenses required to be filed with any Governmental Entity on or prior to the date hereof.</w:t>
      </w:r>
    </w:p>
    <w:p>
      <w:pPr>
        <w:spacing w:after="0" w:line="67" w:lineRule="exact"/>
        <w:rPr>
          <w:sz w:val="20"/>
          <w:szCs w:val="20"/>
          <w:color w:val="auto"/>
        </w:rPr>
      </w:pPr>
    </w:p>
    <w:p>
      <w:pPr>
        <w:ind w:left="652" w:right="20"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20"/>
          <w:szCs w:val="20"/>
          <w:color w:val="auto"/>
        </w:rPr>
        <w:t>No Group Company or any of its Officers or Directors is debarred or suspended from doing business with any Governmental Entity.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30" w:name="page531"/>
    <w:bookmarkEnd w:id="530"/>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9"/>
          <w:szCs w:val="19"/>
          <w:color w:val="auto"/>
        </w:rPr>
        <w:t>Each Group Company and their agents and to the Knowledge of the Seller and each Group Company each reseller engaged in the selling of products of the Company Group in any jurisdiction are (and have been at all times since October 6, 2016, and to the Knowledge of Seller during the past five (5) years) in compliance with all Applicable Laws related to (i) participation in unsanctioned foreign boycotts and (ii) the import and export of goods, equipment, materials, software, technology, and services, including the following:</w:t>
      </w:r>
    </w:p>
    <w:p>
      <w:pPr>
        <w:spacing w:after="0" w:line="74" w:lineRule="exact"/>
        <w:rPr>
          <w:sz w:val="20"/>
          <w:szCs w:val="20"/>
          <w:color w:val="auto"/>
        </w:rPr>
      </w:pPr>
    </w:p>
    <w:p>
      <w:pPr>
        <w:jc w:val="both"/>
        <w:ind w:left="992" w:hanging="344"/>
        <w:spacing w:after="0" w:line="250" w:lineRule="auto"/>
        <w:tabs>
          <w:tab w:leader="none" w:pos="992" w:val="left"/>
        </w:tabs>
        <w:numPr>
          <w:ilvl w:val="0"/>
          <w:numId w:val="599"/>
        </w:numPr>
        <w:rPr>
          <w:rFonts w:ascii="Arial" w:cs="Arial" w:eastAsia="Arial" w:hAnsi="Arial"/>
          <w:sz w:val="18"/>
          <w:szCs w:val="18"/>
          <w:color w:val="auto"/>
        </w:rPr>
      </w:pPr>
      <w:r>
        <w:rPr>
          <w:rFonts w:ascii="Arial" w:cs="Arial" w:eastAsia="Arial" w:hAnsi="Arial"/>
          <w:sz w:val="20"/>
          <w:szCs w:val="20"/>
          <w:color w:val="auto"/>
        </w:rPr>
        <w:t>all applicable provisions of the German Foreign Trade Act (</w:t>
      </w:r>
      <w:r>
        <w:rPr>
          <w:rFonts w:ascii="Arial" w:cs="Arial" w:eastAsia="Arial" w:hAnsi="Arial"/>
          <w:sz w:val="20"/>
          <w:szCs w:val="20"/>
          <w:i w:val="1"/>
          <w:iCs w:val="1"/>
          <w:color w:val="auto"/>
        </w:rPr>
        <w:t>Außenwirtschaftsgesetz</w:t>
      </w:r>
      <w:r>
        <w:rPr>
          <w:rFonts w:ascii="Arial" w:cs="Arial" w:eastAsia="Arial" w:hAnsi="Arial"/>
          <w:sz w:val="20"/>
          <w:szCs w:val="20"/>
          <w:color w:val="auto"/>
        </w:rPr>
        <w:t>), Foreign Trade Ordinance (</w:t>
      </w:r>
      <w:r>
        <w:rPr>
          <w:rFonts w:ascii="Arial" w:cs="Arial" w:eastAsia="Arial" w:hAnsi="Arial"/>
          <w:sz w:val="20"/>
          <w:szCs w:val="20"/>
          <w:i w:val="1"/>
          <w:iCs w:val="1"/>
          <w:color w:val="auto"/>
        </w:rPr>
        <w:t>Außenwirtschaftsverordnung</w:t>
      </w:r>
      <w:r>
        <w:rPr>
          <w:rFonts w:ascii="Arial" w:cs="Arial" w:eastAsia="Arial" w:hAnsi="Arial"/>
          <w:sz w:val="20"/>
          <w:szCs w:val="20"/>
          <w:color w:val="auto"/>
        </w:rPr>
        <w:t>), War Arms Control Act (</w:t>
      </w:r>
      <w:r>
        <w:rPr>
          <w:rFonts w:ascii="Arial" w:cs="Arial" w:eastAsia="Arial" w:hAnsi="Arial"/>
          <w:sz w:val="20"/>
          <w:szCs w:val="20"/>
          <w:i w:val="1"/>
          <w:iCs w:val="1"/>
          <w:color w:val="auto"/>
        </w:rPr>
        <w:t>Kriegswaffenkontrollgesetz</w:t>
      </w:r>
      <w:r>
        <w:rPr>
          <w:rFonts w:ascii="Arial" w:cs="Arial" w:eastAsia="Arial" w:hAnsi="Arial"/>
          <w:sz w:val="20"/>
          <w:szCs w:val="20"/>
          <w:color w:val="auto"/>
        </w:rPr>
        <w:t>) and other legislation concerning arms (</w:t>
      </w:r>
      <w:r>
        <w:rPr>
          <w:rFonts w:ascii="Arial" w:cs="Arial" w:eastAsia="Arial" w:hAnsi="Arial"/>
          <w:sz w:val="20"/>
          <w:szCs w:val="20"/>
          <w:i w:val="1"/>
          <w:iCs w:val="1"/>
          <w:color w:val="auto"/>
        </w:rPr>
        <w:t>Waffengesetze</w:t>
      </w:r>
      <w:r>
        <w:rPr>
          <w:rFonts w:ascii="Arial" w:cs="Arial" w:eastAsia="Arial" w:hAnsi="Arial"/>
          <w:sz w:val="20"/>
          <w:szCs w:val="20"/>
          <w:color w:val="auto"/>
        </w:rPr>
        <w:t>);</w:t>
      </w:r>
    </w:p>
    <w:p>
      <w:pPr>
        <w:spacing w:after="0" w:line="77" w:lineRule="exact"/>
        <w:rPr>
          <w:rFonts w:ascii="Arial" w:cs="Arial" w:eastAsia="Arial" w:hAnsi="Arial"/>
          <w:sz w:val="18"/>
          <w:szCs w:val="18"/>
          <w:color w:val="auto"/>
        </w:rPr>
      </w:pPr>
    </w:p>
    <w:p>
      <w:pPr>
        <w:jc w:val="both"/>
        <w:ind w:left="1012" w:hanging="350"/>
        <w:spacing w:after="0" w:line="246" w:lineRule="auto"/>
        <w:tabs>
          <w:tab w:leader="none" w:pos="1012" w:val="left"/>
        </w:tabs>
        <w:numPr>
          <w:ilvl w:val="1"/>
          <w:numId w:val="599"/>
        </w:numPr>
        <w:rPr>
          <w:rFonts w:ascii="Arial" w:cs="Arial" w:eastAsia="Arial" w:hAnsi="Arial"/>
          <w:sz w:val="18"/>
          <w:szCs w:val="18"/>
          <w:color w:val="auto"/>
        </w:rPr>
      </w:pPr>
      <w:r>
        <w:rPr>
          <w:rFonts w:ascii="Arial" w:cs="Arial" w:eastAsia="Arial" w:hAnsi="Arial"/>
          <w:sz w:val="20"/>
          <w:szCs w:val="20"/>
          <w:color w:val="auto"/>
        </w:rPr>
        <w:t>all applicable directly effective provisions of European Union legislation including those relating to customs duties, foreign trade, sanctions, anti-dumping, arms embargos and arms control, including Council Regulation (EC) No 428/2009 of 5 May 2009 setting up a Community regime for the control of exports, transfer, brokering and transit of dual-use items;</w:t>
      </w:r>
    </w:p>
    <w:p>
      <w:pPr>
        <w:spacing w:after="0" w:line="83" w:lineRule="exact"/>
        <w:rPr>
          <w:sz w:val="20"/>
          <w:szCs w:val="20"/>
          <w:color w:val="auto"/>
        </w:rPr>
      </w:pPr>
    </w:p>
    <w:p>
      <w:pPr>
        <w:jc w:val="both"/>
        <w:ind w:left="992" w:hanging="344"/>
        <w:spacing w:after="0" w:line="274" w:lineRule="auto"/>
        <w:tabs>
          <w:tab w:leader="none" w:pos="992" w:val="left"/>
        </w:tabs>
        <w:numPr>
          <w:ilvl w:val="1"/>
          <w:numId w:val="600"/>
        </w:numPr>
        <w:rPr>
          <w:rFonts w:ascii="Arial" w:cs="Arial" w:eastAsia="Arial" w:hAnsi="Arial"/>
          <w:sz w:val="16"/>
          <w:szCs w:val="16"/>
          <w:color w:val="auto"/>
        </w:rPr>
      </w:pPr>
      <w:r>
        <w:rPr>
          <w:rFonts w:ascii="Arial" w:cs="Arial" w:eastAsia="Arial" w:hAnsi="Arial"/>
          <w:sz w:val="18"/>
          <w:szCs w:val="18"/>
          <w:color w:val="auto"/>
        </w:rPr>
        <w:t>all applicable export controls compliance requirements contained in the Export Control Reform Act (50 U.S.C. § 4801) and the Export Administration Regulations administered by the U.S. Department of Commerce’s Bureau of Industry and Security (15 C.F.R. Parts 730-774) and the Arms Export Control Act (22 U.S.C. § 2778) and the International Traffic in Arms Regulations administered by the U.S. Department of State (22 C.F.R. Parts 120-130), the antiboycott regulations administered by the U.S. Department of Commerce’s Office of Antiboycott Compliance (15 C.F.R. Part 760), and the antiboycott provisions of the Internal Revenue Code administered by the U.S. Department of the Treasury’s Internal Revenue Service (26 U.S.C. § 999);</w:t>
      </w:r>
    </w:p>
    <w:p>
      <w:pPr>
        <w:spacing w:after="0" w:line="60" w:lineRule="exact"/>
        <w:rPr>
          <w:rFonts w:ascii="Arial" w:cs="Arial" w:eastAsia="Arial" w:hAnsi="Arial"/>
          <w:sz w:val="16"/>
          <w:szCs w:val="16"/>
          <w:color w:val="auto"/>
        </w:rPr>
      </w:pPr>
    </w:p>
    <w:p>
      <w:pPr>
        <w:jc w:val="both"/>
        <w:ind w:left="992" w:hanging="344"/>
        <w:spacing w:after="0" w:line="244" w:lineRule="auto"/>
        <w:tabs>
          <w:tab w:leader="none" w:pos="992" w:val="left"/>
        </w:tabs>
        <w:numPr>
          <w:ilvl w:val="1"/>
          <w:numId w:val="600"/>
        </w:numPr>
        <w:rPr>
          <w:rFonts w:ascii="Arial" w:cs="Arial" w:eastAsia="Arial" w:hAnsi="Arial"/>
          <w:sz w:val="18"/>
          <w:szCs w:val="18"/>
          <w:color w:val="auto"/>
        </w:rPr>
      </w:pPr>
      <w:r>
        <w:rPr>
          <w:rFonts w:ascii="Arial" w:cs="Arial" w:eastAsia="Arial" w:hAnsi="Arial"/>
          <w:sz w:val="20"/>
          <w:szCs w:val="20"/>
          <w:color w:val="auto"/>
        </w:rPr>
        <w:t>all applicable economic sanctions authorities administered by the U.S. Department of the Treasury’s office of Foreign Assets Control, including but not limited to regulations located at 31 C.F.R. Chapter V and economic sanctions promulgated pursuant to the International Emergency Economic Powers Act and the Trading With The Enemy Act, and economic sanctions authorities administered by the U.S. Department of State’s Office of Economic Sanctions Policy and Implementation;</w:t>
      </w:r>
    </w:p>
    <w:p>
      <w:pPr>
        <w:spacing w:after="0" w:line="86" w:lineRule="exact"/>
        <w:rPr>
          <w:rFonts w:ascii="Arial" w:cs="Arial" w:eastAsia="Arial" w:hAnsi="Arial"/>
          <w:sz w:val="18"/>
          <w:szCs w:val="18"/>
          <w:color w:val="auto"/>
        </w:rPr>
      </w:pPr>
    </w:p>
    <w:p>
      <w:pPr>
        <w:jc w:val="both"/>
        <w:ind w:left="992" w:hanging="344"/>
        <w:spacing w:after="0" w:line="291" w:lineRule="auto"/>
        <w:tabs>
          <w:tab w:leader="none" w:pos="992" w:val="left"/>
        </w:tabs>
        <w:numPr>
          <w:ilvl w:val="1"/>
          <w:numId w:val="600"/>
        </w:numPr>
        <w:rPr>
          <w:rFonts w:ascii="Arial" w:cs="Arial" w:eastAsia="Arial" w:hAnsi="Arial"/>
          <w:sz w:val="16"/>
          <w:szCs w:val="16"/>
          <w:color w:val="auto"/>
        </w:rPr>
      </w:pPr>
      <w:r>
        <w:rPr>
          <w:rFonts w:ascii="Arial" w:cs="Arial" w:eastAsia="Arial" w:hAnsi="Arial"/>
          <w:sz w:val="18"/>
          <w:szCs w:val="18"/>
          <w:color w:val="auto"/>
        </w:rPr>
        <w:t>all applicable customs and import compliance requirements contained in the Tariff Act of 1930, as amended, and related authorities administered or enforced by the U.S. Department of Commerce, U.S. International Trade Commission, U.S. Customs and Border Protection, and U.S. Immigration and Customs Enforcement; and</w:t>
      </w:r>
    </w:p>
    <w:p>
      <w:pPr>
        <w:spacing w:after="0" w:line="43" w:lineRule="exact"/>
        <w:rPr>
          <w:rFonts w:ascii="Arial" w:cs="Arial" w:eastAsia="Arial" w:hAnsi="Arial"/>
          <w:sz w:val="16"/>
          <w:szCs w:val="16"/>
          <w:color w:val="auto"/>
        </w:rPr>
      </w:pPr>
    </w:p>
    <w:p>
      <w:pPr>
        <w:ind w:left="992" w:right="20" w:hanging="344"/>
        <w:spacing w:after="0" w:line="260" w:lineRule="auto"/>
        <w:tabs>
          <w:tab w:leader="none" w:pos="992" w:val="left"/>
        </w:tabs>
        <w:numPr>
          <w:ilvl w:val="1"/>
          <w:numId w:val="600"/>
        </w:numPr>
        <w:rPr>
          <w:rFonts w:ascii="Arial" w:cs="Arial" w:eastAsia="Arial" w:hAnsi="Arial"/>
          <w:sz w:val="18"/>
          <w:szCs w:val="18"/>
          <w:color w:val="auto"/>
        </w:rPr>
      </w:pPr>
      <w:r>
        <w:rPr>
          <w:rFonts w:ascii="Arial" w:cs="Arial" w:eastAsia="Arial" w:hAnsi="Arial"/>
          <w:sz w:val="20"/>
          <w:szCs w:val="20"/>
          <w:color w:val="auto"/>
        </w:rPr>
        <w:t>all applicable certification, permitting, valuation, classification, reporting, and recordkeeping requirements concerning the importation of products.</w:t>
      </w:r>
    </w:p>
    <w:p>
      <w:pPr>
        <w:spacing w:after="0" w:line="67" w:lineRule="exact"/>
        <w:rPr>
          <w:rFonts w:ascii="Arial" w:cs="Arial" w:eastAsia="Arial" w:hAnsi="Arial"/>
          <w:sz w:val="18"/>
          <w:szCs w:val="18"/>
          <w:color w:val="auto"/>
        </w:rPr>
      </w:pPr>
    </w:p>
    <w:p>
      <w:pPr>
        <w:ind w:left="652" w:hanging="652"/>
        <w:spacing w:after="0"/>
        <w:tabs>
          <w:tab w:leader="none" w:pos="652"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COMPANY CONTRACTS</w:t>
      </w:r>
    </w:p>
    <w:p>
      <w:pPr>
        <w:spacing w:after="0" w:line="117" w:lineRule="exact"/>
        <w:rPr>
          <w:sz w:val="20"/>
          <w:szCs w:val="20"/>
          <w:color w:val="auto"/>
        </w:rPr>
      </w:pPr>
    </w:p>
    <w:p>
      <w:pPr>
        <w:jc w:val="both"/>
        <w:ind w:left="652" w:hanging="647"/>
        <w:spacing w:after="0" w:line="243" w:lineRule="auto"/>
        <w:tabs>
          <w:tab w:leader="none" w:pos="631"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20"/>
          <w:szCs w:val="20"/>
          <w:u w:val="single" w:color="auto"/>
          <w:color w:val="auto"/>
        </w:rPr>
        <w:t xml:space="preserve">Disclosure Schedule 12 </w:t>
      </w:r>
      <w:r>
        <w:rPr>
          <w:rFonts w:ascii="Arial" w:cs="Arial" w:eastAsia="Arial" w:hAnsi="Arial"/>
          <w:sz w:val="20"/>
          <w:szCs w:val="20"/>
          <w:color w:val="auto"/>
        </w:rPr>
        <w:t>sets forth a true, correct and complete list of the following contracts to which a Group</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Company is a party, by which a Group Company or any property of any thereof is subject, or by which a Group Company is otherwise bound, whether oral or written (the “</w:t>
      </w:r>
      <w:r>
        <w:rPr>
          <w:rFonts w:ascii="Arial" w:cs="Arial" w:eastAsia="Arial" w:hAnsi="Arial"/>
          <w:sz w:val="20"/>
          <w:szCs w:val="20"/>
          <w:b w:val="1"/>
          <w:bCs w:val="1"/>
          <w:color w:val="auto"/>
        </w:rPr>
        <w:t>Company Contracts</w:t>
      </w:r>
      <w:r>
        <w:rPr>
          <w:rFonts w:ascii="Arial" w:cs="Arial" w:eastAsia="Arial" w:hAnsi="Arial"/>
          <w:sz w:val="20"/>
          <w:szCs w:val="20"/>
          <w:color w:val="auto"/>
        </w:rPr>
        <w:t>”) (other than the Employment Agreements set forth on Disclosure Schedule 14 and the insurance policies set forth on Disclosure Schedule 16) to the extent any obligation by any party thereto (including warranty obligations) is outstanding as of the date hereof regardless of whether due or not yet due: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31" w:name="page532"/>
    <w:bookmarkEnd w:id="531"/>
    <w:p>
      <w:pPr>
        <w:jc w:val="both"/>
        <w:ind w:left="540" w:right="20" w:hanging="344"/>
        <w:spacing w:after="0" w:line="25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bonds, debentures, notes, loans, credit or loan agreements or loan commitments, mortgages, indentures, guarantees or other contracts relating to the borrowing of money or binding upon any properties or assets (real, personal or mixed, tangible or intangible) of a Group Company;</w:t>
      </w:r>
    </w:p>
    <w:p>
      <w:pPr>
        <w:spacing w:after="0" w:line="77" w:lineRule="exact"/>
        <w:rPr>
          <w:rFonts w:ascii="Arial" w:cs="Arial" w:eastAsia="Arial" w:hAnsi="Arial"/>
          <w:sz w:val="18"/>
          <w:szCs w:val="18"/>
          <w:color w:val="auto"/>
        </w:rPr>
      </w:pPr>
    </w:p>
    <w:p>
      <w:pPr>
        <w:ind w:left="540" w:right="20" w:hanging="344"/>
        <w:spacing w:after="0" w:line="26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leases relating to the Leased Real Property or other leases or licenses involving any properties or assets (whether real, personal or mixed, tangible or intangible);</w:t>
      </w:r>
    </w:p>
    <w:p>
      <w:pPr>
        <w:spacing w:after="0" w:line="68" w:lineRule="exact"/>
        <w:rPr>
          <w:rFonts w:ascii="Arial" w:cs="Arial" w:eastAsia="Arial" w:hAnsi="Arial"/>
          <w:sz w:val="18"/>
          <w:szCs w:val="18"/>
          <w:color w:val="auto"/>
        </w:rPr>
      </w:pPr>
    </w:p>
    <w:p>
      <w:pPr>
        <w:jc w:val="both"/>
        <w:ind w:left="540" w:hanging="344"/>
        <w:spacing w:after="0" w:line="243"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that (i) limit or restrict the Group Companies or any of their Officers or Directors, employees, the Seller or other equity holders, agents or representatives (in their capacity as such) from engaging in any business or other activity in any jurisdiction; (ii) create or purport to create any exclusive or preferential relationship or arrangement; (iii) otherwise restrict or limit the ability of the Group Companies to operate or expand the Business; or (iv) impose, or purport to impose, any obligations or restrictions on Affiliates of the Company;</w:t>
      </w:r>
    </w:p>
    <w:p>
      <w:pPr>
        <w:spacing w:after="0" w:line="87" w:lineRule="exact"/>
        <w:rPr>
          <w:rFonts w:ascii="Arial" w:cs="Arial" w:eastAsia="Arial" w:hAnsi="Arial"/>
          <w:sz w:val="18"/>
          <w:szCs w:val="18"/>
          <w:color w:val="auto"/>
        </w:rPr>
      </w:pPr>
    </w:p>
    <w:p>
      <w:pPr>
        <w:ind w:left="540" w:hanging="344"/>
        <w:spacing w:after="0"/>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confidentiality agreements;</w:t>
      </w:r>
    </w:p>
    <w:p>
      <w:pPr>
        <w:spacing w:after="0" w:line="107" w:lineRule="exact"/>
        <w:rPr>
          <w:rFonts w:ascii="Arial" w:cs="Arial" w:eastAsia="Arial" w:hAnsi="Arial"/>
          <w:sz w:val="18"/>
          <w:szCs w:val="18"/>
          <w:color w:val="auto"/>
        </w:rPr>
      </w:pPr>
    </w:p>
    <w:p>
      <w:pPr>
        <w:ind w:left="540" w:hanging="344"/>
        <w:spacing w:after="0" w:line="287" w:lineRule="auto"/>
        <w:tabs>
          <w:tab w:leader="none" w:pos="540" w:val="left"/>
        </w:tabs>
        <w:numPr>
          <w:ilvl w:val="0"/>
          <w:numId w:val="602"/>
        </w:numPr>
        <w:rPr>
          <w:rFonts w:ascii="Arial" w:cs="Arial" w:eastAsia="Arial" w:hAnsi="Arial"/>
          <w:sz w:val="17"/>
          <w:szCs w:val="17"/>
          <w:color w:val="auto"/>
        </w:rPr>
      </w:pPr>
      <w:r>
        <w:rPr>
          <w:rFonts w:ascii="Arial" w:cs="Arial" w:eastAsia="Arial" w:hAnsi="Arial"/>
          <w:sz w:val="19"/>
          <w:szCs w:val="19"/>
          <w:color w:val="auto"/>
        </w:rPr>
        <w:t>all contracts and agreements for capital expenditures or the acquisition or construction of fixed assets requiring the payment by a Group Company of an amount in excess of €20,000.00 in each case;</w:t>
      </w:r>
    </w:p>
    <w:p>
      <w:pPr>
        <w:spacing w:after="0" w:line="44" w:lineRule="exact"/>
        <w:rPr>
          <w:rFonts w:ascii="Arial" w:cs="Arial" w:eastAsia="Arial" w:hAnsi="Arial"/>
          <w:sz w:val="17"/>
          <w:szCs w:val="17"/>
          <w:color w:val="auto"/>
        </w:rPr>
      </w:pPr>
    </w:p>
    <w:p>
      <w:pPr>
        <w:ind w:left="540" w:right="20" w:hanging="344"/>
        <w:spacing w:after="0" w:line="287" w:lineRule="auto"/>
        <w:tabs>
          <w:tab w:leader="none" w:pos="540" w:val="left"/>
        </w:tabs>
        <w:numPr>
          <w:ilvl w:val="0"/>
          <w:numId w:val="602"/>
        </w:numPr>
        <w:rPr>
          <w:rFonts w:ascii="Arial" w:cs="Arial" w:eastAsia="Arial" w:hAnsi="Arial"/>
          <w:sz w:val="17"/>
          <w:szCs w:val="17"/>
          <w:color w:val="auto"/>
        </w:rPr>
      </w:pPr>
      <w:r>
        <w:rPr>
          <w:rFonts w:ascii="Arial" w:cs="Arial" w:eastAsia="Arial" w:hAnsi="Arial"/>
          <w:sz w:val="19"/>
          <w:szCs w:val="19"/>
          <w:color w:val="auto"/>
        </w:rPr>
        <w:t>all contracts and agreements that provide for an increased payment or benefit, or accelerated vesting, upon the execution hereof, or the Closing, or in connection with the transactions contemplated hereby;</w:t>
      </w:r>
    </w:p>
    <w:p>
      <w:pPr>
        <w:spacing w:after="0" w:line="44" w:lineRule="exact"/>
        <w:rPr>
          <w:rFonts w:ascii="Arial" w:cs="Arial" w:eastAsia="Arial" w:hAnsi="Arial"/>
          <w:sz w:val="17"/>
          <w:szCs w:val="17"/>
          <w:color w:val="auto"/>
        </w:rPr>
      </w:pPr>
    </w:p>
    <w:p>
      <w:pPr>
        <w:ind w:left="540" w:hanging="344"/>
        <w:spacing w:after="0" w:line="26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granting any Person a Lien on all or any part of any asset other than Permitted Liens;</w:t>
      </w:r>
    </w:p>
    <w:p>
      <w:pPr>
        <w:spacing w:after="0" w:line="68" w:lineRule="exact"/>
        <w:rPr>
          <w:rFonts w:ascii="Arial" w:cs="Arial" w:eastAsia="Arial" w:hAnsi="Arial"/>
          <w:sz w:val="18"/>
          <w:szCs w:val="18"/>
          <w:color w:val="auto"/>
        </w:rPr>
      </w:pPr>
    </w:p>
    <w:p>
      <w:pPr>
        <w:jc w:val="both"/>
        <w:ind w:left="540" w:hanging="344"/>
        <w:spacing w:after="0" w:line="25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for the cleanup, abatement or other actions in connection with any Hazardous Materials, the remediation of any existing environmental condition or relating to the performance of any environmental audit or study;</w:t>
      </w:r>
    </w:p>
    <w:p>
      <w:pPr>
        <w:spacing w:after="0" w:line="77" w:lineRule="exact"/>
        <w:rPr>
          <w:rFonts w:ascii="Arial" w:cs="Arial" w:eastAsia="Arial" w:hAnsi="Arial"/>
          <w:sz w:val="18"/>
          <w:szCs w:val="18"/>
          <w:color w:val="auto"/>
        </w:rPr>
      </w:pPr>
    </w:p>
    <w:p>
      <w:pPr>
        <w:ind w:left="540" w:right="20" w:hanging="344"/>
        <w:spacing w:after="0" w:line="26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granting to any Person an option or a first refusal, first-offer or similar preferential right to purchase or acquire any assets;</w:t>
      </w:r>
    </w:p>
    <w:p>
      <w:pPr>
        <w:spacing w:after="0" w:line="68" w:lineRule="exact"/>
        <w:rPr>
          <w:rFonts w:ascii="Arial" w:cs="Arial" w:eastAsia="Arial" w:hAnsi="Arial"/>
          <w:sz w:val="18"/>
          <w:szCs w:val="18"/>
          <w:color w:val="auto"/>
        </w:rPr>
      </w:pPr>
    </w:p>
    <w:p>
      <w:pPr>
        <w:ind w:left="540" w:hanging="344"/>
        <w:spacing w:after="0" w:line="26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with any agent, distributor or representative that is not terminable without penalty on thirty (30) days’ or less notice;</w:t>
      </w:r>
    </w:p>
    <w:p>
      <w:pPr>
        <w:spacing w:after="0" w:line="68" w:lineRule="exact"/>
        <w:rPr>
          <w:rFonts w:ascii="Arial" w:cs="Arial" w:eastAsia="Arial" w:hAnsi="Arial"/>
          <w:sz w:val="18"/>
          <w:szCs w:val="18"/>
          <w:color w:val="auto"/>
        </w:rPr>
      </w:pPr>
    </w:p>
    <w:p>
      <w:pPr>
        <w:ind w:left="540" w:hanging="344"/>
        <w:spacing w:after="0" w:line="316" w:lineRule="auto"/>
        <w:tabs>
          <w:tab w:leader="none" w:pos="540" w:val="left"/>
        </w:tabs>
        <w:numPr>
          <w:ilvl w:val="0"/>
          <w:numId w:val="602"/>
        </w:numPr>
        <w:rPr>
          <w:rFonts w:ascii="Arial" w:cs="Arial" w:eastAsia="Arial" w:hAnsi="Arial"/>
          <w:sz w:val="16"/>
          <w:szCs w:val="16"/>
          <w:color w:val="auto"/>
        </w:rPr>
      </w:pPr>
      <w:r>
        <w:rPr>
          <w:rFonts w:ascii="Arial" w:cs="Arial" w:eastAsia="Arial" w:hAnsi="Arial"/>
          <w:sz w:val="18"/>
          <w:szCs w:val="18"/>
          <w:color w:val="auto"/>
        </w:rPr>
        <w:t>all contracts and agreements for the granting or receiving of a license, sublicense or franchise or under which any Person is obligated to pay or has the right to receive a royalty, license fee, franchise fee or similar payment;</w:t>
      </w:r>
    </w:p>
    <w:p>
      <w:pPr>
        <w:spacing w:after="0" w:line="21" w:lineRule="exact"/>
        <w:rPr>
          <w:rFonts w:ascii="Arial" w:cs="Arial" w:eastAsia="Arial" w:hAnsi="Arial"/>
          <w:sz w:val="16"/>
          <w:szCs w:val="16"/>
          <w:color w:val="auto"/>
        </w:rPr>
      </w:pPr>
    </w:p>
    <w:p>
      <w:pPr>
        <w:ind w:left="540" w:hanging="344"/>
        <w:spacing w:after="0"/>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licenses and agreements to which a Group Company is a party</w:t>
      </w:r>
    </w:p>
    <w:p>
      <w:pPr>
        <w:spacing w:after="0" w:line="107" w:lineRule="exact"/>
        <w:rPr>
          <w:rFonts w:ascii="Arial" w:cs="Arial" w:eastAsia="Arial" w:hAnsi="Arial"/>
          <w:sz w:val="18"/>
          <w:szCs w:val="18"/>
          <w:color w:val="auto"/>
        </w:rPr>
      </w:pPr>
    </w:p>
    <w:p>
      <w:pPr>
        <w:ind w:left="1000" w:hanging="439"/>
        <w:spacing w:after="0" w:line="260" w:lineRule="auto"/>
        <w:tabs>
          <w:tab w:leader="none" w:pos="1000" w:val="left"/>
        </w:tabs>
        <w:numPr>
          <w:ilvl w:val="1"/>
          <w:numId w:val="602"/>
        </w:numPr>
        <w:rPr>
          <w:rFonts w:ascii="Arial" w:cs="Arial" w:eastAsia="Arial" w:hAnsi="Arial"/>
          <w:sz w:val="18"/>
          <w:szCs w:val="18"/>
          <w:color w:val="auto"/>
        </w:rPr>
      </w:pPr>
      <w:r>
        <w:rPr>
          <w:rFonts w:ascii="Arial" w:cs="Arial" w:eastAsia="Arial" w:hAnsi="Arial"/>
          <w:sz w:val="20"/>
          <w:szCs w:val="20"/>
          <w:color w:val="auto"/>
        </w:rPr>
        <w:t>with respect to Company Intellectual Property licensed or transferred to any third party (other than end-user licenses in the Ordinary Course) or</w:t>
      </w:r>
    </w:p>
    <w:p>
      <w:pPr>
        <w:spacing w:after="0" w:line="68" w:lineRule="exact"/>
        <w:rPr>
          <w:rFonts w:ascii="Arial" w:cs="Arial" w:eastAsia="Arial" w:hAnsi="Arial"/>
          <w:sz w:val="18"/>
          <w:szCs w:val="18"/>
          <w:color w:val="auto"/>
        </w:rPr>
      </w:pPr>
    </w:p>
    <w:p>
      <w:pPr>
        <w:ind w:left="1000" w:hanging="439"/>
        <w:spacing w:after="0" w:line="260" w:lineRule="auto"/>
        <w:tabs>
          <w:tab w:leader="none" w:pos="1000" w:val="left"/>
        </w:tabs>
        <w:numPr>
          <w:ilvl w:val="1"/>
          <w:numId w:val="602"/>
        </w:numPr>
        <w:rPr>
          <w:rFonts w:ascii="Arial" w:cs="Arial" w:eastAsia="Arial" w:hAnsi="Arial"/>
          <w:sz w:val="18"/>
          <w:szCs w:val="18"/>
          <w:color w:val="auto"/>
        </w:rPr>
      </w:pPr>
      <w:r>
        <w:rPr>
          <w:rFonts w:ascii="Arial" w:cs="Arial" w:eastAsia="Arial" w:hAnsi="Arial"/>
          <w:sz w:val="20"/>
          <w:szCs w:val="20"/>
          <w:color w:val="auto"/>
        </w:rPr>
        <w:t>pursuant to which a third party has licensed or transferred any Company Intellectual Property to a Group Company;</w:t>
      </w:r>
    </w:p>
    <w:p>
      <w:pPr>
        <w:spacing w:after="0" w:line="68" w:lineRule="exact"/>
        <w:rPr>
          <w:rFonts w:ascii="Arial" w:cs="Arial" w:eastAsia="Arial" w:hAnsi="Arial"/>
          <w:sz w:val="18"/>
          <w:szCs w:val="18"/>
          <w:color w:val="auto"/>
        </w:rPr>
      </w:pPr>
    </w:p>
    <w:p>
      <w:pPr>
        <w:ind w:left="540" w:hanging="344"/>
        <w:spacing w:after="0" w:line="260"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20"/>
          <w:szCs w:val="20"/>
          <w:color w:val="auto"/>
        </w:rPr>
        <w:t>all contracts and agreements providing for the indemnification or holding harmless of any Officer or Director, employee or other Person;</w:t>
      </w:r>
    </w:p>
    <w:p>
      <w:pPr>
        <w:spacing w:after="0" w:line="68" w:lineRule="exact"/>
        <w:rPr>
          <w:rFonts w:ascii="Arial" w:cs="Arial" w:eastAsia="Arial" w:hAnsi="Arial"/>
          <w:sz w:val="18"/>
          <w:szCs w:val="18"/>
          <w:color w:val="auto"/>
        </w:rPr>
      </w:pPr>
    </w:p>
    <w:p>
      <w:pPr>
        <w:ind w:left="540" w:hanging="344"/>
        <w:spacing w:after="0"/>
        <w:tabs>
          <w:tab w:leader="none" w:pos="540" w:val="left"/>
        </w:tabs>
        <w:numPr>
          <w:ilvl w:val="0"/>
          <w:numId w:val="602"/>
        </w:numPr>
        <w:rPr>
          <w:rFonts w:ascii="Arial" w:cs="Arial" w:eastAsia="Arial" w:hAnsi="Arial"/>
          <w:sz w:val="17"/>
          <w:szCs w:val="17"/>
          <w:color w:val="auto"/>
        </w:rPr>
      </w:pPr>
      <w:r>
        <w:rPr>
          <w:rFonts w:ascii="Arial" w:cs="Arial" w:eastAsia="Arial" w:hAnsi="Arial"/>
          <w:sz w:val="19"/>
          <w:szCs w:val="19"/>
          <w:color w:val="auto"/>
        </w:rPr>
        <w:t>all joint venture or partnership contracts and all other contracts providing for the sharing of any profits;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9" w:lineRule="exact"/>
        <w:rPr>
          <w:rFonts w:ascii="Arial" w:cs="Arial" w:eastAsia="Arial" w:hAnsi="Arial"/>
          <w:sz w:val="17"/>
          <w:szCs w:val="17"/>
          <w:color w:val="auto"/>
        </w:rPr>
      </w:pPr>
    </w:p>
    <w:p>
      <w:pPr>
        <w:ind w:left="4420" w:hanging="111"/>
        <w:spacing w:after="0"/>
        <w:tabs>
          <w:tab w:leader="none" w:pos="4420" w:val="left"/>
        </w:tabs>
        <w:numPr>
          <w:ilvl w:val="2"/>
          <w:numId w:val="602"/>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32" w:name="page533"/>
    <w:bookmarkEnd w:id="532"/>
    <w:p>
      <w:pPr>
        <w:ind w:left="1000" w:right="20" w:hanging="344"/>
        <w:spacing w:after="0" w:line="316" w:lineRule="auto"/>
        <w:tabs>
          <w:tab w:leader="none" w:pos="1000" w:val="left"/>
        </w:tabs>
        <w:numPr>
          <w:ilvl w:val="0"/>
          <w:numId w:val="603"/>
        </w:numPr>
        <w:rPr>
          <w:rFonts w:ascii="Arial" w:cs="Arial" w:eastAsia="Arial" w:hAnsi="Arial"/>
          <w:sz w:val="16"/>
          <w:szCs w:val="16"/>
          <w:color w:val="auto"/>
        </w:rPr>
      </w:pPr>
      <w:r>
        <w:rPr>
          <w:rFonts w:ascii="Arial" w:cs="Arial" w:eastAsia="Arial" w:hAnsi="Arial"/>
          <w:sz w:val="18"/>
          <w:szCs w:val="18"/>
          <w:color w:val="auto"/>
        </w:rPr>
        <w:t>all contracts or agreements entered into involving the sale or purchase of assets or capital share of any Person, other than in the Ordinary Course, or a merger, consolidation, business combination or similar transaction;</w:t>
      </w:r>
    </w:p>
    <w:p>
      <w:pPr>
        <w:spacing w:after="0" w:line="21" w:lineRule="exact"/>
        <w:rPr>
          <w:rFonts w:ascii="Arial" w:cs="Arial" w:eastAsia="Arial" w:hAnsi="Arial"/>
          <w:sz w:val="16"/>
          <w:szCs w:val="16"/>
          <w:color w:val="auto"/>
        </w:rPr>
      </w:pPr>
    </w:p>
    <w:p>
      <w:pPr>
        <w:jc w:val="both"/>
        <w:ind w:left="1000" w:hanging="344"/>
        <w:spacing w:after="0" w:line="250" w:lineRule="auto"/>
        <w:tabs>
          <w:tab w:leader="none" w:pos="1000" w:val="left"/>
        </w:tabs>
        <w:numPr>
          <w:ilvl w:val="0"/>
          <w:numId w:val="603"/>
        </w:numPr>
        <w:rPr>
          <w:rFonts w:ascii="Arial" w:cs="Arial" w:eastAsia="Arial" w:hAnsi="Arial"/>
          <w:sz w:val="18"/>
          <w:szCs w:val="18"/>
          <w:color w:val="auto"/>
        </w:rPr>
      </w:pPr>
      <w:r>
        <w:rPr>
          <w:rFonts w:ascii="Arial" w:cs="Arial" w:eastAsia="Arial" w:hAnsi="Arial"/>
          <w:sz w:val="20"/>
          <w:szCs w:val="20"/>
          <w:color w:val="auto"/>
        </w:rPr>
        <w:t>all customer contracts and agreements (excluding work orders and purchase orders individually providing revenue to a Group Company of an amount (net of VAT or sales tax) of less than €100,000) for the provision of goods or services by a Group Company;</w:t>
      </w:r>
    </w:p>
    <w:p>
      <w:pPr>
        <w:spacing w:after="0" w:line="77"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603"/>
        </w:numPr>
        <w:rPr>
          <w:rFonts w:ascii="Arial" w:cs="Arial" w:eastAsia="Arial" w:hAnsi="Arial"/>
          <w:sz w:val="18"/>
          <w:szCs w:val="18"/>
          <w:color w:val="auto"/>
        </w:rPr>
      </w:pPr>
      <w:r>
        <w:rPr>
          <w:rFonts w:ascii="Arial" w:cs="Arial" w:eastAsia="Arial" w:hAnsi="Arial"/>
          <w:sz w:val="20"/>
          <w:szCs w:val="20"/>
          <w:color w:val="auto"/>
        </w:rPr>
        <w:t>all supply contracts and agreements (excluding work orders and purchase orders individually requiring a Group Company to spend an amount (net of VAT or sales tax) of less than € 100,000) for the provision of goods or services for a Group Company;</w:t>
      </w:r>
    </w:p>
    <w:p>
      <w:pPr>
        <w:spacing w:after="0" w:line="77" w:lineRule="exact"/>
        <w:rPr>
          <w:rFonts w:ascii="Arial" w:cs="Arial" w:eastAsia="Arial" w:hAnsi="Arial"/>
          <w:sz w:val="18"/>
          <w:szCs w:val="18"/>
          <w:color w:val="auto"/>
        </w:rPr>
      </w:pPr>
    </w:p>
    <w:p>
      <w:pPr>
        <w:ind w:left="1000" w:hanging="344"/>
        <w:spacing w:after="0"/>
        <w:tabs>
          <w:tab w:leader="none" w:pos="1000" w:val="left"/>
        </w:tabs>
        <w:numPr>
          <w:ilvl w:val="0"/>
          <w:numId w:val="603"/>
        </w:numPr>
        <w:rPr>
          <w:rFonts w:ascii="Arial" w:cs="Arial" w:eastAsia="Arial" w:hAnsi="Arial"/>
          <w:sz w:val="18"/>
          <w:szCs w:val="18"/>
          <w:color w:val="auto"/>
        </w:rPr>
      </w:pPr>
      <w:r>
        <w:rPr>
          <w:rFonts w:ascii="Arial" w:cs="Arial" w:eastAsia="Arial" w:hAnsi="Arial"/>
          <w:sz w:val="20"/>
          <w:szCs w:val="20"/>
          <w:color w:val="auto"/>
        </w:rPr>
        <w:t>all outstanding powers of attorney empowering any Person to act on behalf of a Group Company;</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0"/>
          <w:numId w:val="603"/>
        </w:numPr>
        <w:rPr>
          <w:rFonts w:ascii="Arial" w:cs="Arial" w:eastAsia="Arial" w:hAnsi="Arial"/>
          <w:sz w:val="18"/>
          <w:szCs w:val="18"/>
          <w:color w:val="auto"/>
        </w:rPr>
      </w:pPr>
      <w:r>
        <w:rPr>
          <w:rFonts w:ascii="Arial" w:cs="Arial" w:eastAsia="Arial" w:hAnsi="Arial"/>
          <w:sz w:val="20"/>
          <w:szCs w:val="20"/>
          <w:color w:val="auto"/>
        </w:rPr>
        <w:t>all U.S. Government Contracts; and</w:t>
      </w:r>
    </w:p>
    <w:p>
      <w:pPr>
        <w:spacing w:after="0" w:line="107" w:lineRule="exact"/>
        <w:rPr>
          <w:rFonts w:ascii="Arial" w:cs="Arial" w:eastAsia="Arial" w:hAnsi="Arial"/>
          <w:sz w:val="18"/>
          <w:szCs w:val="18"/>
          <w:color w:val="auto"/>
        </w:rPr>
      </w:pPr>
    </w:p>
    <w:p>
      <w:pPr>
        <w:ind w:left="1000" w:right="20" w:hanging="344"/>
        <w:spacing w:after="0" w:line="260" w:lineRule="auto"/>
        <w:tabs>
          <w:tab w:leader="none" w:pos="1000" w:val="left"/>
        </w:tabs>
        <w:numPr>
          <w:ilvl w:val="0"/>
          <w:numId w:val="603"/>
        </w:numPr>
        <w:rPr>
          <w:rFonts w:ascii="Arial" w:cs="Arial" w:eastAsia="Arial" w:hAnsi="Arial"/>
          <w:sz w:val="18"/>
          <w:szCs w:val="18"/>
          <w:color w:val="auto"/>
        </w:rPr>
      </w:pPr>
      <w:r>
        <w:rPr>
          <w:rFonts w:ascii="Arial" w:cs="Arial" w:eastAsia="Arial" w:hAnsi="Arial"/>
          <w:sz w:val="20"/>
          <w:szCs w:val="20"/>
          <w:color w:val="auto"/>
        </w:rPr>
        <w:t>all existing contracts and agreements (other than those described in sub-clauses (a) through (r) of this paragraph 12.1 of the Schedule)</w:t>
      </w:r>
    </w:p>
    <w:p>
      <w:pPr>
        <w:spacing w:after="0" w:line="68" w:lineRule="exact"/>
        <w:rPr>
          <w:rFonts w:ascii="Arial" w:cs="Arial" w:eastAsia="Arial" w:hAnsi="Arial"/>
          <w:sz w:val="18"/>
          <w:szCs w:val="18"/>
          <w:color w:val="auto"/>
        </w:rPr>
      </w:pPr>
    </w:p>
    <w:p>
      <w:pPr>
        <w:ind w:left="1460" w:right="20" w:hanging="439"/>
        <w:spacing w:after="0" w:line="260" w:lineRule="auto"/>
        <w:tabs>
          <w:tab w:leader="none" w:pos="1460" w:val="left"/>
        </w:tabs>
        <w:numPr>
          <w:ilvl w:val="1"/>
          <w:numId w:val="603"/>
        </w:numPr>
        <w:rPr>
          <w:rFonts w:ascii="Arial" w:cs="Arial" w:eastAsia="Arial" w:hAnsi="Arial"/>
          <w:sz w:val="18"/>
          <w:szCs w:val="18"/>
          <w:color w:val="auto"/>
        </w:rPr>
      </w:pPr>
      <w:r>
        <w:rPr>
          <w:rFonts w:ascii="Arial" w:cs="Arial" w:eastAsia="Arial" w:hAnsi="Arial"/>
          <w:sz w:val="20"/>
          <w:szCs w:val="20"/>
          <w:color w:val="auto"/>
        </w:rPr>
        <w:t>involving an annual commitment or annual payment to or from a Group Company of more than €100,000 (net of VAT or sales tax) individually or</w:t>
      </w:r>
    </w:p>
    <w:p>
      <w:pPr>
        <w:spacing w:after="0" w:line="68" w:lineRule="exact"/>
        <w:rPr>
          <w:rFonts w:ascii="Arial" w:cs="Arial" w:eastAsia="Arial" w:hAnsi="Arial"/>
          <w:sz w:val="18"/>
          <w:szCs w:val="18"/>
          <w:color w:val="auto"/>
        </w:rPr>
      </w:pPr>
    </w:p>
    <w:p>
      <w:pPr>
        <w:ind w:left="1460" w:hanging="439"/>
        <w:spacing w:after="0"/>
        <w:tabs>
          <w:tab w:leader="none" w:pos="1460" w:val="left"/>
        </w:tabs>
        <w:numPr>
          <w:ilvl w:val="1"/>
          <w:numId w:val="603"/>
        </w:numPr>
        <w:rPr>
          <w:rFonts w:ascii="Arial" w:cs="Arial" w:eastAsia="Arial" w:hAnsi="Arial"/>
          <w:sz w:val="18"/>
          <w:szCs w:val="18"/>
          <w:color w:val="auto"/>
        </w:rPr>
      </w:pPr>
      <w:r>
        <w:rPr>
          <w:rFonts w:ascii="Arial" w:cs="Arial" w:eastAsia="Arial" w:hAnsi="Arial"/>
          <w:sz w:val="20"/>
          <w:szCs w:val="20"/>
          <w:color w:val="auto"/>
        </w:rPr>
        <w:t>that is material to the Company Group, individually or in the aggregate.</w:t>
      </w:r>
    </w:p>
    <w:p>
      <w:pPr>
        <w:spacing w:after="0" w:line="1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True, correct and complete copies of all Company Contracts have been made available to the Purchaser.</w:t>
      </w:r>
    </w:p>
    <w:p>
      <w:pPr>
        <w:spacing w:after="0" w:line="131"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9"/>
          <w:szCs w:val="19"/>
          <w:color w:val="auto"/>
        </w:rPr>
        <w:t>The Company Contracts are legal, valid, binding and enforceable in accordance with their respective terms with respect to a Group Company, as applicable, and each other party to such Company Contracts.</w:t>
      </w:r>
    </w:p>
    <w:p>
      <w:pPr>
        <w:spacing w:after="0" w:line="4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20"/>
          <w:szCs w:val="20"/>
          <w:color w:val="auto"/>
        </w:rPr>
        <w:t>There is no existing material default or breach of a Group Company, as applicable, under any Company Contract (or event or condition that, with notice or lapse of time or both could constitute a default or breach) and, to the Knowledge of the Seller and each Group Company, there is no such default or breach (or event or condition that, with notice or lapse of time or both, could constitute a default or breach) with respect to any third party to any Company Contract.</w:t>
      </w:r>
    </w:p>
    <w:p>
      <w:pPr>
        <w:spacing w:after="0" w:line="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20"/>
          <w:szCs w:val="20"/>
          <w:color w:val="auto"/>
        </w:rPr>
        <w:t>No Group Company is participating in any discussions or negotiations regarding modification of or amendment to any Company Contract or entry in any new material contract applicable to a Group Company or the real or personal property of a Group Company outside the Ordinary Course.</w:t>
      </w:r>
    </w:p>
    <w:p>
      <w:pPr>
        <w:spacing w:after="0" w:line="7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20"/>
          <w:szCs w:val="20"/>
          <w:color w:val="auto"/>
        </w:rPr>
        <w:t>Disclosure Schedule 12 identifies with an asterisk each Company Contract set forth therein that requires the consent of or notice to the other party thereto to avoid any breach, default or violation of such contract, agreement or other instrument in connection with the transactions contemplated hereby.</w:t>
      </w:r>
    </w:p>
    <w:p>
      <w:pPr>
        <w:spacing w:after="0" w:line="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With respect to the U.S. Government Contracts:</w:t>
      </w:r>
    </w:p>
    <w:p>
      <w:pPr>
        <w:spacing w:after="0" w:line="132" w:lineRule="exact"/>
        <w:rPr>
          <w:sz w:val="20"/>
          <w:szCs w:val="20"/>
          <w:color w:val="auto"/>
        </w:rPr>
      </w:pPr>
    </w:p>
    <w:p>
      <w:pPr>
        <w:jc w:val="both"/>
        <w:ind w:left="1000" w:hanging="344"/>
        <w:spacing w:after="0" w:line="257" w:lineRule="auto"/>
        <w:tabs>
          <w:tab w:leader="none" w:pos="1000" w:val="left"/>
        </w:tabs>
        <w:numPr>
          <w:ilvl w:val="0"/>
          <w:numId w:val="604"/>
        </w:numPr>
        <w:rPr>
          <w:rFonts w:ascii="Arial" w:cs="Arial" w:eastAsia="Arial" w:hAnsi="Arial"/>
          <w:sz w:val="17"/>
          <w:szCs w:val="17"/>
          <w:color w:val="auto"/>
        </w:rPr>
      </w:pPr>
      <w:r>
        <w:rPr>
          <w:rFonts w:ascii="Arial" w:cs="Arial" w:eastAsia="Arial" w:hAnsi="Arial"/>
          <w:sz w:val="19"/>
          <w:szCs w:val="19"/>
          <w:u w:val="single" w:color="auto"/>
          <w:color w:val="auto"/>
        </w:rPr>
        <w:t>U.S. Government Contracts and Bids</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Disclosure Schedule 12.7(a)</w:t>
      </w:r>
      <w:r>
        <w:rPr>
          <w:rFonts w:ascii="Arial" w:cs="Arial" w:eastAsia="Arial" w:hAnsi="Arial"/>
          <w:sz w:val="19"/>
          <w:szCs w:val="19"/>
          <w:color w:val="auto"/>
        </w:rPr>
        <w:t xml:space="preserve"> lists (i) U.S. Government Contracts the period of performance of which has not yet expired or terminated or for which final payment has not yet been received (the “</w:t>
      </w:r>
      <w:r>
        <w:rPr>
          <w:rFonts w:ascii="Arial" w:cs="Arial" w:eastAsia="Arial" w:hAnsi="Arial"/>
          <w:sz w:val="19"/>
          <w:szCs w:val="19"/>
          <w:b w:val="1"/>
          <w:bCs w:val="1"/>
          <w:color w:val="auto"/>
        </w:rPr>
        <w:t>Current U.S. Government Contracts</w:t>
      </w:r>
      <w:r>
        <w:rPr>
          <w:rFonts w:ascii="Arial" w:cs="Arial" w:eastAsia="Arial" w:hAnsi="Arial"/>
          <w:sz w:val="19"/>
          <w:szCs w:val="19"/>
          <w:color w:val="auto"/>
        </w:rPr>
        <w:t>”); (ii) quotations, bids and proposals for awards of new U.S. Government Contracts made by a Group Company for which no award has been made and for which a Group Company believes there is a reasonable prospect that such an award to such Group Company may yet be made (the “</w:t>
      </w:r>
      <w:r>
        <w:rPr>
          <w:rFonts w:ascii="Arial" w:cs="Arial" w:eastAsia="Arial" w:hAnsi="Arial"/>
          <w:sz w:val="19"/>
          <w:szCs w:val="19"/>
          <w:b w:val="1"/>
          <w:bCs w:val="1"/>
          <w:color w:val="auto"/>
        </w:rPr>
        <w:t>U.S. Government Contract Bids</w:t>
      </w:r>
      <w:r>
        <w:rPr>
          <w:rFonts w:ascii="Arial" w:cs="Arial" w:eastAsia="Arial" w:hAnsi="Arial"/>
          <w:sz w:val="19"/>
          <w:szCs w:val="19"/>
          <w:color w:val="auto"/>
        </w:rPr>
        <w:t>”); and (iii) U.S. Government Contracts pursuant to which a Group Company is currently or is reasonably likely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0" w:lineRule="exact"/>
        <w:rPr>
          <w:rFonts w:ascii="Arial" w:cs="Arial" w:eastAsia="Arial" w:hAnsi="Arial"/>
          <w:sz w:val="17"/>
          <w:szCs w:val="17"/>
          <w:color w:val="auto"/>
        </w:rPr>
      </w:pPr>
    </w:p>
    <w:p>
      <w:pPr>
        <w:ind w:left="4880" w:hanging="111"/>
        <w:spacing w:after="0"/>
        <w:tabs>
          <w:tab w:leader="none" w:pos="488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33" w:name="page534"/>
    <w:bookmarkEnd w:id="533"/>
    <w:p>
      <w:pPr>
        <w:jc w:val="both"/>
        <w:ind w:left="580"/>
        <w:spacing w:after="0" w:line="255" w:lineRule="auto"/>
        <w:rPr>
          <w:sz w:val="20"/>
          <w:szCs w:val="20"/>
          <w:color w:val="auto"/>
        </w:rPr>
      </w:pPr>
      <w:r>
        <w:rPr>
          <w:rFonts w:ascii="Arial" w:cs="Arial" w:eastAsia="Arial" w:hAnsi="Arial"/>
          <w:sz w:val="19"/>
          <w:szCs w:val="19"/>
          <w:color w:val="auto"/>
        </w:rPr>
        <w:t>experience cost, schedule, technical or quality problems that could result in claims against such Group Company (or its successors in interest) by a U.S. Governmental Entity, a prime contractor or a higher-tier subcontractor. The Seller has delivered to the Purchaser true and complete copies of all Current U.S. Government Contracts and of all U.S. Government Contract Bids, including all amendments and other modifications thereto, and has provided the Purchaser with access to true and correct copies of all documentation related thereto requested by the Purchaser. With respect to each Current U.S. Government Contract, Disclosure Schedule 12.7(a) accurately lists (A) the contract number, (B) the award date and (C) the contract end date. With respect to each such U.S. Government Contract Bid, Disclosure Schedule 12.7(a) accurately lists: (A) the request for proposal (RFP) number; (B) the date of proposal submission; (C) the expected award date, if known; (D) the estimated period of performance; and (E) the estimated value based on the proposal, if any. Only the Subsidiary has entered into any U.S. Government Contracts or is an offeror for any U.S. Government Contract Bids.</w:t>
      </w:r>
    </w:p>
    <w:p>
      <w:pPr>
        <w:spacing w:after="0" w:line="76" w:lineRule="exact"/>
        <w:rPr>
          <w:sz w:val="20"/>
          <w:szCs w:val="20"/>
          <w:color w:val="auto"/>
        </w:rPr>
      </w:pPr>
    </w:p>
    <w:p>
      <w:pPr>
        <w:jc w:val="both"/>
        <w:ind w:left="540" w:hanging="344"/>
        <w:spacing w:after="0" w:line="243" w:lineRule="auto"/>
        <w:tabs>
          <w:tab w:leader="none" w:pos="540" w:val="left"/>
        </w:tabs>
        <w:numPr>
          <w:ilvl w:val="0"/>
          <w:numId w:val="605"/>
        </w:numPr>
        <w:rPr>
          <w:rFonts w:ascii="Arial" w:cs="Arial" w:eastAsia="Arial" w:hAnsi="Arial"/>
          <w:sz w:val="18"/>
          <w:szCs w:val="18"/>
          <w:color w:val="auto"/>
        </w:rPr>
      </w:pPr>
      <w:r>
        <w:rPr>
          <w:rFonts w:ascii="Arial" w:cs="Arial" w:eastAsia="Arial" w:hAnsi="Arial"/>
          <w:sz w:val="20"/>
          <w:szCs w:val="20"/>
          <w:u w:val="single" w:color="auto"/>
          <w:color w:val="auto"/>
        </w:rPr>
        <w:t>Protests</w:t>
      </w:r>
      <w:r>
        <w:rPr>
          <w:rFonts w:ascii="Arial" w:cs="Arial" w:eastAsia="Arial" w:hAnsi="Arial"/>
          <w:sz w:val="20"/>
          <w:szCs w:val="20"/>
          <w:color w:val="auto"/>
        </w:rPr>
        <w:t>. To the Knowledge of the Seller, the Current U.S. Government Contracts are not currently the subject of bid or award protest proceedings, no such Current U.S. Government Contracts are reasonably likely to become subject of bid or award protest proceedings, and no Person has notified the Seller or a Group Company that any U.S. Governmental Entity, prime contractor or higher-tier subcontractor under a U.S. Government Contract intends to seek the agreement of a Group Company to lower rates under any of the U.S. Government Contracts or U.S. Government Contract Bids, including, without limitation, any task order under any U.S. Government Contract Bids.</w:t>
      </w:r>
    </w:p>
    <w:p>
      <w:pPr>
        <w:spacing w:after="0" w:line="84" w:lineRule="exact"/>
        <w:rPr>
          <w:rFonts w:ascii="Arial" w:cs="Arial" w:eastAsia="Arial" w:hAnsi="Arial"/>
          <w:sz w:val="18"/>
          <w:szCs w:val="18"/>
          <w:color w:val="auto"/>
        </w:rPr>
      </w:pPr>
    </w:p>
    <w:p>
      <w:pPr>
        <w:jc w:val="both"/>
        <w:ind w:left="540" w:hanging="344"/>
        <w:spacing w:after="0" w:line="241" w:lineRule="auto"/>
        <w:tabs>
          <w:tab w:leader="none" w:pos="540" w:val="left"/>
        </w:tabs>
        <w:numPr>
          <w:ilvl w:val="0"/>
          <w:numId w:val="605"/>
        </w:numPr>
        <w:rPr>
          <w:rFonts w:ascii="Arial" w:cs="Arial" w:eastAsia="Arial" w:hAnsi="Arial"/>
          <w:sz w:val="18"/>
          <w:szCs w:val="18"/>
          <w:color w:val="auto"/>
        </w:rPr>
      </w:pPr>
      <w:r>
        <w:rPr>
          <w:rFonts w:ascii="Arial" w:cs="Arial" w:eastAsia="Arial" w:hAnsi="Arial"/>
          <w:sz w:val="20"/>
          <w:szCs w:val="20"/>
          <w:u w:val="single" w:color="auto"/>
          <w:color w:val="auto"/>
        </w:rPr>
        <w:t>Compliance with Contracts</w:t>
      </w:r>
      <w:r>
        <w:rPr>
          <w:rFonts w:ascii="Arial" w:cs="Arial" w:eastAsia="Arial" w:hAnsi="Arial"/>
          <w:sz w:val="20"/>
          <w:szCs w:val="20"/>
          <w:color w:val="auto"/>
        </w:rPr>
        <w:t>. Except as set forth in Disclosure Schedule 12.7(a), (i) each Group Company has materially complied with all terms and conditions of each U.S. Government Contract and U.S. Government Contract Bid to which it is a party, and has materially performed all obligations required to be performed by it thereunder; (ii) each Group Company has complied with all statutory and regulatory requirements, including, without limitation, the Federal Acquisition Regulation (“</w:t>
      </w:r>
      <w:r>
        <w:rPr>
          <w:rFonts w:ascii="Arial" w:cs="Arial" w:eastAsia="Arial" w:hAnsi="Arial"/>
          <w:sz w:val="20"/>
          <w:szCs w:val="20"/>
          <w:b w:val="1"/>
          <w:bCs w:val="1"/>
          <w:color w:val="auto"/>
        </w:rPr>
        <w:t>FAR</w:t>
      </w:r>
      <w:r>
        <w:rPr>
          <w:rFonts w:ascii="Arial" w:cs="Arial" w:eastAsia="Arial" w:hAnsi="Arial"/>
          <w:sz w:val="20"/>
          <w:szCs w:val="20"/>
          <w:color w:val="auto"/>
        </w:rPr>
        <w:t>”), and any applicable agency-specific acquisition regulation and related cost principles, where and as applicable to each of the Current U.S. Government Contracts and the U.S. Government Contract Bids; and (iii) the representations, certifications and warranties made by a Group Company with respect to the U.S. Government Contracts or U.S. Government Contract Bids were accurate as of their effective dates, and such Group Company has materially complied with all such certifications.</w:t>
      </w:r>
    </w:p>
    <w:p>
      <w:pPr>
        <w:spacing w:after="0" w:line="93" w:lineRule="exact"/>
        <w:rPr>
          <w:rFonts w:ascii="Arial" w:cs="Arial" w:eastAsia="Arial" w:hAnsi="Arial"/>
          <w:sz w:val="18"/>
          <w:szCs w:val="18"/>
          <w:color w:val="auto"/>
        </w:rPr>
      </w:pPr>
    </w:p>
    <w:p>
      <w:pPr>
        <w:jc w:val="both"/>
        <w:ind w:left="540" w:hanging="344"/>
        <w:spacing w:after="0" w:line="270" w:lineRule="auto"/>
        <w:tabs>
          <w:tab w:leader="none" w:pos="540" w:val="left"/>
        </w:tabs>
        <w:numPr>
          <w:ilvl w:val="0"/>
          <w:numId w:val="605"/>
        </w:numPr>
        <w:rPr>
          <w:rFonts w:ascii="Arial" w:cs="Arial" w:eastAsia="Arial" w:hAnsi="Arial"/>
          <w:sz w:val="16"/>
          <w:szCs w:val="16"/>
          <w:color w:val="auto"/>
        </w:rPr>
      </w:pPr>
      <w:r>
        <w:rPr>
          <w:rFonts w:ascii="Arial" w:cs="Arial" w:eastAsia="Arial" w:hAnsi="Arial"/>
          <w:sz w:val="18"/>
          <w:szCs w:val="18"/>
          <w:u w:val="single" w:color="auto"/>
          <w:color w:val="auto"/>
        </w:rPr>
        <w:t>Notice of Non-Compliance</w:t>
      </w:r>
      <w:r>
        <w:rPr>
          <w:rFonts w:ascii="Arial" w:cs="Arial" w:eastAsia="Arial" w:hAnsi="Arial"/>
          <w:sz w:val="18"/>
          <w:szCs w:val="18"/>
          <w:color w:val="auto"/>
        </w:rPr>
        <w:t>. With respect to the Current U.S. Government Contracts, (i) neither the Seller nor Group Company has received any written or oral show cause, cure, deficiency, default or similar notice relating to a Current U.S. Government Contract; (ii) no termination for default, cure notice or show cause notice has been issued or threatened and remains unresolved with respect to any U.S. Government Contract or U.S. Government Contract Bid, and to the Knowledge of the Seller no event, condition or omission has occurred or exists that would constitute grounds for such action; (iii) all invoices and claims (including, without limitation, requests for progress payments and provisional costs payments) submitted under each U.S. Government Contract were current, accurate and complete in all material respects as of their submission date; and (iv) none of the execution, delivery or performance of this Agreement and the other documents contemplated hereby does or will conflict with or result in a breach of or default under any U.S. Government Contract or cause a termination of any U.S. Government Contract. None of the Seller, the Company nor the Subsidiary has received any written or oral notice terminating any of the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4420" w:hanging="111"/>
        <w:spacing w:after="0"/>
        <w:tabs>
          <w:tab w:leader="none" w:pos="44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34" w:name="page535"/>
    <w:bookmarkEnd w:id="534"/>
    <w:p>
      <w:pPr>
        <w:ind w:left="580"/>
        <w:spacing w:after="0"/>
        <w:rPr>
          <w:sz w:val="20"/>
          <w:szCs w:val="20"/>
          <w:color w:val="auto"/>
        </w:rPr>
      </w:pPr>
      <w:r>
        <w:rPr>
          <w:rFonts w:ascii="Arial" w:cs="Arial" w:eastAsia="Arial" w:hAnsi="Arial"/>
          <w:sz w:val="18"/>
          <w:szCs w:val="18"/>
          <w:color w:val="auto"/>
        </w:rPr>
        <w:t>Current U.S. Government Contracts for convenience or indicating an intent to terminate any of the Current U.S.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Government Contracts for convenience.</w:t>
      </w:r>
    </w:p>
    <w:p>
      <w:pPr>
        <w:spacing w:after="0" w:line="92" w:lineRule="exact"/>
        <w:rPr>
          <w:sz w:val="20"/>
          <w:szCs w:val="20"/>
          <w:color w:val="auto"/>
        </w:rPr>
      </w:pPr>
    </w:p>
    <w:p>
      <w:pPr>
        <w:ind w:left="540" w:hanging="344"/>
        <w:spacing w:after="0" w:line="260" w:lineRule="auto"/>
        <w:tabs>
          <w:tab w:leader="none" w:pos="540" w:val="left"/>
        </w:tabs>
        <w:numPr>
          <w:ilvl w:val="0"/>
          <w:numId w:val="606"/>
        </w:numPr>
        <w:rPr>
          <w:rFonts w:ascii="Arial" w:cs="Arial" w:eastAsia="Arial" w:hAnsi="Arial"/>
          <w:sz w:val="18"/>
          <w:szCs w:val="18"/>
          <w:color w:val="auto"/>
        </w:rPr>
      </w:pPr>
      <w:r>
        <w:rPr>
          <w:rFonts w:ascii="Arial" w:cs="Arial" w:eastAsia="Arial" w:hAnsi="Arial"/>
          <w:sz w:val="20"/>
          <w:szCs w:val="20"/>
          <w:u w:val="single" w:color="auto"/>
          <w:color w:val="auto"/>
        </w:rPr>
        <w:t>No Preferential Status Awards</w:t>
      </w:r>
      <w:r>
        <w:rPr>
          <w:rFonts w:ascii="Arial" w:cs="Arial" w:eastAsia="Arial" w:hAnsi="Arial"/>
          <w:sz w:val="20"/>
          <w:szCs w:val="20"/>
          <w:color w:val="auto"/>
        </w:rPr>
        <w:t>. None of the U.S. Government Contracts are small business set-aside contracts or were awarded based upon the business status of the relevant Group Company.</w:t>
      </w:r>
    </w:p>
    <w:p>
      <w:pPr>
        <w:spacing w:after="0" w:line="68" w:lineRule="exact"/>
        <w:rPr>
          <w:rFonts w:ascii="Arial" w:cs="Arial" w:eastAsia="Arial" w:hAnsi="Arial"/>
          <w:sz w:val="18"/>
          <w:szCs w:val="18"/>
          <w:color w:val="auto"/>
        </w:rPr>
      </w:pPr>
    </w:p>
    <w:p>
      <w:pPr>
        <w:jc w:val="both"/>
        <w:ind w:left="540" w:hanging="344"/>
        <w:spacing w:after="0" w:line="271" w:lineRule="auto"/>
        <w:tabs>
          <w:tab w:leader="none" w:pos="540" w:val="left"/>
        </w:tabs>
        <w:numPr>
          <w:ilvl w:val="0"/>
          <w:numId w:val="606"/>
        </w:numPr>
        <w:rPr>
          <w:rFonts w:ascii="Arial" w:cs="Arial" w:eastAsia="Arial" w:hAnsi="Arial"/>
          <w:sz w:val="16"/>
          <w:szCs w:val="16"/>
          <w:color w:val="auto"/>
        </w:rPr>
      </w:pPr>
      <w:r>
        <w:rPr>
          <w:rFonts w:ascii="Arial" w:cs="Arial" w:eastAsia="Arial" w:hAnsi="Arial"/>
          <w:sz w:val="18"/>
          <w:szCs w:val="18"/>
          <w:u w:val="single" w:color="auto"/>
          <w:color w:val="auto"/>
        </w:rPr>
        <w:t>False Claims, Defective Pricing and Requests for Pricing Reductions</w:t>
      </w:r>
      <w:r>
        <w:rPr>
          <w:rFonts w:ascii="Arial" w:cs="Arial" w:eastAsia="Arial" w:hAnsi="Arial"/>
          <w:sz w:val="18"/>
          <w:szCs w:val="18"/>
          <w:color w:val="auto"/>
        </w:rPr>
        <w:t>. No Group Company has taken any action (nor has either received any allegations from employees, consultants or independent contractors with respect to any alleged act or omission) or is party to any litigation that could reasonably be expected to give rise to (i) liability under the False Claims Act; (ii) a claim for price adjustment under the Truthful Cost or Pricing Data Act; or (iii) any other request for a reduction in the price of any U.S. Government Contract. There exists no basis for a claim of any liability of the Truthful Cost or Pricing Data Act by any U.S. Governmental Entity as a result of defective cost and pricing data submitted to any U.S. Governmental Entity. Neither the Seller nor a Group Company has conducted or initiated any internal investigation or made a voluntary or involuntary disclosure to any U.S. Governmental Entity with respect to (x) liability under the False Claims Act; (y) a claim for price adjustment under the Truthful Cost or Pricing Act; or (z) any other request for a reduction in the price of any U.S. Government Contracts, including claims based on actual or alleged defective pricing.</w:t>
      </w:r>
    </w:p>
    <w:p>
      <w:pPr>
        <w:spacing w:after="0" w:line="61" w:lineRule="exact"/>
        <w:rPr>
          <w:rFonts w:ascii="Arial" w:cs="Arial" w:eastAsia="Arial" w:hAnsi="Arial"/>
          <w:sz w:val="16"/>
          <w:szCs w:val="16"/>
          <w:color w:val="auto"/>
        </w:rPr>
      </w:pPr>
    </w:p>
    <w:p>
      <w:pPr>
        <w:jc w:val="both"/>
        <w:ind w:left="540" w:hanging="344"/>
        <w:spacing w:after="0" w:line="250" w:lineRule="auto"/>
        <w:tabs>
          <w:tab w:leader="none" w:pos="540" w:val="left"/>
        </w:tabs>
        <w:numPr>
          <w:ilvl w:val="0"/>
          <w:numId w:val="606"/>
        </w:numPr>
        <w:rPr>
          <w:rFonts w:ascii="Arial" w:cs="Arial" w:eastAsia="Arial" w:hAnsi="Arial"/>
          <w:sz w:val="18"/>
          <w:szCs w:val="18"/>
          <w:color w:val="auto"/>
        </w:rPr>
      </w:pPr>
      <w:r>
        <w:rPr>
          <w:rFonts w:ascii="Arial" w:cs="Arial" w:eastAsia="Arial" w:hAnsi="Arial"/>
          <w:sz w:val="20"/>
          <w:szCs w:val="20"/>
          <w:u w:val="single" w:color="auto"/>
          <w:color w:val="auto"/>
        </w:rPr>
        <w:t>Cost-Type Contracts</w:t>
      </w:r>
      <w:r>
        <w:rPr>
          <w:rFonts w:ascii="Arial" w:cs="Arial" w:eastAsia="Arial" w:hAnsi="Arial"/>
          <w:sz w:val="20"/>
          <w:szCs w:val="20"/>
          <w:color w:val="auto"/>
        </w:rPr>
        <w:t>. Disclosure Schedule 12.7(a) identifies with an asterisk all cost-type U.S. Government Contracts. Each Group Company is in compliance with all cost accounting standards and other Laws applicable to costs charged to U.S. Government Contracts.</w:t>
      </w:r>
    </w:p>
    <w:p>
      <w:pPr>
        <w:spacing w:after="0" w:line="77" w:lineRule="exact"/>
        <w:rPr>
          <w:rFonts w:ascii="Arial" w:cs="Arial" w:eastAsia="Arial" w:hAnsi="Arial"/>
          <w:sz w:val="18"/>
          <w:szCs w:val="18"/>
          <w:color w:val="auto"/>
        </w:rPr>
      </w:pPr>
    </w:p>
    <w:p>
      <w:pPr>
        <w:jc w:val="both"/>
        <w:ind w:left="540" w:hanging="344"/>
        <w:spacing w:after="0" w:line="271" w:lineRule="auto"/>
        <w:tabs>
          <w:tab w:leader="none" w:pos="540" w:val="left"/>
        </w:tabs>
        <w:numPr>
          <w:ilvl w:val="0"/>
          <w:numId w:val="606"/>
        </w:numPr>
        <w:rPr>
          <w:rFonts w:ascii="Arial" w:cs="Arial" w:eastAsia="Arial" w:hAnsi="Arial"/>
          <w:sz w:val="16"/>
          <w:szCs w:val="16"/>
          <w:color w:val="auto"/>
        </w:rPr>
      </w:pPr>
      <w:r>
        <w:rPr>
          <w:rFonts w:ascii="Arial" w:cs="Arial" w:eastAsia="Arial" w:hAnsi="Arial"/>
          <w:sz w:val="18"/>
          <w:szCs w:val="18"/>
          <w:u w:val="single" w:color="auto"/>
          <w:color w:val="auto"/>
        </w:rPr>
        <w:t>Suspension and Debarment</w:t>
      </w:r>
      <w:r>
        <w:rPr>
          <w:rFonts w:ascii="Arial" w:cs="Arial" w:eastAsia="Arial" w:hAnsi="Arial"/>
          <w:sz w:val="18"/>
          <w:szCs w:val="18"/>
          <w:color w:val="auto"/>
        </w:rPr>
        <w:t>. No Group Company nor any of its respective managers, Officers and Directors or employees in connection with the performance of duties for or on behalf of a Group Company has been debarred, suspended or proposed for suspension or debarment from bidding on any U.S. Government Contract, declared nonresponsible or ineligible or otherwise excluded from participation in the award of any U.S. Government Contract, or for any reason listed on the List of Parties Excluded from Federal Procurement and Non-procurement Programs. No debarment, suspension or exclusion proceeding has been initiated against any Group Company, or any of their respective managers, Officers and Directors or employees in connection with the performance of its duties for or on behalf of a Group Company. To the Knowledge of the Seller, no circumstances exist that would warrant the institution of suspension or debarment proceedings against any Group Company, or any of their respective managers, Officers and Directors or employees in connection with the performance of their duties for or on behalf of a Group Company.</w:t>
      </w:r>
    </w:p>
    <w:p>
      <w:pPr>
        <w:spacing w:after="0" w:line="61" w:lineRule="exact"/>
        <w:rPr>
          <w:rFonts w:ascii="Arial" w:cs="Arial" w:eastAsia="Arial" w:hAnsi="Arial"/>
          <w:sz w:val="16"/>
          <w:szCs w:val="16"/>
          <w:color w:val="auto"/>
        </w:rPr>
      </w:pPr>
    </w:p>
    <w:p>
      <w:pPr>
        <w:jc w:val="both"/>
        <w:ind w:left="540" w:hanging="344"/>
        <w:spacing w:after="0" w:line="272" w:lineRule="auto"/>
        <w:tabs>
          <w:tab w:leader="none" w:pos="540" w:val="left"/>
        </w:tabs>
        <w:numPr>
          <w:ilvl w:val="0"/>
          <w:numId w:val="606"/>
        </w:numPr>
        <w:rPr>
          <w:rFonts w:ascii="Arial" w:cs="Arial" w:eastAsia="Arial" w:hAnsi="Arial"/>
          <w:sz w:val="16"/>
          <w:szCs w:val="16"/>
          <w:color w:val="auto"/>
        </w:rPr>
      </w:pPr>
      <w:r>
        <w:rPr>
          <w:rFonts w:ascii="Arial" w:cs="Arial" w:eastAsia="Arial" w:hAnsi="Arial"/>
          <w:sz w:val="18"/>
          <w:szCs w:val="18"/>
          <w:u w:val="single" w:color="auto"/>
          <w:color w:val="auto"/>
        </w:rPr>
        <w:t>Audits, Investigations and Enforcement Actions</w:t>
      </w:r>
      <w:r>
        <w:rPr>
          <w:rFonts w:ascii="Arial" w:cs="Arial" w:eastAsia="Arial" w:hAnsi="Arial"/>
          <w:sz w:val="18"/>
          <w:szCs w:val="18"/>
          <w:color w:val="auto"/>
        </w:rPr>
        <w:t>. Except as set forth in Disclosure Schedule 12.7(a), (i) since its inception, to the Knowledge of the Seller, no Group Company has undergone or is currently undergoing any audit, review, inspection, investigation, survey or examination of records relating to any U.S. Government Contract; (ii) no Group Company has received written notice of, and no Group Company has undergone, any investigation or review relating to any U.S. Government Contract; (iii) no such audit, review, inspection, investigation, survey or examination of records is threatened or pending; and (iv) no Group Company has received any official notice that it is or was being specifically audited or investigated by the Government Accountability Office, the Defense Contract Audit Agency of the United States Government, the U.S. Congress, any state or federal agency Inspector General, any state Attorney General, the contracting officer with respect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6" w:lineRule="exact"/>
        <w:rPr>
          <w:rFonts w:ascii="Arial" w:cs="Arial" w:eastAsia="Arial" w:hAnsi="Arial"/>
          <w:sz w:val="16"/>
          <w:szCs w:val="16"/>
          <w:color w:val="auto"/>
        </w:rPr>
      </w:pPr>
    </w:p>
    <w:p>
      <w:pPr>
        <w:ind w:left="4420" w:hanging="111"/>
        <w:spacing w:after="0"/>
        <w:tabs>
          <w:tab w:leader="none" w:pos="442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35" w:name="page536"/>
    <w:bookmarkEnd w:id="535"/>
    <w:p>
      <w:pPr>
        <w:ind w:left="580"/>
        <w:spacing w:after="0"/>
        <w:rPr>
          <w:sz w:val="20"/>
          <w:szCs w:val="20"/>
          <w:color w:val="auto"/>
        </w:rPr>
      </w:pPr>
      <w:r>
        <w:rPr>
          <w:rFonts w:ascii="Arial" w:cs="Arial" w:eastAsia="Arial" w:hAnsi="Arial"/>
          <w:sz w:val="19"/>
          <w:szCs w:val="19"/>
          <w:color w:val="auto"/>
        </w:rPr>
        <w:t>to any U.S. Government Contract, or the Department of Justice (including any United States Attorney).</w:t>
      </w:r>
    </w:p>
    <w:p>
      <w:pPr>
        <w:spacing w:after="0" w:line="119" w:lineRule="exact"/>
        <w:rPr>
          <w:sz w:val="20"/>
          <w:szCs w:val="20"/>
          <w:color w:val="auto"/>
        </w:rPr>
      </w:pPr>
    </w:p>
    <w:p>
      <w:pPr>
        <w:jc w:val="both"/>
        <w:ind w:left="540" w:hanging="344"/>
        <w:spacing w:after="0" w:line="250" w:lineRule="auto"/>
        <w:tabs>
          <w:tab w:leader="none" w:pos="540" w:val="left"/>
        </w:tabs>
        <w:numPr>
          <w:ilvl w:val="0"/>
          <w:numId w:val="607"/>
        </w:numPr>
        <w:rPr>
          <w:rFonts w:ascii="Arial" w:cs="Arial" w:eastAsia="Arial" w:hAnsi="Arial"/>
          <w:sz w:val="18"/>
          <w:szCs w:val="18"/>
          <w:color w:val="auto"/>
        </w:rPr>
      </w:pPr>
      <w:r>
        <w:rPr>
          <w:rFonts w:ascii="Arial" w:cs="Arial" w:eastAsia="Arial" w:hAnsi="Arial"/>
          <w:sz w:val="20"/>
          <w:szCs w:val="20"/>
          <w:u w:val="single" w:color="auto"/>
          <w:color w:val="auto"/>
        </w:rPr>
        <w:t>Multiple Award Schedule Contracts</w:t>
      </w:r>
      <w:r>
        <w:rPr>
          <w:rFonts w:ascii="Arial" w:cs="Arial" w:eastAsia="Arial" w:hAnsi="Arial"/>
          <w:sz w:val="20"/>
          <w:szCs w:val="20"/>
          <w:color w:val="auto"/>
        </w:rPr>
        <w:t>. No Group Company has any Federal Supply Service multiple award schedule U.S. Government Contracts, or similar state multiple award schedule Current U.S. Government Contracts.</w:t>
      </w:r>
    </w:p>
    <w:p>
      <w:pPr>
        <w:spacing w:after="0" w:line="77" w:lineRule="exact"/>
        <w:rPr>
          <w:rFonts w:ascii="Arial" w:cs="Arial" w:eastAsia="Arial" w:hAnsi="Arial"/>
          <w:sz w:val="18"/>
          <w:szCs w:val="18"/>
          <w:color w:val="auto"/>
        </w:rPr>
      </w:pPr>
    </w:p>
    <w:p>
      <w:pPr>
        <w:jc w:val="both"/>
        <w:ind w:left="540" w:hanging="344"/>
        <w:spacing w:after="0" w:line="274" w:lineRule="auto"/>
        <w:tabs>
          <w:tab w:leader="none" w:pos="540" w:val="left"/>
        </w:tabs>
        <w:numPr>
          <w:ilvl w:val="0"/>
          <w:numId w:val="607"/>
        </w:numPr>
        <w:rPr>
          <w:rFonts w:ascii="Arial" w:cs="Arial" w:eastAsia="Arial" w:hAnsi="Arial"/>
          <w:sz w:val="16"/>
          <w:szCs w:val="16"/>
          <w:color w:val="auto"/>
        </w:rPr>
      </w:pPr>
      <w:r>
        <w:rPr>
          <w:rFonts w:ascii="Arial" w:cs="Arial" w:eastAsia="Arial" w:hAnsi="Arial"/>
          <w:sz w:val="18"/>
          <w:szCs w:val="18"/>
          <w:u w:val="single" w:color="auto"/>
          <w:color w:val="auto"/>
        </w:rPr>
        <w:t>Warranties and Guaranties</w:t>
      </w:r>
      <w:r>
        <w:rPr>
          <w:rFonts w:ascii="Arial" w:cs="Arial" w:eastAsia="Arial" w:hAnsi="Arial"/>
          <w:sz w:val="18"/>
          <w:szCs w:val="18"/>
          <w:color w:val="auto"/>
        </w:rPr>
        <w:t>. No written claims, or claims threatened in writing, exist against a Group Company with respect to express warranties and guarantees contained in U.S. Government Contracts on products or services provided by a Group Company; and no such claims have been made against any Group Company. No amendment has been made to any written warranty or guarantee contained in any U.S. Government Contract that could reasonably be expected to result in a Material Adverse Effect on a Group Company. No Group Company has taken any action which could reasonably be expected to give any Person a right to make a claim under any written warranty or guarantee contained in any U.S. Government Contract.</w:t>
      </w:r>
    </w:p>
    <w:p>
      <w:pPr>
        <w:spacing w:after="0" w:line="60" w:lineRule="exact"/>
        <w:rPr>
          <w:rFonts w:ascii="Arial" w:cs="Arial" w:eastAsia="Arial" w:hAnsi="Arial"/>
          <w:sz w:val="16"/>
          <w:szCs w:val="16"/>
          <w:color w:val="auto"/>
        </w:rPr>
      </w:pPr>
    </w:p>
    <w:p>
      <w:pPr>
        <w:jc w:val="both"/>
        <w:ind w:left="540" w:hanging="344"/>
        <w:spacing w:after="0" w:line="250" w:lineRule="auto"/>
        <w:tabs>
          <w:tab w:leader="none" w:pos="540" w:val="left"/>
        </w:tabs>
        <w:numPr>
          <w:ilvl w:val="0"/>
          <w:numId w:val="607"/>
        </w:numPr>
        <w:rPr>
          <w:rFonts w:ascii="Arial" w:cs="Arial" w:eastAsia="Arial" w:hAnsi="Arial"/>
          <w:sz w:val="18"/>
          <w:szCs w:val="18"/>
          <w:color w:val="auto"/>
        </w:rPr>
      </w:pPr>
      <w:r>
        <w:rPr>
          <w:rFonts w:ascii="Arial" w:cs="Arial" w:eastAsia="Arial" w:hAnsi="Arial"/>
          <w:sz w:val="20"/>
          <w:szCs w:val="20"/>
          <w:u w:val="single" w:color="auto"/>
          <w:color w:val="auto"/>
        </w:rPr>
        <w:t>No Assignment of Contracts</w:t>
      </w:r>
      <w:r>
        <w:rPr>
          <w:rFonts w:ascii="Arial" w:cs="Arial" w:eastAsia="Arial" w:hAnsi="Arial"/>
          <w:sz w:val="20"/>
          <w:szCs w:val="20"/>
          <w:color w:val="auto"/>
        </w:rPr>
        <w:t>. No Group Company has assigned or otherwise conveyed or transferred, or agreed to assign or otherwise convey or transfer, to any Person any U.S. Government Contract or any account receivable relating thereto, whether as a security interest or otherwise.</w:t>
      </w:r>
    </w:p>
    <w:p>
      <w:pPr>
        <w:spacing w:after="0" w:line="77" w:lineRule="exact"/>
        <w:rPr>
          <w:rFonts w:ascii="Arial" w:cs="Arial" w:eastAsia="Arial" w:hAnsi="Arial"/>
          <w:sz w:val="18"/>
          <w:szCs w:val="18"/>
          <w:color w:val="auto"/>
        </w:rPr>
      </w:pPr>
    </w:p>
    <w:p>
      <w:pPr>
        <w:jc w:val="both"/>
        <w:ind w:left="540" w:hanging="344"/>
        <w:spacing w:after="0" w:line="276" w:lineRule="auto"/>
        <w:tabs>
          <w:tab w:leader="none" w:pos="540" w:val="left"/>
        </w:tabs>
        <w:numPr>
          <w:ilvl w:val="0"/>
          <w:numId w:val="607"/>
        </w:numPr>
        <w:rPr>
          <w:rFonts w:ascii="Arial" w:cs="Arial" w:eastAsia="Arial" w:hAnsi="Arial"/>
          <w:sz w:val="16"/>
          <w:szCs w:val="16"/>
          <w:color w:val="auto"/>
        </w:rPr>
      </w:pPr>
      <w:r>
        <w:rPr>
          <w:rFonts w:ascii="Arial" w:cs="Arial" w:eastAsia="Arial" w:hAnsi="Arial"/>
          <w:sz w:val="18"/>
          <w:szCs w:val="18"/>
          <w:u w:val="single" w:color="auto"/>
          <w:color w:val="auto"/>
        </w:rPr>
        <w:t>Personnel</w:t>
      </w:r>
      <w:r>
        <w:rPr>
          <w:rFonts w:ascii="Arial" w:cs="Arial" w:eastAsia="Arial" w:hAnsi="Arial"/>
          <w:sz w:val="18"/>
          <w:szCs w:val="18"/>
          <w:color w:val="auto"/>
        </w:rPr>
        <w:t>. All personnel who performed or are currently performing under any U.S. Government Contract met or meet all express qualification requirements for the labor categories under which they have been charged, or are being charged. All personnel listed in any U.S. Government Contract Bid or other bid, offer, or proposal meet all applicable requirements set forth in the applicable solicitation. No Group Company has replaced any personnel performing a U.S. Government Contract without obtaining all required approvals from the applicable U.S. Governmental Entity and any other party whose consent is required for replacement of personnel.</w:t>
      </w:r>
    </w:p>
    <w:p>
      <w:pPr>
        <w:spacing w:after="0" w:line="56" w:lineRule="exact"/>
        <w:rPr>
          <w:rFonts w:ascii="Arial" w:cs="Arial" w:eastAsia="Arial" w:hAnsi="Arial"/>
          <w:sz w:val="16"/>
          <w:szCs w:val="16"/>
          <w:color w:val="auto"/>
        </w:rPr>
      </w:pPr>
    </w:p>
    <w:p>
      <w:pPr>
        <w:ind w:left="540" w:hanging="344"/>
        <w:spacing w:after="0"/>
        <w:tabs>
          <w:tab w:leader="none" w:pos="540" w:val="left"/>
        </w:tabs>
        <w:numPr>
          <w:ilvl w:val="0"/>
          <w:numId w:val="607"/>
        </w:numPr>
        <w:rPr>
          <w:rFonts w:ascii="Arial" w:cs="Arial" w:eastAsia="Arial" w:hAnsi="Arial"/>
          <w:sz w:val="18"/>
          <w:szCs w:val="18"/>
          <w:color w:val="auto"/>
        </w:rPr>
      </w:pPr>
      <w:r>
        <w:rPr>
          <w:rFonts w:ascii="Arial" w:cs="Arial" w:eastAsia="Arial" w:hAnsi="Arial"/>
          <w:sz w:val="20"/>
          <w:szCs w:val="20"/>
          <w:u w:val="single" w:color="auto"/>
          <w:color w:val="auto"/>
        </w:rPr>
        <w:t>Facility Security Clearances</w:t>
      </w:r>
      <w:r>
        <w:rPr>
          <w:rFonts w:ascii="Arial" w:cs="Arial" w:eastAsia="Arial" w:hAnsi="Arial"/>
          <w:sz w:val="20"/>
          <w:szCs w:val="20"/>
          <w:color w:val="auto"/>
        </w:rPr>
        <w:t>. No Group Company holds facility security clearances.</w:t>
      </w:r>
    </w:p>
    <w:p>
      <w:pPr>
        <w:spacing w:after="0" w:line="107" w:lineRule="exact"/>
        <w:rPr>
          <w:rFonts w:ascii="Arial" w:cs="Arial" w:eastAsia="Arial" w:hAnsi="Arial"/>
          <w:sz w:val="18"/>
          <w:szCs w:val="18"/>
          <w:color w:val="auto"/>
        </w:rPr>
      </w:pPr>
    </w:p>
    <w:p>
      <w:pPr>
        <w:ind w:left="540" w:hanging="344"/>
        <w:spacing w:after="0"/>
        <w:tabs>
          <w:tab w:leader="none" w:pos="540" w:val="left"/>
        </w:tabs>
        <w:numPr>
          <w:ilvl w:val="0"/>
          <w:numId w:val="607"/>
        </w:numPr>
        <w:rPr>
          <w:rFonts w:ascii="Arial" w:cs="Arial" w:eastAsia="Arial" w:hAnsi="Arial"/>
          <w:sz w:val="18"/>
          <w:szCs w:val="18"/>
          <w:color w:val="auto"/>
        </w:rPr>
      </w:pPr>
      <w:r>
        <w:rPr>
          <w:rFonts w:ascii="Arial" w:cs="Arial" w:eastAsia="Arial" w:hAnsi="Arial"/>
          <w:sz w:val="20"/>
          <w:szCs w:val="20"/>
          <w:u w:val="single" w:color="auto"/>
          <w:color w:val="auto"/>
        </w:rPr>
        <w:t>Cybersecurity</w:t>
      </w:r>
      <w:r>
        <w:rPr>
          <w:rFonts w:ascii="Arial" w:cs="Arial" w:eastAsia="Arial" w:hAnsi="Arial"/>
          <w:sz w:val="20"/>
          <w:szCs w:val="20"/>
          <w:color w:val="auto"/>
        </w:rPr>
        <w:t>.  Except as set forth in Disclosure Schedule 12.7(a),</w:t>
      </w:r>
    </w:p>
    <w:p>
      <w:pPr>
        <w:spacing w:after="0" w:line="107" w:lineRule="exact"/>
        <w:rPr>
          <w:rFonts w:ascii="Arial" w:cs="Arial" w:eastAsia="Arial" w:hAnsi="Arial"/>
          <w:sz w:val="18"/>
          <w:szCs w:val="18"/>
          <w:color w:val="auto"/>
        </w:rPr>
      </w:pPr>
    </w:p>
    <w:p>
      <w:pPr>
        <w:jc w:val="both"/>
        <w:ind w:left="1000" w:right="20" w:hanging="439"/>
        <w:spacing w:after="0" w:line="250" w:lineRule="auto"/>
        <w:tabs>
          <w:tab w:leader="none" w:pos="1000" w:val="left"/>
        </w:tabs>
        <w:numPr>
          <w:ilvl w:val="1"/>
          <w:numId w:val="607"/>
        </w:numPr>
        <w:rPr>
          <w:rFonts w:ascii="Arial" w:cs="Arial" w:eastAsia="Arial" w:hAnsi="Arial"/>
          <w:sz w:val="18"/>
          <w:szCs w:val="18"/>
          <w:color w:val="auto"/>
        </w:rPr>
      </w:pPr>
      <w:r>
        <w:rPr>
          <w:rFonts w:ascii="Arial" w:cs="Arial" w:eastAsia="Arial" w:hAnsi="Arial"/>
          <w:sz w:val="20"/>
          <w:szCs w:val="20"/>
          <w:color w:val="auto"/>
        </w:rPr>
        <w:t>each Group Company has implemented and maintains such organizational, physical, administrative, and technical safeguards consistent with industry standards for the industries in which the relevant Group Company operates that are required under applicable Laws;</w:t>
      </w:r>
    </w:p>
    <w:p>
      <w:pPr>
        <w:spacing w:after="0" w:line="71" w:lineRule="exact"/>
        <w:rPr>
          <w:rFonts w:ascii="Arial" w:cs="Arial" w:eastAsia="Arial" w:hAnsi="Arial"/>
          <w:sz w:val="18"/>
          <w:szCs w:val="18"/>
          <w:color w:val="auto"/>
        </w:rPr>
      </w:pPr>
    </w:p>
    <w:p>
      <w:pPr>
        <w:jc w:val="both"/>
        <w:ind w:left="1000" w:hanging="439"/>
        <w:spacing w:after="0" w:line="257" w:lineRule="auto"/>
        <w:tabs>
          <w:tab w:leader="none" w:pos="1000" w:val="left"/>
        </w:tabs>
        <w:numPr>
          <w:ilvl w:val="1"/>
          <w:numId w:val="607"/>
        </w:numPr>
        <w:rPr>
          <w:rFonts w:ascii="Arial" w:cs="Arial" w:eastAsia="Arial" w:hAnsi="Arial"/>
          <w:sz w:val="17"/>
          <w:szCs w:val="17"/>
          <w:color w:val="auto"/>
        </w:rPr>
      </w:pPr>
      <w:r>
        <w:rPr>
          <w:rFonts w:ascii="Arial" w:cs="Arial" w:eastAsia="Arial" w:hAnsi="Arial"/>
          <w:sz w:val="19"/>
          <w:szCs w:val="19"/>
          <w:color w:val="auto"/>
        </w:rPr>
        <w:t>each Group Company has written information security policies (“</w:t>
      </w:r>
      <w:r>
        <w:rPr>
          <w:rFonts w:ascii="Arial" w:cs="Arial" w:eastAsia="Arial" w:hAnsi="Arial"/>
          <w:sz w:val="19"/>
          <w:szCs w:val="19"/>
          <w:b w:val="1"/>
          <w:bCs w:val="1"/>
          <w:color w:val="auto"/>
        </w:rPr>
        <w:t>Company Security Policies</w:t>
      </w:r>
      <w:r>
        <w:rPr>
          <w:rFonts w:ascii="Arial" w:cs="Arial" w:eastAsia="Arial" w:hAnsi="Arial"/>
          <w:sz w:val="19"/>
          <w:szCs w:val="19"/>
          <w:color w:val="auto"/>
        </w:rPr>
        <w:t>”) to the extent required under applicable Laws that govern an information security program that (x) identifies internal and external risks to the confidentiality, integrity, and availability of the information and Information Systems (as defined in the Department of Defense FAR Supplement) (including, for clarity, all information and transactions stored, processed, or transmitted therein or transmitted thereby) of the relevant Group Company; and (y) implements, monitors, and improves adequate and effective safeguards to control such risks. The Security Policies of each Group Company are consistent with the industry standards for the industry in which the relevant Group Company operates. Each Group Company complies in all material respects with its Security Policies;</w:t>
      </w:r>
    </w:p>
    <w:p>
      <w:pPr>
        <w:spacing w:after="0" w:line="73" w:lineRule="exact"/>
        <w:rPr>
          <w:rFonts w:ascii="Arial" w:cs="Arial" w:eastAsia="Arial" w:hAnsi="Arial"/>
          <w:sz w:val="17"/>
          <w:szCs w:val="17"/>
          <w:color w:val="auto"/>
        </w:rPr>
      </w:pPr>
    </w:p>
    <w:p>
      <w:pPr>
        <w:jc w:val="both"/>
        <w:ind w:left="1000" w:hanging="439"/>
        <w:spacing w:after="0" w:line="250" w:lineRule="auto"/>
        <w:tabs>
          <w:tab w:leader="none" w:pos="1000" w:val="left"/>
        </w:tabs>
        <w:numPr>
          <w:ilvl w:val="1"/>
          <w:numId w:val="607"/>
        </w:numPr>
        <w:rPr>
          <w:rFonts w:ascii="Arial" w:cs="Arial" w:eastAsia="Arial" w:hAnsi="Arial"/>
          <w:sz w:val="18"/>
          <w:szCs w:val="18"/>
          <w:color w:val="auto"/>
        </w:rPr>
      </w:pPr>
      <w:r>
        <w:rPr>
          <w:rFonts w:ascii="Arial" w:cs="Arial" w:eastAsia="Arial" w:hAnsi="Arial"/>
          <w:sz w:val="20"/>
          <w:szCs w:val="20"/>
          <w:color w:val="auto"/>
        </w:rPr>
        <w:t>each Group Company complies in all material respects with (i) applicable contractual requirements (such as the Department of Defense FAR Supplement 252.204-7012), and (ii) applicable Laws, concerning the safeguarding of information and Information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4420" w:hanging="111"/>
        <w:spacing w:after="0"/>
        <w:tabs>
          <w:tab w:leader="none" w:pos="4420" w:val="left"/>
        </w:tabs>
        <w:numPr>
          <w:ilvl w:val="2"/>
          <w:numId w:val="607"/>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36" w:name="page537"/>
    <w:bookmarkEnd w:id="536"/>
    <w:p>
      <w:pPr>
        <w:ind w:left="1480"/>
        <w:spacing w:after="0" w:line="260" w:lineRule="auto"/>
        <w:rPr>
          <w:sz w:val="20"/>
          <w:szCs w:val="20"/>
          <w:color w:val="auto"/>
        </w:rPr>
      </w:pPr>
      <w:r>
        <w:rPr>
          <w:rFonts w:ascii="Arial" w:cs="Arial" w:eastAsia="Arial" w:hAnsi="Arial"/>
          <w:sz w:val="20"/>
          <w:szCs w:val="20"/>
          <w:color w:val="auto"/>
        </w:rPr>
        <w:t>Systems (including, for clarity, all information and transactions stored, processed, or transmitted therein or transmitted thereby);</w:t>
      </w:r>
    </w:p>
    <w:p>
      <w:pPr>
        <w:spacing w:after="0" w:line="69" w:lineRule="exact"/>
        <w:rPr>
          <w:sz w:val="20"/>
          <w:szCs w:val="20"/>
          <w:color w:val="auto"/>
        </w:rPr>
      </w:pPr>
    </w:p>
    <w:p>
      <w:pPr>
        <w:jc w:val="both"/>
        <w:ind w:left="1460" w:hanging="439"/>
        <w:spacing w:after="0" w:line="311" w:lineRule="auto"/>
        <w:tabs>
          <w:tab w:leader="none" w:pos="1460" w:val="left"/>
        </w:tabs>
        <w:numPr>
          <w:ilvl w:val="2"/>
          <w:numId w:val="608"/>
        </w:numPr>
        <w:rPr>
          <w:rFonts w:ascii="Arial" w:cs="Arial" w:eastAsia="Arial" w:hAnsi="Arial"/>
          <w:sz w:val="15"/>
          <w:szCs w:val="15"/>
          <w:color w:val="auto"/>
        </w:rPr>
      </w:pPr>
      <w:r>
        <w:rPr>
          <w:rFonts w:ascii="Arial" w:cs="Arial" w:eastAsia="Arial" w:hAnsi="Arial"/>
          <w:sz w:val="16"/>
          <w:szCs w:val="16"/>
          <w:color w:val="auto"/>
        </w:rPr>
        <w:t>since December 31, 2016, no Group Company has experienced a Security Incident that triggered reporting requirements defined by contract, such as the Department of Defense FAR Supplement 252.204-7012, or required by Law. “</w:t>
      </w:r>
      <w:r>
        <w:rPr>
          <w:rFonts w:ascii="Arial" w:cs="Arial" w:eastAsia="Arial" w:hAnsi="Arial"/>
          <w:sz w:val="16"/>
          <w:szCs w:val="16"/>
          <w:b w:val="1"/>
          <w:bCs w:val="1"/>
          <w:color w:val="auto"/>
        </w:rPr>
        <w:t>Security Incident</w:t>
      </w:r>
      <w:r>
        <w:rPr>
          <w:rFonts w:ascii="Arial" w:cs="Arial" w:eastAsia="Arial" w:hAnsi="Arial"/>
          <w:sz w:val="16"/>
          <w:szCs w:val="16"/>
          <w:color w:val="auto"/>
        </w:rPr>
        <w:t>” means an occurrence that: (a) impacts the confidentiality, integrity, or availability of an Information System; (b) impacts the information the Information System processes, stores, or transmits; or (c) constitutes a violation or imminent threat of violation of Company Security Policies, including acceptable use policies, or any security procedures, contractual requirements, or applicable Laws concerning the safeguarding of information and Information Systems (including, for clarity, all information and transactions stored, processed, or transmitted therein or transmitted thereby).</w:t>
      </w:r>
    </w:p>
    <w:p>
      <w:pPr>
        <w:spacing w:after="0" w:line="36" w:lineRule="exact"/>
        <w:rPr>
          <w:rFonts w:ascii="Arial" w:cs="Arial" w:eastAsia="Arial" w:hAnsi="Arial"/>
          <w:sz w:val="15"/>
          <w:szCs w:val="15"/>
          <w:color w:val="auto"/>
        </w:rPr>
      </w:pPr>
    </w:p>
    <w:p>
      <w:pPr>
        <w:jc w:val="both"/>
        <w:ind w:left="1000" w:hanging="344"/>
        <w:spacing w:after="0" w:line="271" w:lineRule="auto"/>
        <w:tabs>
          <w:tab w:leader="none" w:pos="1000" w:val="left"/>
        </w:tabs>
        <w:numPr>
          <w:ilvl w:val="1"/>
          <w:numId w:val="609"/>
        </w:numPr>
        <w:rPr>
          <w:rFonts w:ascii="Arial" w:cs="Arial" w:eastAsia="Arial" w:hAnsi="Arial"/>
          <w:sz w:val="16"/>
          <w:szCs w:val="16"/>
          <w:color w:val="auto"/>
        </w:rPr>
      </w:pPr>
      <w:r>
        <w:rPr>
          <w:rFonts w:ascii="Arial" w:cs="Arial" w:eastAsia="Arial" w:hAnsi="Arial"/>
          <w:sz w:val="18"/>
          <w:szCs w:val="18"/>
          <w:color w:val="auto"/>
        </w:rPr>
        <w:t>No government funding, facilities or resources of a university, college, other educational institution or research centre, or funding from third parties was used in the development of any Intellectual Property (or products created with any Intellectual Property) owned by any Group Company, and no U.S. Governmental Entity, including any university, college, other educational institution or research centre has any claim or right in or to the Intellectual Property (or products created with any Intellectual Property) owned by a Group Company. No current or former employee, consultant or independent contractor of a Group Company who was involved in, or who contributed to, the creation or development of any material element of any Intellectual Property (or products created with any Intellectual Property), has performed services for the government, a university, college or other educational institution, or a research centre, during a period of time during which such employee, consultant or independent contractor was also performing services for the relevant Group Company.</w:t>
      </w:r>
    </w:p>
    <w:p>
      <w:pPr>
        <w:spacing w:after="0" w:line="65" w:lineRule="exact"/>
        <w:rPr>
          <w:rFonts w:ascii="Arial" w:cs="Arial" w:eastAsia="Arial" w:hAnsi="Arial"/>
          <w:sz w:val="16"/>
          <w:szCs w:val="16"/>
          <w:color w:val="auto"/>
        </w:rPr>
      </w:pPr>
    </w:p>
    <w:p>
      <w:pPr>
        <w:jc w:val="both"/>
        <w:ind w:left="1000" w:hanging="344"/>
        <w:spacing w:after="0" w:line="255" w:lineRule="auto"/>
        <w:tabs>
          <w:tab w:leader="none" w:pos="1000" w:val="left"/>
        </w:tabs>
        <w:numPr>
          <w:ilvl w:val="1"/>
          <w:numId w:val="609"/>
        </w:numPr>
        <w:rPr>
          <w:rFonts w:ascii="Arial" w:cs="Arial" w:eastAsia="Arial" w:hAnsi="Arial"/>
          <w:sz w:val="17"/>
          <w:szCs w:val="17"/>
          <w:color w:val="auto"/>
        </w:rPr>
      </w:pPr>
      <w:r>
        <w:rPr>
          <w:rFonts w:ascii="Arial" w:cs="Arial" w:eastAsia="Arial" w:hAnsi="Arial"/>
          <w:sz w:val="19"/>
          <w:szCs w:val="19"/>
          <w:color w:val="auto"/>
        </w:rPr>
        <w:t>All technical data, computer software and computer software documentation (as those terms are defined under the FAR and its supplemental regulations) developed, delivered, or used under or in connection with the U.S. Government Contracts have been properly and sufficiently marked and protected so that no more than the minimum rights or licenses required under applicable regulations and U.S. Government Contract terms, if any, have been provided. All disclosures, elections, and notices required by applicable regulations and contract terms to protect ownership of inventions developed, conceived or first actually reduced to practice under U.S. Government Contracts have been made and provided. All technical data, computer software and computer software documentation was developed at private expense and no U.S. Governmental Entity has obtained by contract or otherwise, rights in the technical data, computer software and computer software documentation that will affect the commercial value thereof.</w:t>
      </w:r>
    </w:p>
    <w:p>
      <w:pPr>
        <w:spacing w:after="0" w:line="80" w:lineRule="exact"/>
        <w:rPr>
          <w:rFonts w:ascii="Arial" w:cs="Arial" w:eastAsia="Arial" w:hAnsi="Arial"/>
          <w:sz w:val="17"/>
          <w:szCs w:val="17"/>
          <w:color w:val="auto"/>
        </w:rPr>
      </w:pPr>
    </w:p>
    <w:p>
      <w:pPr>
        <w:ind w:left="660" w:hanging="652"/>
        <w:spacing w:after="0"/>
        <w:tabs>
          <w:tab w:leader="none" w:pos="660" w:val="left"/>
        </w:tabs>
        <w:numPr>
          <w:ilvl w:val="0"/>
          <w:numId w:val="610"/>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 xml:space="preserve">Except as otherwise disclosed on </w:t>
      </w:r>
      <w:r>
        <w:rPr>
          <w:rFonts w:ascii="Arial" w:cs="Arial" w:eastAsia="Arial" w:hAnsi="Arial"/>
          <w:sz w:val="16"/>
          <w:szCs w:val="16"/>
          <w:u w:val="single" w:color="auto"/>
          <w:color w:val="auto"/>
        </w:rPr>
        <w:t>Disclosure Schedule 13.1</w:t>
      </w:r>
      <w:r>
        <w:rPr>
          <w:rFonts w:ascii="Arial" w:cs="Arial" w:eastAsia="Arial" w:hAnsi="Arial"/>
          <w:sz w:val="16"/>
          <w:szCs w:val="16"/>
          <w:color w:val="auto"/>
        </w:rPr>
        <w:t>:</w:t>
      </w:r>
    </w:p>
    <w:p>
      <w:pPr>
        <w:spacing w:after="0" w:line="132" w:lineRule="exact"/>
        <w:rPr>
          <w:sz w:val="20"/>
          <w:szCs w:val="20"/>
          <w:color w:val="auto"/>
        </w:rPr>
      </w:pPr>
    </w:p>
    <w:p>
      <w:pPr>
        <w:ind w:left="1020" w:hanging="350"/>
        <w:spacing w:after="0" w:line="287" w:lineRule="auto"/>
        <w:tabs>
          <w:tab w:leader="none" w:pos="1020" w:val="left"/>
        </w:tabs>
        <w:numPr>
          <w:ilvl w:val="0"/>
          <w:numId w:val="611"/>
        </w:numPr>
        <w:rPr>
          <w:rFonts w:ascii="Arial" w:cs="Arial" w:eastAsia="Arial" w:hAnsi="Arial"/>
          <w:sz w:val="17"/>
          <w:szCs w:val="17"/>
          <w:color w:val="auto"/>
        </w:rPr>
      </w:pPr>
      <w:r>
        <w:rPr>
          <w:rFonts w:ascii="Arial" w:cs="Arial" w:eastAsia="Arial" w:hAnsi="Arial"/>
          <w:sz w:val="19"/>
          <w:szCs w:val="19"/>
          <w:color w:val="auto"/>
        </w:rPr>
        <w:t>all Tax Returns of each Group Company due to have been filed through the date hereof in accordance with any Applicable Law have been duly filed and are correct and complete in all material respects;</w:t>
      </w:r>
    </w:p>
    <w:p>
      <w:pPr>
        <w:spacing w:after="0" w:line="44" w:lineRule="exact"/>
        <w:rPr>
          <w:rFonts w:ascii="Arial" w:cs="Arial" w:eastAsia="Arial" w:hAnsi="Arial"/>
          <w:sz w:val="17"/>
          <w:szCs w:val="17"/>
          <w:color w:val="auto"/>
        </w:rPr>
      </w:pPr>
    </w:p>
    <w:p>
      <w:pPr>
        <w:ind w:left="1020" w:right="20" w:hanging="350"/>
        <w:spacing w:after="0" w:line="260" w:lineRule="auto"/>
        <w:tabs>
          <w:tab w:leader="none" w:pos="1020" w:val="left"/>
        </w:tabs>
        <w:numPr>
          <w:ilvl w:val="0"/>
          <w:numId w:val="611"/>
        </w:numPr>
        <w:rPr>
          <w:rFonts w:ascii="Arial" w:cs="Arial" w:eastAsia="Arial" w:hAnsi="Arial"/>
          <w:sz w:val="18"/>
          <w:szCs w:val="18"/>
          <w:color w:val="auto"/>
        </w:rPr>
      </w:pPr>
      <w:r>
        <w:rPr>
          <w:rFonts w:ascii="Arial" w:cs="Arial" w:eastAsia="Arial" w:hAnsi="Arial"/>
          <w:sz w:val="20"/>
          <w:szCs w:val="20"/>
          <w:color w:val="auto"/>
        </w:rPr>
        <w:t>all Taxes, deposits of Taxes or other payments relating to Taxes due and owing by each Group Company (whether or not shown on any Tax Return), have been paid in full;</w:t>
      </w:r>
    </w:p>
    <w:p>
      <w:pPr>
        <w:spacing w:after="0" w:line="68" w:lineRule="exact"/>
        <w:rPr>
          <w:rFonts w:ascii="Arial" w:cs="Arial" w:eastAsia="Arial" w:hAnsi="Arial"/>
          <w:sz w:val="18"/>
          <w:szCs w:val="18"/>
          <w:color w:val="auto"/>
        </w:rPr>
      </w:pPr>
    </w:p>
    <w:p>
      <w:pPr>
        <w:ind w:left="1020" w:hanging="350"/>
        <w:spacing w:after="0" w:line="260" w:lineRule="auto"/>
        <w:tabs>
          <w:tab w:leader="none" w:pos="1020" w:val="left"/>
        </w:tabs>
        <w:numPr>
          <w:ilvl w:val="0"/>
          <w:numId w:val="611"/>
        </w:numPr>
        <w:rPr>
          <w:rFonts w:ascii="Arial" w:cs="Arial" w:eastAsia="Arial" w:hAnsi="Arial"/>
          <w:sz w:val="18"/>
          <w:szCs w:val="18"/>
          <w:color w:val="auto"/>
        </w:rPr>
      </w:pPr>
      <w:r>
        <w:rPr>
          <w:rFonts w:ascii="Arial" w:cs="Arial" w:eastAsia="Arial" w:hAnsi="Arial"/>
          <w:sz w:val="20"/>
          <w:szCs w:val="20"/>
          <w:color w:val="auto"/>
        </w:rPr>
        <w:t>there are not now any extensions of time in effect with respect to the dates on which any Tax Returns of a Group Company were or are due to be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9" w:lineRule="exact"/>
        <w:rPr>
          <w:rFonts w:ascii="Arial" w:cs="Arial" w:eastAsia="Arial" w:hAnsi="Arial"/>
          <w:sz w:val="18"/>
          <w:szCs w:val="18"/>
          <w:color w:val="auto"/>
        </w:rPr>
      </w:pPr>
    </w:p>
    <w:p>
      <w:pPr>
        <w:ind w:left="4880" w:hanging="111"/>
        <w:spacing w:after="0"/>
        <w:tabs>
          <w:tab w:leader="none" w:pos="488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37" w:name="page538"/>
    <w:bookmarkEnd w:id="537"/>
    <w:p>
      <w:pPr>
        <w:jc w:val="both"/>
        <w:ind w:left="560" w:hanging="350"/>
        <w:spacing w:after="0" w:line="263" w:lineRule="auto"/>
        <w:tabs>
          <w:tab w:leader="none" w:pos="560" w:val="left"/>
        </w:tabs>
        <w:numPr>
          <w:ilvl w:val="0"/>
          <w:numId w:val="612"/>
        </w:numPr>
        <w:rPr>
          <w:rFonts w:ascii="Arial" w:cs="Arial" w:eastAsia="Arial" w:hAnsi="Arial"/>
          <w:sz w:val="17"/>
          <w:szCs w:val="17"/>
          <w:color w:val="auto"/>
        </w:rPr>
      </w:pPr>
      <w:r>
        <w:rPr>
          <w:rFonts w:ascii="Arial" w:cs="Arial" w:eastAsia="Arial" w:hAnsi="Arial"/>
          <w:sz w:val="19"/>
          <w:szCs w:val="19"/>
          <w:color w:val="auto"/>
        </w:rPr>
        <w:t>all deficiencies asserted as a result of any examination of any Tax Returns of a Group Company have been paid in full, accrued on the books of a Group Company, as applicable, or finally settled, and no issue has been raised in any such examination which, by application of the same or similar principles, reasonably could be expected to result in a proposed deficiency for any other period not so examined;</w:t>
      </w:r>
    </w:p>
    <w:p>
      <w:pPr>
        <w:spacing w:after="0" w:line="68" w:lineRule="exact"/>
        <w:rPr>
          <w:rFonts w:ascii="Arial" w:cs="Arial" w:eastAsia="Arial" w:hAnsi="Arial"/>
          <w:sz w:val="17"/>
          <w:szCs w:val="17"/>
          <w:color w:val="auto"/>
        </w:rPr>
      </w:pPr>
    </w:p>
    <w:p>
      <w:pPr>
        <w:jc w:val="both"/>
        <w:ind w:left="560" w:hanging="350"/>
        <w:spacing w:after="0" w:line="246"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claims have been asserted and no proposals or deficiencies for any Taxes of a Group Company are being asserted, proposed or, to the Knowledge of the Seller and each Group Company, threatened, and no audit or investigation of any Tax Return of a Group Company is currently underway, pending or, to the Knowledge of the Seller and each Group Company, threatened;</w:t>
      </w:r>
    </w:p>
    <w:p>
      <w:pPr>
        <w:spacing w:after="0" w:line="83" w:lineRule="exact"/>
        <w:rPr>
          <w:rFonts w:ascii="Arial" w:cs="Arial" w:eastAsia="Arial" w:hAnsi="Arial"/>
          <w:sz w:val="18"/>
          <w:szCs w:val="18"/>
          <w:color w:val="auto"/>
        </w:rPr>
      </w:pPr>
    </w:p>
    <w:p>
      <w:pPr>
        <w:ind w:left="560" w:right="2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claim has ever been made by a Taxing Authority in a jurisdiction in which a Group Company does not file Tax Returns that it is or may be subject to taxation by that jurisdiction;</w:t>
      </w:r>
    </w:p>
    <w:p>
      <w:pPr>
        <w:spacing w:after="0" w:line="68" w:lineRule="exact"/>
        <w:rPr>
          <w:rFonts w:ascii="Arial" w:cs="Arial" w:eastAsia="Arial" w:hAnsi="Arial"/>
          <w:sz w:val="18"/>
          <w:szCs w:val="18"/>
          <w:color w:val="auto"/>
        </w:rPr>
      </w:pPr>
    </w:p>
    <w:p>
      <w:pPr>
        <w:jc w:val="both"/>
        <w:ind w:left="560" w:hanging="350"/>
        <w:spacing w:after="0" w:line="276" w:lineRule="auto"/>
        <w:tabs>
          <w:tab w:leader="none" w:pos="560" w:val="left"/>
        </w:tabs>
        <w:numPr>
          <w:ilvl w:val="0"/>
          <w:numId w:val="612"/>
        </w:numPr>
        <w:rPr>
          <w:rFonts w:ascii="Arial" w:cs="Arial" w:eastAsia="Arial" w:hAnsi="Arial"/>
          <w:sz w:val="16"/>
          <w:szCs w:val="16"/>
          <w:color w:val="auto"/>
        </w:rPr>
      </w:pPr>
      <w:r>
        <w:rPr>
          <w:rFonts w:ascii="Arial" w:cs="Arial" w:eastAsia="Arial" w:hAnsi="Arial"/>
          <w:sz w:val="18"/>
          <w:szCs w:val="18"/>
          <w:color w:val="auto"/>
        </w:rPr>
        <w:t>each Group Company has withheld and paid all Taxes required to have been withheld and paid in connection with amounts paid or owing to any employee, independent contractor, creditor, Seller or other third party; there are no outstanding waivers or agreements by or on behalf of a Group Company for the extension of time for the assessment of any Taxes or deficiency thereof, nor are there any requests for rulings, outstanding subpoenas or requests for information, notice of proposed reassessment of any property owned or leased by a Group Company or any other matter pending between a Group Company and any Taxing Authority;</w:t>
      </w:r>
    </w:p>
    <w:p>
      <w:pPr>
        <w:spacing w:after="0" w:line="56" w:lineRule="exact"/>
        <w:rPr>
          <w:rFonts w:ascii="Arial" w:cs="Arial" w:eastAsia="Arial" w:hAnsi="Arial"/>
          <w:sz w:val="16"/>
          <w:szCs w:val="16"/>
          <w:color w:val="auto"/>
        </w:rPr>
      </w:pPr>
    </w:p>
    <w:p>
      <w:pPr>
        <w:ind w:left="560" w:hanging="350"/>
        <w:spacing w:after="0" w:line="316" w:lineRule="auto"/>
        <w:tabs>
          <w:tab w:leader="none" w:pos="560" w:val="left"/>
        </w:tabs>
        <w:numPr>
          <w:ilvl w:val="0"/>
          <w:numId w:val="612"/>
        </w:numPr>
        <w:rPr>
          <w:rFonts w:ascii="Arial" w:cs="Arial" w:eastAsia="Arial" w:hAnsi="Arial"/>
          <w:sz w:val="16"/>
          <w:szCs w:val="16"/>
          <w:color w:val="auto"/>
        </w:rPr>
      </w:pPr>
      <w:r>
        <w:rPr>
          <w:rFonts w:ascii="Arial" w:cs="Arial" w:eastAsia="Arial" w:hAnsi="Arial"/>
          <w:sz w:val="18"/>
          <w:szCs w:val="18"/>
          <w:color w:val="auto"/>
        </w:rPr>
        <w:t>there are no Liens for Taxes (other than Liens for Taxes which are not yet due and payable), nor are there any Liens for Taxes which are pending or, to the Knowledge of the Seller and each Group Company, threatened;</w:t>
      </w:r>
    </w:p>
    <w:p>
      <w:pPr>
        <w:spacing w:after="0" w:line="21" w:lineRule="exact"/>
        <w:rPr>
          <w:rFonts w:ascii="Arial" w:cs="Arial" w:eastAsia="Arial" w:hAnsi="Arial"/>
          <w:sz w:val="16"/>
          <w:szCs w:val="16"/>
          <w:color w:val="auto"/>
        </w:rPr>
      </w:pPr>
    </w:p>
    <w:p>
      <w:pPr>
        <w:ind w:left="56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is a party to any Tax allocation or sharing agreement under which a Group Company will have any liability after the Closing;</w:t>
      </w:r>
    </w:p>
    <w:p>
      <w:pPr>
        <w:spacing w:after="0" w:line="68" w:lineRule="exact"/>
        <w:rPr>
          <w:rFonts w:ascii="Arial" w:cs="Arial" w:eastAsia="Arial" w:hAnsi="Arial"/>
          <w:sz w:val="18"/>
          <w:szCs w:val="18"/>
          <w:color w:val="auto"/>
        </w:rPr>
      </w:pPr>
    </w:p>
    <w:p>
      <w:pPr>
        <w:ind w:left="560" w:right="2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has any liability for the Taxes of any Person (other than for itself), as a transferee or successor, by contract, or otherwise;</w:t>
      </w:r>
    </w:p>
    <w:p>
      <w:pPr>
        <w:spacing w:after="0" w:line="68" w:lineRule="exact"/>
        <w:rPr>
          <w:rFonts w:ascii="Arial" w:cs="Arial" w:eastAsia="Arial" w:hAnsi="Arial"/>
          <w:sz w:val="18"/>
          <w:szCs w:val="18"/>
          <w:color w:val="auto"/>
        </w:rPr>
      </w:pPr>
    </w:p>
    <w:p>
      <w:pPr>
        <w:jc w:val="both"/>
        <w:ind w:left="560" w:hanging="350"/>
        <w:spacing w:after="0" w:line="25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has made any payments, is obligated to make any payments, or is a party to any agreement that under certain circumstances could obligate it to make any payments that will not be deductible for Tax purposes;</w:t>
      </w:r>
    </w:p>
    <w:p>
      <w:pPr>
        <w:spacing w:after="0" w:line="77" w:lineRule="exact"/>
        <w:rPr>
          <w:rFonts w:ascii="Arial" w:cs="Arial" w:eastAsia="Arial" w:hAnsi="Arial"/>
          <w:sz w:val="18"/>
          <w:szCs w:val="18"/>
          <w:color w:val="auto"/>
        </w:rPr>
      </w:pPr>
    </w:p>
    <w:p>
      <w:pPr>
        <w:ind w:left="56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each Group Company has at all times used proper accounting methods and periods in computing their Tax liability;</w:t>
      </w:r>
    </w:p>
    <w:p>
      <w:pPr>
        <w:spacing w:after="0" w:line="68" w:lineRule="exact"/>
        <w:rPr>
          <w:rFonts w:ascii="Arial" w:cs="Arial" w:eastAsia="Arial" w:hAnsi="Arial"/>
          <w:sz w:val="18"/>
          <w:szCs w:val="18"/>
          <w:color w:val="auto"/>
        </w:rPr>
      </w:pPr>
    </w:p>
    <w:p>
      <w:pPr>
        <w:ind w:left="560" w:right="2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has a permanent establishment in any territory other than Germany, the United States, Malta or Switzerland;</w:t>
      </w:r>
    </w:p>
    <w:p>
      <w:pPr>
        <w:spacing w:after="0" w:line="68" w:lineRule="exact"/>
        <w:rPr>
          <w:rFonts w:ascii="Arial" w:cs="Arial" w:eastAsia="Arial" w:hAnsi="Arial"/>
          <w:sz w:val="18"/>
          <w:szCs w:val="18"/>
          <w:color w:val="auto"/>
        </w:rPr>
      </w:pPr>
    </w:p>
    <w:p>
      <w:pPr>
        <w:ind w:left="560" w:hanging="350"/>
        <w:spacing w:after="0" w:line="26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has been granted binding or advance rulings of any Taxing Authority, nor has such binding or advance ruling been applied for;</w:t>
      </w:r>
    </w:p>
    <w:p>
      <w:pPr>
        <w:spacing w:after="0" w:line="68" w:lineRule="exact"/>
        <w:rPr>
          <w:rFonts w:ascii="Arial" w:cs="Arial" w:eastAsia="Arial" w:hAnsi="Arial"/>
          <w:sz w:val="18"/>
          <w:szCs w:val="18"/>
          <w:color w:val="auto"/>
        </w:rPr>
      </w:pPr>
    </w:p>
    <w:p>
      <w:pPr>
        <w:ind w:left="560" w:hanging="350"/>
        <w:spacing w:after="0"/>
        <w:tabs>
          <w:tab w:leader="none" w:pos="560" w:val="left"/>
        </w:tabs>
        <w:numPr>
          <w:ilvl w:val="0"/>
          <w:numId w:val="612"/>
        </w:numPr>
        <w:rPr>
          <w:rFonts w:ascii="Arial" w:cs="Arial" w:eastAsia="Arial" w:hAnsi="Arial"/>
          <w:sz w:val="16"/>
          <w:szCs w:val="16"/>
          <w:color w:val="auto"/>
        </w:rPr>
      </w:pPr>
      <w:r>
        <w:rPr>
          <w:rFonts w:ascii="Arial" w:cs="Arial" w:eastAsia="Arial" w:hAnsi="Arial"/>
          <w:sz w:val="18"/>
          <w:szCs w:val="18"/>
          <w:color w:val="auto"/>
        </w:rPr>
        <w:t>no appeals or legal actions (</w:t>
      </w:r>
      <w:r>
        <w:rPr>
          <w:rFonts w:ascii="Arial" w:cs="Arial" w:eastAsia="Arial" w:hAnsi="Arial"/>
          <w:sz w:val="18"/>
          <w:szCs w:val="18"/>
          <w:i w:val="1"/>
          <w:iCs w:val="1"/>
          <w:color w:val="auto"/>
        </w:rPr>
        <w:t>Einspruchs- oder Klageverfahren</w:t>
      </w:r>
      <w:r>
        <w:rPr>
          <w:rFonts w:ascii="Arial" w:cs="Arial" w:eastAsia="Arial" w:hAnsi="Arial"/>
          <w:sz w:val="18"/>
          <w:szCs w:val="18"/>
          <w:color w:val="auto"/>
        </w:rPr>
        <w:t>) are pending (</w:t>
      </w:r>
      <w:r>
        <w:rPr>
          <w:rFonts w:ascii="Arial" w:cs="Arial" w:eastAsia="Arial" w:hAnsi="Arial"/>
          <w:sz w:val="18"/>
          <w:szCs w:val="18"/>
          <w:i w:val="1"/>
          <w:iCs w:val="1"/>
          <w:color w:val="auto"/>
        </w:rPr>
        <w:t>anhängig</w:t>
      </w:r>
      <w:r>
        <w:rPr>
          <w:rFonts w:ascii="Arial" w:cs="Arial" w:eastAsia="Arial" w:hAnsi="Arial"/>
          <w:sz w:val="18"/>
          <w:szCs w:val="18"/>
          <w:color w:val="auto"/>
        </w:rPr>
        <w:t>) for a Group Company;</w:t>
      </w:r>
    </w:p>
    <w:p>
      <w:pPr>
        <w:spacing w:after="0" w:line="130" w:lineRule="exact"/>
        <w:rPr>
          <w:rFonts w:ascii="Arial" w:cs="Arial" w:eastAsia="Arial" w:hAnsi="Arial"/>
          <w:sz w:val="16"/>
          <w:szCs w:val="16"/>
          <w:color w:val="auto"/>
        </w:rPr>
      </w:pPr>
    </w:p>
    <w:p>
      <w:pPr>
        <w:jc w:val="both"/>
        <w:ind w:left="560" w:hanging="350"/>
        <w:spacing w:after="0" w:line="250" w:lineRule="auto"/>
        <w:tabs>
          <w:tab w:leader="none" w:pos="560" w:val="left"/>
        </w:tabs>
        <w:numPr>
          <w:ilvl w:val="0"/>
          <w:numId w:val="612"/>
        </w:numPr>
        <w:rPr>
          <w:rFonts w:ascii="Arial" w:cs="Arial" w:eastAsia="Arial" w:hAnsi="Arial"/>
          <w:sz w:val="18"/>
          <w:szCs w:val="18"/>
          <w:color w:val="auto"/>
        </w:rPr>
      </w:pPr>
      <w:r>
        <w:rPr>
          <w:rFonts w:ascii="Arial" w:cs="Arial" w:eastAsia="Arial" w:hAnsi="Arial"/>
          <w:sz w:val="20"/>
          <w:szCs w:val="20"/>
          <w:color w:val="auto"/>
        </w:rPr>
        <w:t>no Group Company has been party to any transaction on non-arm's length terms, nor has it entered into a legal obligation to do so and each Group Company has prepared and maintained all documents required by mandatory law for Tax purposes and can provide such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4420" w:hanging="111"/>
        <w:spacing w:after="0"/>
        <w:tabs>
          <w:tab w:leader="none" w:pos="44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8" w:right="999" w:bottom="1440" w:gutter="0" w:footer="0" w:header="0"/>
        </w:sectPr>
      </w:pPr>
    </w:p>
    <w:bookmarkStart w:id="538" w:name="page539"/>
    <w:bookmarkEnd w:id="538"/>
    <w:p>
      <w:pPr>
        <w:ind w:left="1012"/>
        <w:spacing w:after="0" w:line="260" w:lineRule="auto"/>
        <w:rPr>
          <w:sz w:val="20"/>
          <w:szCs w:val="20"/>
          <w:color w:val="auto"/>
        </w:rPr>
      </w:pPr>
      <w:r>
        <w:rPr>
          <w:rFonts w:ascii="Arial" w:cs="Arial" w:eastAsia="Arial" w:hAnsi="Arial"/>
          <w:sz w:val="20"/>
          <w:szCs w:val="20"/>
          <w:color w:val="auto"/>
        </w:rPr>
        <w:t>documents to the Taxing Authorities (including but not limited to a transfer pricing documentation, if legally required, in compliance with all terms provided for by all applicable laws);</w:t>
      </w:r>
    </w:p>
    <w:p>
      <w:pPr>
        <w:spacing w:after="0" w:line="69" w:lineRule="exact"/>
        <w:rPr>
          <w:sz w:val="20"/>
          <w:szCs w:val="20"/>
          <w:color w:val="auto"/>
        </w:rPr>
      </w:pPr>
    </w:p>
    <w:p>
      <w:pPr>
        <w:ind w:left="1012" w:hanging="350"/>
        <w:spacing w:after="0"/>
        <w:tabs>
          <w:tab w:leader="none" w:pos="1012" w:val="left"/>
        </w:tabs>
        <w:numPr>
          <w:ilvl w:val="0"/>
          <w:numId w:val="613"/>
        </w:numPr>
        <w:rPr>
          <w:rFonts w:ascii="Arial" w:cs="Arial" w:eastAsia="Arial" w:hAnsi="Arial"/>
          <w:sz w:val="18"/>
          <w:szCs w:val="18"/>
          <w:color w:val="auto"/>
        </w:rPr>
      </w:pPr>
      <w:r>
        <w:rPr>
          <w:rFonts w:ascii="Arial" w:cs="Arial" w:eastAsia="Arial" w:hAnsi="Arial"/>
          <w:sz w:val="20"/>
          <w:szCs w:val="20"/>
          <w:color w:val="auto"/>
        </w:rPr>
        <w:t>no Group Company has or had engaged any freelancers or similar off-payroll workers;</w:t>
      </w:r>
    </w:p>
    <w:p>
      <w:pPr>
        <w:spacing w:after="0" w:line="107" w:lineRule="exact"/>
        <w:rPr>
          <w:rFonts w:ascii="Arial" w:cs="Arial" w:eastAsia="Arial" w:hAnsi="Arial"/>
          <w:sz w:val="18"/>
          <w:szCs w:val="18"/>
          <w:color w:val="auto"/>
        </w:rPr>
      </w:pPr>
    </w:p>
    <w:p>
      <w:pPr>
        <w:ind w:left="1012" w:hanging="350"/>
        <w:spacing w:after="0" w:line="260" w:lineRule="auto"/>
        <w:tabs>
          <w:tab w:leader="none" w:pos="1012" w:val="left"/>
        </w:tabs>
        <w:numPr>
          <w:ilvl w:val="0"/>
          <w:numId w:val="613"/>
        </w:numPr>
        <w:rPr>
          <w:rFonts w:ascii="Arial" w:cs="Arial" w:eastAsia="Arial" w:hAnsi="Arial"/>
          <w:sz w:val="18"/>
          <w:szCs w:val="18"/>
          <w:color w:val="auto"/>
        </w:rPr>
      </w:pPr>
      <w:r>
        <w:rPr>
          <w:rFonts w:ascii="Arial" w:cs="Arial" w:eastAsia="Arial" w:hAnsi="Arial"/>
          <w:sz w:val="20"/>
          <w:szCs w:val="20"/>
          <w:color w:val="auto"/>
        </w:rPr>
        <w:t>the Group Companies have recorded sufficient liabilities and/or accruals in the Financial Statements for all Taxes relating to assessment periods until and including the Locked Box Date;</w:t>
      </w:r>
    </w:p>
    <w:p>
      <w:pPr>
        <w:spacing w:after="0" w:line="68" w:lineRule="exact"/>
        <w:rPr>
          <w:rFonts w:ascii="Arial" w:cs="Arial" w:eastAsia="Arial" w:hAnsi="Arial"/>
          <w:sz w:val="18"/>
          <w:szCs w:val="18"/>
          <w:color w:val="auto"/>
        </w:rPr>
      </w:pPr>
    </w:p>
    <w:p>
      <w:pPr>
        <w:jc w:val="both"/>
        <w:ind w:left="1012" w:hanging="350"/>
        <w:spacing w:after="0" w:line="250" w:lineRule="auto"/>
        <w:tabs>
          <w:tab w:leader="none" w:pos="1012" w:val="left"/>
        </w:tabs>
        <w:numPr>
          <w:ilvl w:val="0"/>
          <w:numId w:val="613"/>
        </w:numPr>
        <w:rPr>
          <w:rFonts w:ascii="Arial" w:cs="Arial" w:eastAsia="Arial" w:hAnsi="Arial"/>
          <w:sz w:val="18"/>
          <w:szCs w:val="18"/>
          <w:color w:val="auto"/>
        </w:rPr>
      </w:pPr>
      <w:r>
        <w:rPr>
          <w:rFonts w:ascii="Arial" w:cs="Arial" w:eastAsia="Arial" w:hAnsi="Arial"/>
          <w:sz w:val="20"/>
          <w:szCs w:val="20"/>
          <w:color w:val="auto"/>
        </w:rPr>
        <w:t>the Group Companies have not entered into a settlement agreement, compromise, advance ruling (</w:t>
      </w:r>
      <w:r>
        <w:rPr>
          <w:rFonts w:ascii="Arial" w:cs="Arial" w:eastAsia="Arial" w:hAnsi="Arial"/>
          <w:sz w:val="20"/>
          <w:szCs w:val="20"/>
          <w:i w:val="1"/>
          <w:iCs w:val="1"/>
          <w:color w:val="auto"/>
        </w:rPr>
        <w:t>verbindliche</w:t>
      </w:r>
      <w:r>
        <w:rPr>
          <w:rFonts w:ascii="Arial" w:cs="Arial" w:eastAsia="Arial" w:hAnsi="Arial"/>
          <w:sz w:val="20"/>
          <w:szCs w:val="20"/>
          <w:color w:val="auto"/>
        </w:rPr>
        <w:t xml:space="preserve"> </w:t>
      </w:r>
      <w:r>
        <w:rPr>
          <w:rFonts w:ascii="Arial" w:cs="Arial" w:eastAsia="Arial" w:hAnsi="Arial"/>
          <w:sz w:val="20"/>
          <w:szCs w:val="20"/>
          <w:i w:val="1"/>
          <w:iCs w:val="1"/>
          <w:color w:val="auto"/>
        </w:rPr>
        <w:t>Auskunft</w:t>
      </w:r>
      <w:r>
        <w:rPr>
          <w:rFonts w:ascii="Arial" w:cs="Arial" w:eastAsia="Arial" w:hAnsi="Arial"/>
          <w:sz w:val="20"/>
          <w:szCs w:val="20"/>
          <w:color w:val="auto"/>
        </w:rPr>
        <w:t>), advance transfer pricing agreement or similar agreements relating to Taxes with any Taxing</w:t>
      </w:r>
      <w:r>
        <w:rPr>
          <w:rFonts w:ascii="Arial" w:cs="Arial" w:eastAsia="Arial" w:hAnsi="Arial"/>
          <w:sz w:val="20"/>
          <w:szCs w:val="20"/>
          <w:i w:val="1"/>
          <w:iCs w:val="1"/>
          <w:color w:val="auto"/>
        </w:rPr>
        <w:t xml:space="preserve"> </w:t>
      </w:r>
      <w:r>
        <w:rPr>
          <w:rFonts w:ascii="Arial" w:cs="Arial" w:eastAsia="Arial" w:hAnsi="Arial"/>
          <w:sz w:val="20"/>
          <w:szCs w:val="20"/>
          <w:color w:val="auto"/>
        </w:rPr>
        <w:t>Authority;</w:t>
      </w:r>
    </w:p>
    <w:p>
      <w:pPr>
        <w:spacing w:after="0" w:line="77" w:lineRule="exact"/>
        <w:rPr>
          <w:rFonts w:ascii="Arial" w:cs="Arial" w:eastAsia="Arial" w:hAnsi="Arial"/>
          <w:sz w:val="18"/>
          <w:szCs w:val="18"/>
          <w:color w:val="auto"/>
        </w:rPr>
      </w:pPr>
    </w:p>
    <w:p>
      <w:pPr>
        <w:jc w:val="both"/>
        <w:ind w:left="1012" w:hanging="350"/>
        <w:spacing w:after="0" w:line="250" w:lineRule="auto"/>
        <w:tabs>
          <w:tab w:leader="none" w:pos="1012" w:val="left"/>
        </w:tabs>
        <w:numPr>
          <w:ilvl w:val="0"/>
          <w:numId w:val="613"/>
        </w:numPr>
        <w:rPr>
          <w:rFonts w:ascii="Arial" w:cs="Arial" w:eastAsia="Arial" w:hAnsi="Arial"/>
          <w:sz w:val="18"/>
          <w:szCs w:val="18"/>
          <w:color w:val="auto"/>
        </w:rPr>
      </w:pPr>
      <w:r>
        <w:rPr>
          <w:rFonts w:ascii="Arial" w:cs="Arial" w:eastAsia="Arial" w:hAnsi="Arial"/>
          <w:sz w:val="20"/>
          <w:szCs w:val="20"/>
          <w:color w:val="auto"/>
        </w:rPr>
        <w:t>the Group Companies have not written down any assets, including shares in other Group Companies, to their lower fair market value with the underlying reason for such write down being no longer in existence until lapse of the Locked Box Date;</w:t>
      </w:r>
    </w:p>
    <w:p>
      <w:pPr>
        <w:spacing w:after="0" w:line="77" w:lineRule="exact"/>
        <w:rPr>
          <w:rFonts w:ascii="Arial" w:cs="Arial" w:eastAsia="Arial" w:hAnsi="Arial"/>
          <w:sz w:val="18"/>
          <w:szCs w:val="18"/>
          <w:color w:val="auto"/>
        </w:rPr>
      </w:pPr>
    </w:p>
    <w:p>
      <w:pPr>
        <w:jc w:val="both"/>
        <w:ind w:left="1012" w:hanging="350"/>
        <w:spacing w:after="0" w:line="250" w:lineRule="auto"/>
        <w:tabs>
          <w:tab w:leader="none" w:pos="1012" w:val="left"/>
        </w:tabs>
        <w:numPr>
          <w:ilvl w:val="0"/>
          <w:numId w:val="613"/>
        </w:numPr>
        <w:rPr>
          <w:rFonts w:ascii="Arial" w:cs="Arial" w:eastAsia="Arial" w:hAnsi="Arial"/>
          <w:sz w:val="18"/>
          <w:szCs w:val="18"/>
          <w:color w:val="auto"/>
        </w:rPr>
      </w:pPr>
      <w:r>
        <w:rPr>
          <w:rFonts w:ascii="Arial" w:cs="Arial" w:eastAsia="Arial" w:hAnsi="Arial"/>
          <w:sz w:val="20"/>
          <w:szCs w:val="20"/>
          <w:color w:val="auto"/>
        </w:rPr>
        <w:t>except for the upstream merger in 2016, none of the Group companies has been subject to a reorganization under the German Reorganization Act (</w:t>
      </w:r>
      <w:r>
        <w:rPr>
          <w:rFonts w:ascii="Arial" w:cs="Arial" w:eastAsia="Arial" w:hAnsi="Arial"/>
          <w:sz w:val="20"/>
          <w:szCs w:val="20"/>
          <w:i w:val="1"/>
          <w:iCs w:val="1"/>
          <w:color w:val="auto"/>
        </w:rPr>
        <w:t>Umwandlungsgesetz</w:t>
      </w:r>
      <w:r>
        <w:rPr>
          <w:rFonts w:ascii="Arial" w:cs="Arial" w:eastAsia="Arial" w:hAnsi="Arial"/>
          <w:sz w:val="20"/>
          <w:szCs w:val="20"/>
          <w:color w:val="auto"/>
        </w:rPr>
        <w:t>) or other reorganizations or spin-offs and similar transactions under foreign law within the last 7 years.</w:t>
      </w:r>
    </w:p>
    <w:p>
      <w:pPr>
        <w:spacing w:after="0" w:line="76" w:lineRule="exact"/>
        <w:rPr>
          <w:sz w:val="20"/>
          <w:szCs w:val="20"/>
          <w:color w:val="auto"/>
        </w:rPr>
      </w:pPr>
    </w:p>
    <w:p>
      <w:pPr>
        <w:jc w:val="both"/>
        <w:ind w:left="652" w:hanging="647"/>
        <w:spacing w:after="0" w:line="263" w:lineRule="auto"/>
        <w:tabs>
          <w:tab w:leader="none" w:pos="631"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Disclosure Schedule 13.2</w:t>
      </w:r>
      <w:r>
        <w:rPr>
          <w:rFonts w:ascii="Arial" w:cs="Arial" w:eastAsia="Arial" w:hAnsi="Arial"/>
          <w:sz w:val="19"/>
          <w:szCs w:val="19"/>
          <w:color w:val="auto"/>
        </w:rPr>
        <w:t>, the Seller has delivered to the Purchaser true, correct and complete copies of all federal, state, local and foreign income Tax Returns for each Applicable Jurisdiction (together with any agent’s reports and any accountants’ work papers) relating to the operations of each Group Company for taxable years or periods ended on or before the Locked Box Date but not prior to 2016.</w:t>
      </w:r>
    </w:p>
    <w:p>
      <w:pPr>
        <w:spacing w:after="0" w:line="68" w:lineRule="exact"/>
        <w:rPr>
          <w:sz w:val="20"/>
          <w:szCs w:val="20"/>
          <w:color w:val="auto"/>
        </w:rPr>
      </w:pPr>
    </w:p>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20"/>
          <w:szCs w:val="20"/>
          <w:color w:val="auto"/>
        </w:rPr>
        <w:t>No Group Company has been a party to any transaction or scheme that is required by Applicable law to be disclosed or reported to a Governmental Entity.</w:t>
      </w:r>
    </w:p>
    <w:p>
      <w:pPr>
        <w:spacing w:after="0" w:line="69" w:lineRule="exact"/>
        <w:rPr>
          <w:sz w:val="20"/>
          <w:szCs w:val="20"/>
          <w:color w:val="auto"/>
        </w:rPr>
      </w:pPr>
    </w:p>
    <w:p>
      <w:pPr>
        <w:ind w:left="652" w:hanging="652"/>
        <w:spacing w:after="0"/>
        <w:tabs>
          <w:tab w:leader="none" w:pos="652"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color w:val="auto"/>
        </w:rPr>
        <w:t>OFFICERS AND EMPLOYEES</w:t>
      </w:r>
    </w:p>
    <w:p>
      <w:pPr>
        <w:spacing w:after="0" w:line="117" w:lineRule="exact"/>
        <w:rPr>
          <w:sz w:val="20"/>
          <w:szCs w:val="20"/>
          <w:color w:val="auto"/>
        </w:rPr>
      </w:pPr>
    </w:p>
    <w:p>
      <w:pPr>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20"/>
          <w:szCs w:val="20"/>
          <w:u w:val="single" w:color="auto"/>
          <w:color w:val="auto"/>
        </w:rPr>
        <w:t xml:space="preserve">Disclosure Schedule 14 </w:t>
      </w:r>
      <w:r>
        <w:rPr>
          <w:rFonts w:ascii="Arial" w:cs="Arial" w:eastAsia="Arial" w:hAnsi="Arial"/>
          <w:sz w:val="20"/>
          <w:szCs w:val="20"/>
          <w:color w:val="auto"/>
        </w:rPr>
        <w:t>contains a true, correct and complete list, except that the names of individuals have been</w:t>
      </w:r>
      <w:r>
        <w:rPr>
          <w:rFonts w:ascii="Arial" w:cs="Arial" w:eastAsia="Arial" w:hAnsi="Arial"/>
          <w:sz w:val="20"/>
          <w:szCs w:val="20"/>
          <w:u w:val="single" w:color="auto"/>
          <w:color w:val="auto"/>
        </w:rPr>
        <w:t xml:space="preserve"> </w:t>
      </w:r>
      <w:r>
        <w:rPr>
          <w:rFonts w:ascii="Arial" w:cs="Arial" w:eastAsia="Arial" w:hAnsi="Arial"/>
          <w:sz w:val="20"/>
          <w:szCs w:val="20"/>
          <w:color w:val="auto"/>
        </w:rPr>
        <w:t>omitted, of</w:t>
      </w:r>
    </w:p>
    <w:p>
      <w:pPr>
        <w:spacing w:after="0" w:line="70" w:lineRule="exact"/>
        <w:rPr>
          <w:sz w:val="20"/>
          <w:szCs w:val="20"/>
          <w:color w:val="auto"/>
        </w:rPr>
      </w:pPr>
    </w:p>
    <w:p>
      <w:pPr>
        <w:ind w:left="992" w:right="20" w:hanging="344"/>
        <w:spacing w:after="0" w:line="316" w:lineRule="auto"/>
        <w:tabs>
          <w:tab w:leader="none" w:pos="992" w:val="left"/>
        </w:tabs>
        <w:numPr>
          <w:ilvl w:val="0"/>
          <w:numId w:val="615"/>
        </w:numPr>
        <w:rPr>
          <w:rFonts w:ascii="Arial" w:cs="Arial" w:eastAsia="Arial" w:hAnsi="Arial"/>
          <w:sz w:val="16"/>
          <w:szCs w:val="16"/>
          <w:color w:val="auto"/>
        </w:rPr>
      </w:pPr>
      <w:r>
        <w:rPr>
          <w:rFonts w:ascii="Arial" w:cs="Arial" w:eastAsia="Arial" w:hAnsi="Arial"/>
          <w:sz w:val="18"/>
          <w:szCs w:val="18"/>
          <w:color w:val="auto"/>
        </w:rPr>
        <w:t>all of the Officers and Directors of each Group Company, specifying their position, annual rate of compensation, work location, length of service, and other benefits provided to each of them, respectively; and</w:t>
      </w:r>
    </w:p>
    <w:p>
      <w:pPr>
        <w:spacing w:after="0" w:line="21" w:lineRule="exact"/>
        <w:rPr>
          <w:rFonts w:ascii="Arial" w:cs="Arial" w:eastAsia="Arial" w:hAnsi="Arial"/>
          <w:sz w:val="16"/>
          <w:szCs w:val="16"/>
          <w:color w:val="auto"/>
        </w:rPr>
      </w:pPr>
    </w:p>
    <w:p>
      <w:pPr>
        <w:jc w:val="both"/>
        <w:ind w:left="992" w:hanging="344"/>
        <w:spacing w:after="0" w:line="246" w:lineRule="auto"/>
        <w:tabs>
          <w:tab w:leader="none" w:pos="992" w:val="left"/>
        </w:tabs>
        <w:numPr>
          <w:ilvl w:val="0"/>
          <w:numId w:val="615"/>
        </w:numPr>
        <w:rPr>
          <w:rFonts w:ascii="Arial" w:cs="Arial" w:eastAsia="Arial" w:hAnsi="Arial"/>
          <w:sz w:val="18"/>
          <w:szCs w:val="18"/>
          <w:color w:val="auto"/>
        </w:rPr>
      </w:pPr>
      <w:r>
        <w:rPr>
          <w:rFonts w:ascii="Arial" w:cs="Arial" w:eastAsia="Arial" w:hAnsi="Arial"/>
          <w:sz w:val="20"/>
          <w:szCs w:val="20"/>
          <w:color w:val="auto"/>
        </w:rPr>
        <w:t>all of the employees (whether full-time, part-time or otherwise) and independent contractors of each Group Company as of the date hereof, specifying their position, status, annual salary, hourly wages, work location, length of service, other benefits provided to each of them, respectively, consulting or other independent contractor fees.</w:t>
      </w:r>
    </w:p>
    <w:p>
      <w:pPr>
        <w:spacing w:after="0" w:line="82" w:lineRule="exact"/>
        <w:rPr>
          <w:sz w:val="20"/>
          <w:szCs w:val="20"/>
          <w:color w:val="auto"/>
        </w:rPr>
      </w:pPr>
    </w:p>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20"/>
          <w:szCs w:val="20"/>
          <w:color w:val="auto"/>
        </w:rPr>
        <w:t>Except as set forth on Disclosure Schedule 14, no Group Company is a party to or bound by any Employment Agreement.</w:t>
      </w:r>
    </w:p>
    <w:p>
      <w:pPr>
        <w:spacing w:after="0" w:line="69"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20"/>
          <w:szCs w:val="20"/>
          <w:color w:val="auto"/>
        </w:rPr>
        <w:t>The Seller has provided to the Purchaser true, correct and complete copies of each Employment Agreement to which a Group Company is a party, or by which any of them is otherwise bound, except that the names of individuals have been redacted.</w:t>
      </w:r>
    </w:p>
    <w:p>
      <w:pPr>
        <w:spacing w:after="0" w:line="78" w:lineRule="exact"/>
        <w:rPr>
          <w:sz w:val="20"/>
          <w:szCs w:val="20"/>
          <w:color w:val="auto"/>
        </w:rPr>
      </w:pPr>
    </w:p>
    <w:p>
      <w:pPr>
        <w:jc w:val="both"/>
        <w:ind w:left="652" w:right="20"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20"/>
          <w:szCs w:val="20"/>
          <w:color w:val="auto"/>
        </w:rPr>
        <w:t>Each such Employment Agreement is legal, valid, binding and enforceable in accordance with its respective terms with respect to a Group Company, as applicable.</w:t>
      </w:r>
    </w:p>
    <w:p>
      <w:pPr>
        <w:spacing w:after="0" w:line="69"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20"/>
          <w:szCs w:val="20"/>
          <w:color w:val="auto"/>
        </w:rPr>
        <w:t>There is no existing default or breach of a Group Company, as applicable, under any Employment Agreement (or event or condition that, with notice or lapse of time or both could constitute a default or breach) and there is no such default (or event or condition that, with notice or lapse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8" w:right="999" w:bottom="1440" w:gutter="0" w:footer="0" w:header="0"/>
        </w:sectPr>
      </w:pPr>
    </w:p>
    <w:bookmarkStart w:id="539" w:name="page540"/>
    <w:bookmarkEnd w:id="539"/>
    <w:p>
      <w:pPr>
        <w:ind w:left="660"/>
        <w:spacing w:after="0"/>
        <w:rPr>
          <w:sz w:val="20"/>
          <w:szCs w:val="20"/>
          <w:color w:val="auto"/>
        </w:rPr>
      </w:pPr>
      <w:r>
        <w:rPr>
          <w:rFonts w:ascii="Arial" w:cs="Arial" w:eastAsia="Arial" w:hAnsi="Arial"/>
          <w:sz w:val="18"/>
          <w:szCs w:val="18"/>
          <w:color w:val="auto"/>
        </w:rPr>
        <w:t>of time or both, could constitute a default or breach) with respect to any third party to any Employment Agreement.</w:t>
      </w:r>
    </w:p>
    <w:p>
      <w:pPr>
        <w:spacing w:after="0" w:line="1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20"/>
          <w:szCs w:val="20"/>
          <w:color w:val="auto"/>
        </w:rPr>
        <w:t>Neither a Group Company nor the Seller has received a written claim from any Governmental Entity to the effect that any Person not reflected on Disclosure Schedule 14 should be properly classified as an employee (</w:t>
      </w:r>
      <w:r>
        <w:rPr>
          <w:rFonts w:ascii="Arial" w:cs="Arial" w:eastAsia="Arial" w:hAnsi="Arial"/>
          <w:sz w:val="20"/>
          <w:szCs w:val="20"/>
          <w:i w:val="1"/>
          <w:iCs w:val="1"/>
          <w:color w:val="auto"/>
        </w:rPr>
        <w:t>Arbeitnehmer</w:t>
      </w:r>
      <w:r>
        <w:rPr>
          <w:rFonts w:ascii="Arial" w:cs="Arial" w:eastAsia="Arial" w:hAnsi="Arial"/>
          <w:sz w:val="20"/>
          <w:szCs w:val="20"/>
          <w:color w:val="auto"/>
        </w:rPr>
        <w:t>) and not as an independent contractor.</w:t>
      </w:r>
    </w:p>
    <w:p>
      <w:pPr>
        <w:spacing w:after="0" w:line="7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20"/>
          <w:szCs w:val="20"/>
          <w:color w:val="auto"/>
        </w:rPr>
        <w:t>Except as reflected in Disclosure Schedule 14, neither a Group Company nor the Seller has made any verbal commitments to any officer, employee, former employee, consultant or independent contractor of a Group Company with respect to compensation, promotion, retention, termination, severance or similar matters in connection with the transactions contemplated hereby or otherwise.</w:t>
      </w:r>
    </w:p>
    <w:p>
      <w:pPr>
        <w:spacing w:after="0" w:line="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20"/>
          <w:szCs w:val="20"/>
          <w:color w:val="auto"/>
        </w:rPr>
        <w:t>Except as indicated on Disclosure Schedule 14, all officers and employees of each Group Company are active on the date hereof.</w:t>
      </w:r>
    </w:p>
    <w:p>
      <w:pPr>
        <w:spacing w:after="0" w:line="69" w:lineRule="exact"/>
        <w:rPr>
          <w:sz w:val="20"/>
          <w:szCs w:val="20"/>
          <w:color w:val="auto"/>
        </w:rPr>
      </w:pPr>
    </w:p>
    <w:p>
      <w:pPr>
        <w:ind w:left="660" w:hanging="652"/>
        <w:spacing w:after="0"/>
        <w:tabs>
          <w:tab w:leader="none" w:pos="660"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color w:val="auto"/>
        </w:rPr>
        <w:t>LABOUR RELATIONS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 xml:space="preserve">Except as set forth in Disclosure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2" w:lineRule="exact"/>
        <w:rPr>
          <w:sz w:val="20"/>
          <w:szCs w:val="20"/>
          <w:color w:val="auto"/>
        </w:rPr>
      </w:pPr>
    </w:p>
    <w:p>
      <w:pPr>
        <w:jc w:val="both"/>
        <w:ind w:left="1000" w:hanging="344"/>
        <w:spacing w:after="0" w:line="244" w:lineRule="auto"/>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no Group Company is a party to any works council agreement (</w:t>
      </w:r>
      <w:r>
        <w:rPr>
          <w:rFonts w:ascii="Arial" w:cs="Arial" w:eastAsia="Arial" w:hAnsi="Arial"/>
          <w:sz w:val="20"/>
          <w:szCs w:val="20"/>
          <w:i w:val="1"/>
          <w:iCs w:val="1"/>
          <w:color w:val="auto"/>
        </w:rPr>
        <w:t>Betriebsvereinbarung</w:t>
      </w:r>
      <w:r>
        <w:rPr>
          <w:rFonts w:ascii="Arial" w:cs="Arial" w:eastAsia="Arial" w:hAnsi="Arial"/>
          <w:sz w:val="20"/>
          <w:szCs w:val="20"/>
          <w:color w:val="auto"/>
        </w:rPr>
        <w:t>), collective labour agreement (</w:t>
      </w:r>
      <w:r>
        <w:rPr>
          <w:rFonts w:ascii="Arial" w:cs="Arial" w:eastAsia="Arial" w:hAnsi="Arial"/>
          <w:sz w:val="20"/>
          <w:szCs w:val="20"/>
          <w:i w:val="1"/>
          <w:iCs w:val="1"/>
          <w:color w:val="auto"/>
        </w:rPr>
        <w:t>Tarifvereinbarung</w:t>
      </w:r>
      <w:r>
        <w:rPr>
          <w:rFonts w:ascii="Arial" w:cs="Arial" w:eastAsia="Arial" w:hAnsi="Arial"/>
          <w:sz w:val="20"/>
          <w:szCs w:val="20"/>
          <w:color w:val="auto"/>
        </w:rPr>
        <w:t>) or other collective bargaining agreement, contract or legally binding commitment with or to any trade union (</w:t>
      </w:r>
      <w:r>
        <w:rPr>
          <w:rFonts w:ascii="Arial" w:cs="Arial" w:eastAsia="Arial" w:hAnsi="Arial"/>
          <w:sz w:val="20"/>
          <w:szCs w:val="20"/>
          <w:i w:val="1"/>
          <w:iCs w:val="1"/>
          <w:color w:val="auto"/>
        </w:rPr>
        <w:t>Gewerkschaft</w:t>
      </w:r>
      <w:r>
        <w:rPr>
          <w:rFonts w:ascii="Arial" w:cs="Arial" w:eastAsia="Arial" w:hAnsi="Arial"/>
          <w:sz w:val="20"/>
          <w:szCs w:val="20"/>
          <w:color w:val="auto"/>
        </w:rPr>
        <w:t>) or other employee organisation, group works council (</w:t>
      </w:r>
      <w:r>
        <w:rPr>
          <w:rFonts w:ascii="Arial" w:cs="Arial" w:eastAsia="Arial" w:hAnsi="Arial"/>
          <w:sz w:val="20"/>
          <w:szCs w:val="20"/>
          <w:i w:val="1"/>
          <w:iCs w:val="1"/>
          <w:color w:val="auto"/>
        </w:rPr>
        <w:t>Konzernbetriebsrat</w:t>
      </w:r>
      <w:r>
        <w:rPr>
          <w:rFonts w:ascii="Arial" w:cs="Arial" w:eastAsia="Arial" w:hAnsi="Arial"/>
          <w:sz w:val="20"/>
          <w:szCs w:val="20"/>
          <w:color w:val="auto"/>
        </w:rPr>
        <w:t>) or works council (</w:t>
      </w:r>
      <w:r>
        <w:rPr>
          <w:rFonts w:ascii="Arial" w:cs="Arial" w:eastAsia="Arial" w:hAnsi="Arial"/>
          <w:sz w:val="20"/>
          <w:szCs w:val="20"/>
          <w:i w:val="1"/>
          <w:iCs w:val="1"/>
          <w:color w:val="auto"/>
        </w:rPr>
        <w:t>Betriebsrat</w:t>
      </w:r>
      <w:r>
        <w:rPr>
          <w:rFonts w:ascii="Arial" w:cs="Arial" w:eastAsia="Arial" w:hAnsi="Arial"/>
          <w:sz w:val="20"/>
          <w:szCs w:val="20"/>
          <w:color w:val="auto"/>
        </w:rPr>
        <w:t>) (or similar body) (“</w:t>
      </w:r>
      <w:r>
        <w:rPr>
          <w:rFonts w:ascii="Arial" w:cs="Arial" w:eastAsia="Arial" w:hAnsi="Arial"/>
          <w:sz w:val="20"/>
          <w:szCs w:val="20"/>
          <w:b w:val="1"/>
          <w:bCs w:val="1"/>
          <w:color w:val="auto"/>
        </w:rPr>
        <w:t>Employee Organisation</w:t>
      </w:r>
      <w:r>
        <w:rPr>
          <w:rFonts w:ascii="Arial" w:cs="Arial" w:eastAsia="Arial" w:hAnsi="Arial"/>
          <w:sz w:val="20"/>
          <w:szCs w:val="20"/>
          <w:color w:val="auto"/>
        </w:rPr>
        <w:t>”) in respect of or affecting employees;</w:t>
      </w:r>
    </w:p>
    <w:p>
      <w:pPr>
        <w:spacing w:after="0" w:line="86" w:lineRule="exact"/>
        <w:rPr>
          <w:rFonts w:ascii="Arial" w:cs="Arial" w:eastAsia="Arial" w:hAnsi="Arial"/>
          <w:sz w:val="18"/>
          <w:szCs w:val="18"/>
          <w:color w:val="auto"/>
        </w:rPr>
      </w:pPr>
    </w:p>
    <w:p>
      <w:pPr>
        <w:ind w:left="1000" w:hanging="344"/>
        <w:spacing w:after="0"/>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no Group Company is currently engaged in any negotiation with any Employee Organisation;</w:t>
      </w:r>
    </w:p>
    <w:p>
      <w:pPr>
        <w:spacing w:after="0" w:line="107"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no Group Company has engaged in any labour practice prohibited by Labour Laws, and there is no pending or, to the Knowledge of the Seller and each Group Company, threatened complaint regarding any alleged prohibited labour practices;</w:t>
      </w:r>
    </w:p>
    <w:p>
      <w:pPr>
        <w:spacing w:after="0" w:line="77"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there is no strike, labour dispute, work slow down or stoppage pending or, to the Knowledge of the Seller and each Group Company, threatened against a Group Company;</w:t>
      </w:r>
    </w:p>
    <w:p>
      <w:pPr>
        <w:spacing w:after="0" w:line="68"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there is no grievance or arbitration proceeding arising out of or under any collective bargaining agreement which is pending or, to the Knowledge of the Seller and each Group Company, threatened against a Group Company;</w:t>
      </w:r>
    </w:p>
    <w:p>
      <w:pPr>
        <w:spacing w:after="0" w:line="77" w:lineRule="exact"/>
        <w:rPr>
          <w:rFonts w:ascii="Arial" w:cs="Arial" w:eastAsia="Arial" w:hAnsi="Arial"/>
          <w:sz w:val="18"/>
          <w:szCs w:val="18"/>
          <w:color w:val="auto"/>
        </w:rPr>
      </w:pPr>
    </w:p>
    <w:p>
      <w:pPr>
        <w:ind w:left="1000" w:hanging="344"/>
        <w:spacing w:after="0"/>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no Group Company has experienced any material work stoppage;</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0"/>
          <w:numId w:val="617"/>
        </w:numPr>
        <w:rPr>
          <w:rFonts w:ascii="Arial" w:cs="Arial" w:eastAsia="Arial" w:hAnsi="Arial"/>
          <w:sz w:val="18"/>
          <w:szCs w:val="18"/>
          <w:color w:val="auto"/>
        </w:rPr>
      </w:pPr>
      <w:r>
        <w:rPr>
          <w:rFonts w:ascii="Arial" w:cs="Arial" w:eastAsia="Arial" w:hAnsi="Arial"/>
          <w:sz w:val="20"/>
          <w:szCs w:val="20"/>
          <w:color w:val="auto"/>
        </w:rPr>
        <w:t>to the Knowledge of Seller no Group Company is the subject of any union organisation effort; and</w:t>
      </w:r>
    </w:p>
    <w:p>
      <w:pPr>
        <w:spacing w:after="0" w:line="107" w:lineRule="exact"/>
        <w:rPr>
          <w:rFonts w:ascii="Arial" w:cs="Arial" w:eastAsia="Arial" w:hAnsi="Arial"/>
          <w:sz w:val="18"/>
          <w:szCs w:val="18"/>
          <w:color w:val="auto"/>
        </w:rPr>
      </w:pPr>
    </w:p>
    <w:p>
      <w:pPr>
        <w:ind w:left="1000" w:hanging="344"/>
        <w:spacing w:after="0" w:line="316" w:lineRule="auto"/>
        <w:tabs>
          <w:tab w:leader="none" w:pos="1000" w:val="left"/>
        </w:tabs>
        <w:numPr>
          <w:ilvl w:val="0"/>
          <w:numId w:val="617"/>
        </w:numPr>
        <w:rPr>
          <w:rFonts w:ascii="Arial" w:cs="Arial" w:eastAsia="Arial" w:hAnsi="Arial"/>
          <w:sz w:val="16"/>
          <w:szCs w:val="16"/>
          <w:color w:val="auto"/>
        </w:rPr>
      </w:pPr>
      <w:r>
        <w:rPr>
          <w:rFonts w:ascii="Arial" w:cs="Arial" w:eastAsia="Arial" w:hAnsi="Arial"/>
          <w:sz w:val="18"/>
          <w:szCs w:val="18"/>
          <w:color w:val="auto"/>
        </w:rPr>
        <w:t>there are no claims pending or, to the Knowledge of the Seller and each Group Company, threatened against a Group Company related to the status of any individual as an independent contractor or employee.</w:t>
      </w:r>
    </w:p>
    <w:p>
      <w:pPr>
        <w:spacing w:after="0" w:line="2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20"/>
          <w:szCs w:val="20"/>
          <w:color w:val="auto"/>
        </w:rPr>
        <w:t>The Seller and each Group Company have complied with all legal obligations to inform or consult each applicable Employee Organisation about the signing and implementation of this Agreement and no such Employee Organisation has exercised any of its rights that would have the effect of delaying implementation of this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40" w:name="page541"/>
    <w:bookmarkEnd w:id="540"/>
    <w:p>
      <w:pPr>
        <w:ind w:left="660" w:hanging="652"/>
        <w:spacing w:after="0"/>
        <w:tabs>
          <w:tab w:leader="none" w:pos="660"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POLICIES</w:t>
      </w:r>
    </w:p>
    <w:p>
      <w:pPr>
        <w:spacing w:after="0" w:line="11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20"/>
          <w:szCs w:val="20"/>
          <w:u w:val="single" w:color="auto"/>
          <w:color w:val="auto"/>
        </w:rPr>
        <w:t xml:space="preserve">Disclosure Schedule 16 </w:t>
      </w:r>
      <w:r>
        <w:rPr>
          <w:rFonts w:ascii="Arial" w:cs="Arial" w:eastAsia="Arial" w:hAnsi="Arial"/>
          <w:sz w:val="20"/>
          <w:szCs w:val="20"/>
          <w:color w:val="auto"/>
        </w:rPr>
        <w:t>sets forth a list of all policies of insurance maintained (currently maintained or held since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October 6, 2016), owned or held by a Group Company (collectively, the “</w:t>
      </w:r>
      <w:r>
        <w:rPr>
          <w:rFonts w:ascii="Arial" w:cs="Arial" w:eastAsia="Arial" w:hAnsi="Arial"/>
          <w:sz w:val="20"/>
          <w:szCs w:val="20"/>
          <w:b w:val="1"/>
          <w:bCs w:val="1"/>
          <w:color w:val="auto"/>
        </w:rPr>
        <w:t>Insurance Contracts</w:t>
      </w:r>
      <w:r>
        <w:rPr>
          <w:rFonts w:ascii="Arial" w:cs="Arial" w:eastAsia="Arial" w:hAnsi="Arial"/>
          <w:sz w:val="20"/>
          <w:szCs w:val="20"/>
          <w:color w:val="auto"/>
        </w:rPr>
        <w:t>”), including the policy limits or amounts of coverage, deductibles or self-insured retentions, and annual premiums with respect thereto.</w:t>
      </w:r>
    </w:p>
    <w:p>
      <w:pPr>
        <w:spacing w:after="0" w:line="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20"/>
          <w:szCs w:val="20"/>
          <w:color w:val="auto"/>
        </w:rPr>
        <w:t>Such Insurance Contracts – if still applicable at the date hereof – are valid and binding in accordance with their terms, are in full force and effect, and the Insurance Contracts will continue in effect after the Closing Date. Similar coverage to the coverage set forth in the Insurance Contracts has been maintained on a continuous basis for the last five (5) years.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color w:val="auto"/>
        </w:rPr>
        <w:t>No Group Company have received written notice that</w:t>
      </w:r>
    </w:p>
    <w:p>
      <w:pPr>
        <w:spacing w:after="0" w:line="132" w:lineRule="exact"/>
        <w:rPr>
          <w:sz w:val="20"/>
          <w:szCs w:val="20"/>
          <w:color w:val="auto"/>
        </w:rPr>
      </w:pPr>
    </w:p>
    <w:p>
      <w:pPr>
        <w:ind w:left="1000" w:hanging="344"/>
        <w:spacing w:after="0"/>
        <w:tabs>
          <w:tab w:leader="none" w:pos="1000" w:val="left"/>
        </w:tabs>
        <w:numPr>
          <w:ilvl w:val="0"/>
          <w:numId w:val="619"/>
        </w:numPr>
        <w:rPr>
          <w:rFonts w:ascii="Arial" w:cs="Arial" w:eastAsia="Arial" w:hAnsi="Arial"/>
          <w:sz w:val="18"/>
          <w:szCs w:val="18"/>
          <w:color w:val="auto"/>
        </w:rPr>
      </w:pPr>
      <w:r>
        <w:rPr>
          <w:rFonts w:ascii="Arial" w:cs="Arial" w:eastAsia="Arial" w:hAnsi="Arial"/>
          <w:sz w:val="20"/>
          <w:szCs w:val="20"/>
          <w:color w:val="auto"/>
        </w:rPr>
        <w:t>it has breached or defaulted under any of such Insurance Contracts, or</w:t>
      </w:r>
    </w:p>
    <w:p>
      <w:pPr>
        <w:spacing w:after="0" w:line="107" w:lineRule="exact"/>
        <w:rPr>
          <w:rFonts w:ascii="Arial" w:cs="Arial" w:eastAsia="Arial" w:hAnsi="Arial"/>
          <w:sz w:val="18"/>
          <w:szCs w:val="18"/>
          <w:color w:val="auto"/>
        </w:rPr>
      </w:pPr>
    </w:p>
    <w:p>
      <w:pPr>
        <w:ind w:left="1000" w:right="20" w:hanging="344"/>
        <w:spacing w:after="0" w:line="260"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20"/>
          <w:szCs w:val="20"/>
          <w:color w:val="auto"/>
        </w:rPr>
        <w:t>that any event has occurred that would permit termination, modification, acceleration or repudiation of such Insurance Contracts.</w:t>
      </w:r>
    </w:p>
    <w:p>
      <w:pPr>
        <w:spacing w:after="0" w:line="6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20"/>
          <w:szCs w:val="20"/>
          <w:color w:val="auto"/>
        </w:rPr>
        <w:t>Except as set forth in Disclosure Schedule 16, no Group Company is in default (including a failure to pay an insurance premium when due) in any material respect with respect to any Insurance Contract, nor has any Group Company failed to give any notice of any material claim under such Insurance Contract in due and timely fashion nor has any Group Company since October 6, 2016, nor to the Knowledge of Seller during the past five (5) years, been denied or turned down for insurance coverage.</w:t>
      </w:r>
    </w:p>
    <w:p>
      <w:pPr>
        <w:spacing w:after="0" w:line="86" w:lineRule="exact"/>
        <w:rPr>
          <w:sz w:val="20"/>
          <w:szCs w:val="20"/>
          <w:color w:val="auto"/>
        </w:rPr>
      </w:pPr>
    </w:p>
    <w:p>
      <w:pPr>
        <w:ind w:left="660" w:hanging="652"/>
        <w:spacing w:after="0"/>
        <w:tabs>
          <w:tab w:leader="none" w:pos="660"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w:t>
      </w:r>
    </w:p>
    <w:p>
      <w:pPr>
        <w:spacing w:after="0" w:line="11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17</w:t>
      </w:r>
      <w:r>
        <w:rPr>
          <w:rFonts w:ascii="Arial" w:cs="Arial" w:eastAsia="Arial" w:hAnsi="Arial"/>
          <w:sz w:val="20"/>
          <w:szCs w:val="20"/>
          <w:color w:val="auto"/>
        </w:rPr>
        <w:t>:</w:t>
      </w:r>
    </w:p>
    <w:p>
      <w:pPr>
        <w:spacing w:after="0" w:line="107" w:lineRule="exact"/>
        <w:rPr>
          <w:rFonts w:ascii="Arial" w:cs="Arial" w:eastAsia="Arial" w:hAnsi="Arial"/>
          <w:sz w:val="18"/>
          <w:szCs w:val="18"/>
          <w:b w:val="1"/>
          <w:bCs w:val="1"/>
          <w:color w:val="auto"/>
        </w:rPr>
      </w:pPr>
    </w:p>
    <w:p>
      <w:pPr>
        <w:jc w:val="both"/>
        <w:ind w:left="1000" w:hanging="344"/>
        <w:spacing w:after="0" w:line="282" w:lineRule="auto"/>
        <w:tabs>
          <w:tab w:leader="none" w:pos="1000" w:val="left"/>
        </w:tabs>
        <w:numPr>
          <w:ilvl w:val="1"/>
          <w:numId w:val="620"/>
        </w:numPr>
        <w:rPr>
          <w:rFonts w:ascii="Arial" w:cs="Arial" w:eastAsia="Arial" w:hAnsi="Arial"/>
          <w:sz w:val="16"/>
          <w:szCs w:val="16"/>
          <w:color w:val="auto"/>
        </w:rPr>
      </w:pPr>
      <w:r>
        <w:rPr>
          <w:rFonts w:ascii="Arial" w:cs="Arial" w:eastAsia="Arial" w:hAnsi="Arial"/>
          <w:sz w:val="18"/>
          <w:szCs w:val="18"/>
          <w:color w:val="auto"/>
        </w:rPr>
        <w:t>each Group Company has all permits and approvals required under, and each is in full compliance with, all Environmental Laws, and each Group Company is in material compliance with all applicable limitations, restrictions, conditions, standards, prohibitions, requirements, obligations, schedules and timetables contained in all Environmental Laws or contained in any other Law, or any notice or demand letter issued thereunder;</w:t>
      </w:r>
    </w:p>
    <w:p>
      <w:pPr>
        <w:spacing w:after="0" w:line="53" w:lineRule="exact"/>
        <w:rPr>
          <w:rFonts w:ascii="Arial" w:cs="Arial" w:eastAsia="Arial" w:hAnsi="Arial"/>
          <w:sz w:val="16"/>
          <w:szCs w:val="16"/>
          <w:color w:val="auto"/>
        </w:rPr>
      </w:pPr>
    </w:p>
    <w:p>
      <w:pPr>
        <w:jc w:val="both"/>
        <w:ind w:left="1000" w:hanging="344"/>
        <w:spacing w:after="0" w:line="246" w:lineRule="auto"/>
        <w:tabs>
          <w:tab w:leader="none" w:pos="1000" w:val="left"/>
        </w:tabs>
        <w:numPr>
          <w:ilvl w:val="1"/>
          <w:numId w:val="620"/>
        </w:numPr>
        <w:rPr>
          <w:rFonts w:ascii="Arial" w:cs="Arial" w:eastAsia="Arial" w:hAnsi="Arial"/>
          <w:sz w:val="18"/>
          <w:szCs w:val="18"/>
          <w:color w:val="auto"/>
        </w:rPr>
      </w:pPr>
      <w:r>
        <w:rPr>
          <w:rFonts w:ascii="Arial" w:cs="Arial" w:eastAsia="Arial" w:hAnsi="Arial"/>
          <w:sz w:val="20"/>
          <w:szCs w:val="20"/>
          <w:color w:val="auto"/>
        </w:rPr>
        <w:t>no Group Company has received written notice of actual or threatened liability under Environmental Law from any Governmental Entity or any third party and there is no fact or circumstance that could form the basis for the assertion of any claim against a Group Company under any Environmental Law with respect to any on-site or off-site location;</w:t>
      </w:r>
    </w:p>
    <w:p>
      <w:pPr>
        <w:spacing w:after="0" w:line="83" w:lineRule="exact"/>
        <w:rPr>
          <w:rFonts w:ascii="Arial" w:cs="Arial" w:eastAsia="Arial" w:hAnsi="Arial"/>
          <w:sz w:val="18"/>
          <w:szCs w:val="18"/>
          <w:color w:val="auto"/>
        </w:rPr>
      </w:pPr>
    </w:p>
    <w:p>
      <w:pPr>
        <w:jc w:val="both"/>
        <w:ind w:left="1000" w:hanging="344"/>
        <w:spacing w:after="0" w:line="309" w:lineRule="auto"/>
        <w:tabs>
          <w:tab w:leader="none" w:pos="1000" w:val="left"/>
        </w:tabs>
        <w:numPr>
          <w:ilvl w:val="1"/>
          <w:numId w:val="620"/>
        </w:numPr>
        <w:rPr>
          <w:rFonts w:ascii="Arial" w:cs="Arial" w:eastAsia="Arial" w:hAnsi="Arial"/>
          <w:sz w:val="15"/>
          <w:szCs w:val="15"/>
          <w:color w:val="auto"/>
        </w:rPr>
      </w:pPr>
      <w:r>
        <w:rPr>
          <w:rFonts w:ascii="Arial" w:cs="Arial" w:eastAsia="Arial" w:hAnsi="Arial"/>
          <w:sz w:val="16"/>
          <w:szCs w:val="16"/>
          <w:color w:val="auto"/>
        </w:rPr>
        <w:t>no Group Company has entered into or agreed to enter into, and no Group Company has contemplated entering into, any consent decree or order, and since October 6, 2016, and to the Knowledge of Seller during the past ten</w:t>
      </w:r>
    </w:p>
    <w:p>
      <w:pPr>
        <w:spacing w:after="0" w:line="1" w:lineRule="exact"/>
        <w:rPr>
          <w:rFonts w:ascii="Arial" w:cs="Arial" w:eastAsia="Arial" w:hAnsi="Arial"/>
          <w:sz w:val="15"/>
          <w:szCs w:val="15"/>
          <w:color w:val="auto"/>
        </w:rPr>
      </w:pPr>
    </w:p>
    <w:p>
      <w:pPr>
        <w:ind w:left="1000" w:firstLine="7"/>
        <w:spacing w:after="0" w:line="297" w:lineRule="auto"/>
        <w:tabs>
          <w:tab w:leader="none" w:pos="1386" w:val="left"/>
        </w:tabs>
        <w:numPr>
          <w:ilvl w:val="2"/>
          <w:numId w:val="620"/>
        </w:numPr>
        <w:rPr>
          <w:rFonts w:ascii="Arial" w:cs="Arial" w:eastAsia="Arial" w:hAnsi="Arial"/>
          <w:sz w:val="18"/>
          <w:szCs w:val="18"/>
          <w:color w:val="auto"/>
        </w:rPr>
      </w:pPr>
      <w:r>
        <w:rPr>
          <w:rFonts w:ascii="Arial" w:cs="Arial" w:eastAsia="Arial" w:hAnsi="Arial"/>
          <w:sz w:val="18"/>
          <w:szCs w:val="18"/>
          <w:color w:val="auto"/>
        </w:rPr>
        <w:t>years, no Group Company is subject to any judgment, decree or judicial or administrative order relating to compliance with, or the cleanup of Hazardous Materials under, any applicable Environmental Law;</w:t>
      </w:r>
    </w:p>
    <w:p>
      <w:pPr>
        <w:spacing w:after="0" w:line="38"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1"/>
          <w:numId w:val="620"/>
        </w:numPr>
        <w:rPr>
          <w:rFonts w:ascii="Arial" w:cs="Arial" w:eastAsia="Arial" w:hAnsi="Arial"/>
          <w:sz w:val="18"/>
          <w:szCs w:val="18"/>
          <w:color w:val="auto"/>
        </w:rPr>
      </w:pPr>
      <w:r>
        <w:rPr>
          <w:rFonts w:ascii="Arial" w:cs="Arial" w:eastAsia="Arial" w:hAnsi="Arial"/>
          <w:sz w:val="20"/>
          <w:szCs w:val="20"/>
          <w:color w:val="auto"/>
        </w:rPr>
        <w:t>no Group Company has been alleged to be in violation of, and has not been subject to any administrative or judicial proceeding pursuant to, applicable Environmental Laws either now or any time during the past five (5) years;</w:t>
      </w:r>
    </w:p>
    <w:p>
      <w:pPr>
        <w:spacing w:after="0" w:line="77" w:lineRule="exact"/>
        <w:rPr>
          <w:rFonts w:ascii="Arial" w:cs="Arial" w:eastAsia="Arial" w:hAnsi="Arial"/>
          <w:sz w:val="18"/>
          <w:szCs w:val="18"/>
          <w:color w:val="auto"/>
        </w:rPr>
      </w:pPr>
    </w:p>
    <w:p>
      <w:pPr>
        <w:jc w:val="both"/>
        <w:ind w:left="1000" w:right="20" w:hanging="344"/>
        <w:spacing w:after="0" w:line="244" w:lineRule="auto"/>
        <w:tabs>
          <w:tab w:leader="none" w:pos="1000" w:val="left"/>
        </w:tabs>
        <w:numPr>
          <w:ilvl w:val="1"/>
          <w:numId w:val="620"/>
        </w:numPr>
        <w:rPr>
          <w:rFonts w:ascii="Arial" w:cs="Arial" w:eastAsia="Arial" w:hAnsi="Arial"/>
          <w:sz w:val="18"/>
          <w:szCs w:val="18"/>
          <w:color w:val="auto"/>
        </w:rPr>
      </w:pPr>
      <w:r>
        <w:rPr>
          <w:rFonts w:ascii="Arial" w:cs="Arial" w:eastAsia="Arial" w:hAnsi="Arial"/>
          <w:sz w:val="20"/>
          <w:szCs w:val="20"/>
          <w:color w:val="auto"/>
        </w:rPr>
        <w:t>no Group Company is subject to any claim, obligation, liability, loss, damage or expense of any kind or nature whatsoever, contingent or otherwise, incurred or imposed or based upon any provision of any Environmental Law or arising out of any act or omission of a Group Company, or a Group Company's employees, agents or representatives or arising out of the ownership, use, control or operation by a Group Company of any plant, facility,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4880" w:hanging="111"/>
        <w:spacing w:after="0"/>
        <w:tabs>
          <w:tab w:leader="none" w:pos="4880" w:val="left"/>
        </w:tabs>
        <w:numPr>
          <w:ilvl w:val="3"/>
          <w:numId w:val="620"/>
        </w:numPr>
        <w:rPr>
          <w:rFonts w:ascii="Arial" w:cs="Arial" w:eastAsia="Arial" w:hAnsi="Arial"/>
          <w:sz w:val="18"/>
          <w:szCs w:val="18"/>
          <w:color w:val="auto"/>
        </w:rPr>
      </w:pPr>
      <w:r>
        <w:rPr>
          <w:rFonts w:ascii="Arial" w:cs="Arial" w:eastAsia="Arial" w:hAnsi="Arial"/>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41" w:name="page542"/>
    <w:bookmarkEnd w:id="541"/>
    <w:p>
      <w:pPr>
        <w:jc w:val="both"/>
        <w:ind w:left="1040"/>
        <w:spacing w:after="0" w:line="278" w:lineRule="auto"/>
        <w:rPr>
          <w:sz w:val="20"/>
          <w:szCs w:val="20"/>
          <w:color w:val="auto"/>
        </w:rPr>
      </w:pPr>
      <w:r>
        <w:rPr>
          <w:rFonts w:ascii="Arial" w:cs="Arial" w:eastAsia="Arial" w:hAnsi="Arial"/>
          <w:sz w:val="18"/>
          <w:szCs w:val="18"/>
          <w:color w:val="auto"/>
        </w:rPr>
        <w:t>site, area or property (including any plant, facility, site, area or property currently or previously owned or leased by a Group Company) from which any Hazardous Materials were released into the environment (the term “</w:t>
      </w:r>
      <w:r>
        <w:rPr>
          <w:rFonts w:ascii="Arial" w:cs="Arial" w:eastAsia="Arial" w:hAnsi="Arial"/>
          <w:sz w:val="18"/>
          <w:szCs w:val="18"/>
          <w:b w:val="1"/>
          <w:bCs w:val="1"/>
          <w:color w:val="auto"/>
        </w:rPr>
        <w:t>release</w:t>
      </w:r>
      <w:r>
        <w:rPr>
          <w:rFonts w:ascii="Arial" w:cs="Arial" w:eastAsia="Arial" w:hAnsi="Arial"/>
          <w:sz w:val="18"/>
          <w:szCs w:val="18"/>
          <w:color w:val="auto"/>
        </w:rPr>
        <w:t>” meaning any spilling, leaking, pumping, pouring, emitting, emptying, discharging, injecting, escaping, leaching, dumping or disposing into the environment, and the term “</w:t>
      </w:r>
      <w:r>
        <w:rPr>
          <w:rFonts w:ascii="Arial" w:cs="Arial" w:eastAsia="Arial" w:hAnsi="Arial"/>
          <w:sz w:val="18"/>
          <w:szCs w:val="18"/>
          <w:b w:val="1"/>
          <w:bCs w:val="1"/>
          <w:color w:val="auto"/>
        </w:rPr>
        <w:t>environment</w:t>
      </w:r>
      <w:r>
        <w:rPr>
          <w:rFonts w:ascii="Arial" w:cs="Arial" w:eastAsia="Arial" w:hAnsi="Arial"/>
          <w:sz w:val="18"/>
          <w:szCs w:val="18"/>
          <w:color w:val="auto"/>
        </w:rPr>
        <w:t>” meaning any surface or ground water, drinking water supply, soil, surface or subsurface strata or medium, or the ambient air);</w:t>
      </w:r>
    </w:p>
    <w:p>
      <w:pPr>
        <w:spacing w:after="0" w:line="57" w:lineRule="exact"/>
        <w:rPr>
          <w:sz w:val="20"/>
          <w:szCs w:val="20"/>
          <w:color w:val="auto"/>
        </w:rPr>
      </w:pPr>
    </w:p>
    <w:p>
      <w:pPr>
        <w:jc w:val="both"/>
        <w:ind w:left="1000" w:hanging="344"/>
        <w:spacing w:after="0" w:line="244" w:lineRule="auto"/>
        <w:tabs>
          <w:tab w:leader="none" w:pos="1000" w:val="left"/>
        </w:tabs>
        <w:numPr>
          <w:ilvl w:val="1"/>
          <w:numId w:val="621"/>
        </w:numPr>
        <w:rPr>
          <w:rFonts w:ascii="Arial" w:cs="Arial" w:eastAsia="Arial" w:hAnsi="Arial"/>
          <w:sz w:val="18"/>
          <w:szCs w:val="18"/>
          <w:color w:val="auto"/>
        </w:rPr>
      </w:pPr>
      <w:r>
        <w:rPr>
          <w:rFonts w:ascii="Arial" w:cs="Arial" w:eastAsia="Arial" w:hAnsi="Arial"/>
          <w:sz w:val="20"/>
          <w:szCs w:val="20"/>
          <w:color w:val="auto"/>
        </w:rPr>
        <w:t>the Company has made available to the Purchaser true, correct and complete copies of all reports and – to the extent material to the Business – all correspondence, memoranda, computer data and files relating to environmental matters of the Company Group since October 6, 2016; and no Group Company has paid any fine, penalty or assessment since October 6, 2016, or to the Knowledge of Seller during the past five (5) years, with respect to environmental matters;</w:t>
      </w:r>
    </w:p>
    <w:p>
      <w:pPr>
        <w:spacing w:after="0" w:line="86" w:lineRule="exact"/>
        <w:rPr>
          <w:rFonts w:ascii="Arial" w:cs="Arial" w:eastAsia="Arial" w:hAnsi="Arial"/>
          <w:sz w:val="18"/>
          <w:szCs w:val="18"/>
          <w:color w:val="auto"/>
        </w:rPr>
      </w:pPr>
    </w:p>
    <w:p>
      <w:pPr>
        <w:ind w:left="1000" w:hanging="344"/>
        <w:spacing w:after="0" w:line="260" w:lineRule="auto"/>
        <w:tabs>
          <w:tab w:leader="none" w:pos="1000" w:val="left"/>
        </w:tabs>
        <w:numPr>
          <w:ilvl w:val="1"/>
          <w:numId w:val="621"/>
        </w:numPr>
        <w:rPr>
          <w:rFonts w:ascii="Arial" w:cs="Arial" w:eastAsia="Arial" w:hAnsi="Arial"/>
          <w:sz w:val="18"/>
          <w:szCs w:val="18"/>
          <w:color w:val="auto"/>
        </w:rPr>
      </w:pPr>
      <w:r>
        <w:rPr>
          <w:rFonts w:ascii="Arial" w:cs="Arial" w:eastAsia="Arial" w:hAnsi="Arial"/>
          <w:sz w:val="20"/>
          <w:szCs w:val="20"/>
          <w:color w:val="auto"/>
        </w:rPr>
        <w:t>no Group Company nor any of its predecessor entities manufactures or has manufactured any product containing asbestos;</w:t>
      </w:r>
    </w:p>
    <w:p>
      <w:pPr>
        <w:spacing w:after="0" w:line="68" w:lineRule="exact"/>
        <w:rPr>
          <w:rFonts w:ascii="Arial" w:cs="Arial" w:eastAsia="Arial" w:hAnsi="Arial"/>
          <w:sz w:val="18"/>
          <w:szCs w:val="18"/>
          <w:color w:val="auto"/>
        </w:rPr>
      </w:pPr>
    </w:p>
    <w:p>
      <w:pPr>
        <w:ind w:left="1000" w:hanging="344"/>
        <w:spacing w:after="0" w:line="316" w:lineRule="auto"/>
        <w:tabs>
          <w:tab w:leader="none" w:pos="1000" w:val="left"/>
        </w:tabs>
        <w:numPr>
          <w:ilvl w:val="1"/>
          <w:numId w:val="621"/>
        </w:numPr>
        <w:rPr>
          <w:rFonts w:ascii="Arial" w:cs="Arial" w:eastAsia="Arial" w:hAnsi="Arial"/>
          <w:sz w:val="16"/>
          <w:szCs w:val="16"/>
          <w:color w:val="auto"/>
        </w:rPr>
      </w:pPr>
      <w:r>
        <w:rPr>
          <w:rFonts w:ascii="Arial" w:cs="Arial" w:eastAsia="Arial" w:hAnsi="Arial"/>
          <w:sz w:val="18"/>
          <w:szCs w:val="18"/>
          <w:color w:val="auto"/>
        </w:rPr>
        <w:t>no Group Company nor any of its predecessor entities has paid any fine, penalty or assessment since October 6, 2016, or to the Knowledge of Seller during the past five (5) years with respect to environmental matters;</w:t>
      </w:r>
    </w:p>
    <w:p>
      <w:pPr>
        <w:spacing w:after="0" w:line="21" w:lineRule="exact"/>
        <w:rPr>
          <w:rFonts w:ascii="Arial" w:cs="Arial" w:eastAsia="Arial" w:hAnsi="Arial"/>
          <w:sz w:val="16"/>
          <w:szCs w:val="16"/>
          <w:color w:val="auto"/>
        </w:rPr>
      </w:pPr>
    </w:p>
    <w:p>
      <w:pPr>
        <w:jc w:val="both"/>
        <w:ind w:left="1000" w:hanging="344"/>
        <w:spacing w:after="0" w:line="250" w:lineRule="auto"/>
        <w:tabs>
          <w:tab w:leader="none" w:pos="1000" w:val="left"/>
        </w:tabs>
        <w:numPr>
          <w:ilvl w:val="1"/>
          <w:numId w:val="621"/>
        </w:numPr>
        <w:rPr>
          <w:rFonts w:ascii="Arial" w:cs="Arial" w:eastAsia="Arial" w:hAnsi="Arial"/>
          <w:sz w:val="18"/>
          <w:szCs w:val="18"/>
          <w:color w:val="auto"/>
        </w:rPr>
      </w:pPr>
      <w:r>
        <w:rPr>
          <w:rFonts w:ascii="Arial" w:cs="Arial" w:eastAsia="Arial" w:hAnsi="Arial"/>
          <w:sz w:val="20"/>
          <w:szCs w:val="20"/>
          <w:color w:val="auto"/>
        </w:rPr>
        <w:t>no Leased Real Property, improvement or equipment of a Group Company contains any asbestos, polychlorinated biphenyls, underground storage tanks, open or closed pits, sumps or other containers used for storage of substantial amounts of fluids; and</w:t>
      </w:r>
    </w:p>
    <w:p>
      <w:pPr>
        <w:spacing w:after="0" w:line="77" w:lineRule="exact"/>
        <w:rPr>
          <w:rFonts w:ascii="Arial" w:cs="Arial" w:eastAsia="Arial" w:hAnsi="Arial"/>
          <w:sz w:val="18"/>
          <w:szCs w:val="18"/>
          <w:color w:val="auto"/>
        </w:rPr>
      </w:pPr>
    </w:p>
    <w:p>
      <w:pPr>
        <w:ind w:left="1000" w:hanging="344"/>
        <w:spacing w:after="0" w:line="260" w:lineRule="auto"/>
        <w:tabs>
          <w:tab w:leader="none" w:pos="1000" w:val="left"/>
        </w:tabs>
        <w:numPr>
          <w:ilvl w:val="1"/>
          <w:numId w:val="621"/>
        </w:numPr>
        <w:rPr>
          <w:rFonts w:ascii="Arial" w:cs="Arial" w:eastAsia="Arial" w:hAnsi="Arial"/>
          <w:sz w:val="18"/>
          <w:szCs w:val="18"/>
          <w:color w:val="auto"/>
        </w:rPr>
      </w:pPr>
      <w:r>
        <w:rPr>
          <w:rFonts w:ascii="Arial" w:cs="Arial" w:eastAsia="Arial" w:hAnsi="Arial"/>
          <w:sz w:val="20"/>
          <w:szCs w:val="20"/>
          <w:color w:val="auto"/>
        </w:rPr>
        <w:t>no Group Company has imported, manufactured, stored, managed, used, operated, transported, treated or disposed of any Hazardous Material other than in compliance with all Environmental Laws.</w:t>
      </w:r>
    </w:p>
    <w:p>
      <w:pPr>
        <w:spacing w:after="0" w:line="67" w:lineRule="exact"/>
        <w:rPr>
          <w:rFonts w:ascii="Arial" w:cs="Arial" w:eastAsia="Arial" w:hAnsi="Arial"/>
          <w:sz w:val="18"/>
          <w:szCs w:val="18"/>
          <w:color w:val="auto"/>
        </w:rPr>
      </w:pPr>
    </w:p>
    <w:p>
      <w:pPr>
        <w:ind w:left="660" w:hanging="652"/>
        <w:spacing w:after="0"/>
        <w:tabs>
          <w:tab w:leader="none" w:pos="660"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20"/>
          <w:szCs w:val="20"/>
          <w:u w:val="single" w:color="auto"/>
          <w:color w:val="auto"/>
        </w:rPr>
        <w:t xml:space="preserve">Disclosure Schedule 18.1 </w:t>
      </w:r>
      <w:r>
        <w:rPr>
          <w:rFonts w:ascii="Arial" w:cs="Arial" w:eastAsia="Arial" w:hAnsi="Arial"/>
          <w:sz w:val="20"/>
          <w:szCs w:val="20"/>
          <w:color w:val="auto"/>
        </w:rPr>
        <w:t>contains a list of all Company Registered Intellectual Property, which identifies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Company Registered Intellectual Property, and identifies that which is owned and that which is licensed by each Group Company.</w:t>
      </w:r>
    </w:p>
    <w:p>
      <w:pPr>
        <w:spacing w:after="0" w:line="78" w:lineRule="exact"/>
        <w:rPr>
          <w:sz w:val="20"/>
          <w:szCs w:val="20"/>
          <w:color w:val="auto"/>
        </w:rPr>
      </w:pPr>
    </w:p>
    <w:p>
      <w:pPr>
        <w:jc w:val="both"/>
        <w:ind w:left="660" w:right="20" w:hanging="647"/>
        <w:spacing w:after="0" w:line="316" w:lineRule="auto"/>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8"/>
          <w:szCs w:val="18"/>
          <w:color w:val="auto"/>
        </w:rPr>
        <w:t>No Company Intellectual Property or product or service used by a Group Company related to Company Intellectual Property is subject to any proceeding or outstanding decree, order, judgment, agreement or stipulation</w:t>
      </w:r>
    </w:p>
    <w:p>
      <w:pPr>
        <w:spacing w:after="0" w:line="23" w:lineRule="exact"/>
        <w:rPr>
          <w:sz w:val="20"/>
          <w:szCs w:val="20"/>
          <w:color w:val="auto"/>
        </w:rPr>
      </w:pPr>
    </w:p>
    <w:p>
      <w:pPr>
        <w:ind w:left="1000" w:hanging="344"/>
        <w:spacing w:after="0"/>
        <w:tabs>
          <w:tab w:leader="none" w:pos="1000" w:val="left"/>
        </w:tabs>
        <w:numPr>
          <w:ilvl w:val="0"/>
          <w:numId w:val="623"/>
        </w:numPr>
        <w:rPr>
          <w:rFonts w:ascii="Arial" w:cs="Arial" w:eastAsia="Arial" w:hAnsi="Arial"/>
          <w:sz w:val="18"/>
          <w:szCs w:val="18"/>
          <w:color w:val="auto"/>
        </w:rPr>
      </w:pPr>
      <w:r>
        <w:rPr>
          <w:rFonts w:ascii="Arial" w:cs="Arial" w:eastAsia="Arial" w:hAnsi="Arial"/>
          <w:sz w:val="20"/>
          <w:szCs w:val="20"/>
          <w:color w:val="auto"/>
        </w:rPr>
        <w:t>restricting in any manner the use, transfer or licensing thereof by a Group Company or</w:t>
      </w:r>
    </w:p>
    <w:p>
      <w:pPr>
        <w:spacing w:after="0" w:line="107"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623"/>
        </w:numPr>
        <w:rPr>
          <w:rFonts w:ascii="Arial" w:cs="Arial" w:eastAsia="Arial" w:hAnsi="Arial"/>
          <w:sz w:val="18"/>
          <w:szCs w:val="18"/>
          <w:color w:val="auto"/>
        </w:rPr>
      </w:pPr>
      <w:r>
        <w:rPr>
          <w:rFonts w:ascii="Arial" w:cs="Arial" w:eastAsia="Arial" w:hAnsi="Arial"/>
          <w:sz w:val="20"/>
          <w:szCs w:val="20"/>
          <w:color w:val="auto"/>
        </w:rPr>
        <w:t>that may affect the validity, use or enforceability of the Company Intellectual Property or any such product or service.</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Each item of Company Registered Intellectual Property is valid and subsisting.</w:t>
      </w:r>
    </w:p>
    <w:p>
      <w:pPr>
        <w:spacing w:after="0" w:line="131"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20"/>
          <w:szCs w:val="20"/>
          <w:color w:val="auto"/>
        </w:rPr>
        <w:t>All necessary registration, maintenance and renewal fees currently due in connection with Company Registered Intellectual Property have been made and all necessary documents, recordations and certifications in connection with the Company Registered Intellectual Property have been filed with the relevant patent, copyright, trademark or other authorities in the Applicable Jurisdiction for the purpose of maintaining the Company Registered Intellectual Property.</w:t>
      </w:r>
    </w:p>
    <w:p>
      <w:pPr>
        <w:spacing w:after="0" w:line="8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20"/>
          <w:szCs w:val="20"/>
          <w:color w:val="auto"/>
        </w:rPr>
        <w:t>The Company owns and has good and exclusive title to, or has licenses (sufficient for the conduct of the Business) to, each item of Company Intellectual Property, free and clear of any Lien (excluding licenses and related restrictions); and the Company is the exclusive owner or exclusive licensee of all trademarks and service marks, trade names and domain names used by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42" w:name="page543"/>
    <w:bookmarkEnd w:id="542"/>
    <w:p>
      <w:pPr>
        <w:jc w:val="both"/>
        <w:ind w:left="660"/>
        <w:spacing w:after="0" w:line="250" w:lineRule="auto"/>
        <w:rPr>
          <w:sz w:val="20"/>
          <w:szCs w:val="20"/>
          <w:color w:val="auto"/>
        </w:rPr>
      </w:pPr>
      <w:r>
        <w:rPr>
          <w:rFonts w:ascii="Arial" w:cs="Arial" w:eastAsia="Arial" w:hAnsi="Arial"/>
          <w:sz w:val="20"/>
          <w:szCs w:val="20"/>
          <w:color w:val="auto"/>
        </w:rPr>
        <w:t>Group Company, including the sale of any products or the provision of any services of a Group Company, free and clear of all Liens. No Group Company has granted any rights or interest in the Company Intellectual Property to a third party.</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color w:val="auto"/>
        </w:rPr>
        <w:t>The Company owns exclusively and has good title to all copyrighted works used by a Group Company that</w:t>
      </w:r>
    </w:p>
    <w:p>
      <w:pPr>
        <w:spacing w:after="0" w:line="132" w:lineRule="exact"/>
        <w:rPr>
          <w:sz w:val="20"/>
          <w:szCs w:val="20"/>
          <w:color w:val="auto"/>
        </w:rPr>
      </w:pPr>
    </w:p>
    <w:p>
      <w:pPr>
        <w:ind w:left="1000" w:hanging="344"/>
        <w:spacing w:after="0"/>
        <w:tabs>
          <w:tab w:leader="none" w:pos="1000" w:val="left"/>
        </w:tabs>
        <w:numPr>
          <w:ilvl w:val="0"/>
          <w:numId w:val="624"/>
        </w:numPr>
        <w:rPr>
          <w:rFonts w:ascii="Arial" w:cs="Arial" w:eastAsia="Arial" w:hAnsi="Arial"/>
          <w:sz w:val="18"/>
          <w:szCs w:val="18"/>
          <w:color w:val="auto"/>
        </w:rPr>
      </w:pPr>
      <w:r>
        <w:rPr>
          <w:rFonts w:ascii="Arial" w:cs="Arial" w:eastAsia="Arial" w:hAnsi="Arial"/>
          <w:sz w:val="20"/>
          <w:szCs w:val="20"/>
          <w:color w:val="auto"/>
        </w:rPr>
        <w:t>are products of a Group Company or</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0"/>
          <w:numId w:val="624"/>
        </w:numPr>
        <w:rPr>
          <w:rFonts w:ascii="Arial" w:cs="Arial" w:eastAsia="Arial" w:hAnsi="Arial"/>
          <w:sz w:val="18"/>
          <w:szCs w:val="18"/>
          <w:color w:val="auto"/>
        </w:rPr>
      </w:pPr>
      <w:r>
        <w:rPr>
          <w:rFonts w:ascii="Arial" w:cs="Arial" w:eastAsia="Arial" w:hAnsi="Arial"/>
          <w:sz w:val="20"/>
          <w:szCs w:val="20"/>
          <w:color w:val="auto"/>
        </w:rPr>
        <w:t>a Group Company otherwise expressly purports to own, free and clear of all Liens.</w:t>
      </w:r>
    </w:p>
    <w:p>
      <w:pPr>
        <w:spacing w:after="0" w:line="10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u w:val="single" w:color="auto"/>
          <w:color w:val="auto"/>
        </w:rPr>
        <w:t xml:space="preserve">Disclosure Schedule 18.7 </w:t>
      </w:r>
      <w:r>
        <w:rPr>
          <w:rFonts w:ascii="Arial" w:cs="Arial" w:eastAsia="Arial" w:hAnsi="Arial"/>
          <w:sz w:val="18"/>
          <w:szCs w:val="18"/>
          <w:color w:val="auto"/>
        </w:rPr>
        <w:t>lists all works of original authorship used by a Group Company and prepared by or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behalf of a Group Company (including Software programs) by title, version number, author(s) and publication date (if any), regardless of whether a Group Company has obtained or is seeking a copyright registration for such works.</w:t>
      </w:r>
    </w:p>
    <w:p>
      <w:pPr>
        <w:spacing w:after="0" w:line="4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20"/>
          <w:szCs w:val="20"/>
          <w:color w:val="auto"/>
        </w:rPr>
        <w:t>To the extent that the Company Intellectual Property has been developed or created by a third party for a Group Company, the relevant Group Company has a written agreement with such third party with respect thereto and such Group Company thereby either</w:t>
      </w:r>
    </w:p>
    <w:p>
      <w:pPr>
        <w:spacing w:after="0" w:line="79" w:lineRule="exact"/>
        <w:rPr>
          <w:sz w:val="20"/>
          <w:szCs w:val="20"/>
          <w:color w:val="auto"/>
        </w:rPr>
      </w:pPr>
    </w:p>
    <w:p>
      <w:pPr>
        <w:ind w:left="1000" w:hanging="344"/>
        <w:spacing w:after="0"/>
        <w:tabs>
          <w:tab w:leader="none" w:pos="1000" w:val="left"/>
        </w:tabs>
        <w:numPr>
          <w:ilvl w:val="0"/>
          <w:numId w:val="625"/>
        </w:numPr>
        <w:rPr>
          <w:rFonts w:ascii="Arial" w:cs="Arial" w:eastAsia="Arial" w:hAnsi="Arial"/>
          <w:sz w:val="18"/>
          <w:szCs w:val="18"/>
          <w:color w:val="auto"/>
        </w:rPr>
      </w:pPr>
      <w:r>
        <w:rPr>
          <w:rFonts w:ascii="Arial" w:cs="Arial" w:eastAsia="Arial" w:hAnsi="Arial"/>
          <w:sz w:val="20"/>
          <w:szCs w:val="20"/>
          <w:color w:val="auto"/>
        </w:rPr>
        <w:t>has ownership of and is the exclusive owner of, or</w:t>
      </w:r>
    </w:p>
    <w:p>
      <w:pPr>
        <w:spacing w:after="0" w:line="107"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625"/>
        </w:numPr>
        <w:rPr>
          <w:rFonts w:ascii="Arial" w:cs="Arial" w:eastAsia="Arial" w:hAnsi="Arial"/>
          <w:sz w:val="18"/>
          <w:szCs w:val="18"/>
          <w:color w:val="auto"/>
        </w:rPr>
      </w:pPr>
      <w:r>
        <w:rPr>
          <w:rFonts w:ascii="Arial" w:cs="Arial" w:eastAsia="Arial" w:hAnsi="Arial"/>
          <w:sz w:val="20"/>
          <w:szCs w:val="20"/>
          <w:color w:val="auto"/>
        </w:rPr>
        <w:t>has an irrevocable license (sufficient for the operations of each Group Company as currently conducted and as proposed to be conducted) to,</w:t>
      </w:r>
    </w:p>
    <w:p>
      <w:pPr>
        <w:spacing w:after="0" w:line="69"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all of such third party’s Intellectual Property in such work, material or invention by operation of law or by valid assignment, to the extent it is sufficient for the conduct of the Business.</w:t>
      </w:r>
    </w:p>
    <w:p>
      <w:pPr>
        <w:spacing w:after="0" w:line="6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20"/>
          <w:szCs w:val="20"/>
          <w:color w:val="auto"/>
        </w:rPr>
        <w:t>The operations of the Business, including the Group Companies' design, development, marketing and sale of the products or services of any such Group Company (including with respect to products currently under development), has not and does not infringe or misappropriate in any manner the Intellectual Property of any third party or, to the Knowledge of the Seller and each Group Company, constitute unfair competition or trade practices under the Laws of any jurisdiction.</w:t>
      </w:r>
    </w:p>
    <w:p>
      <w:pPr>
        <w:spacing w:after="0" w:line="8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20"/>
          <w:szCs w:val="20"/>
          <w:color w:val="auto"/>
        </w:rPr>
        <w:t>The Seller and each Company Group has no Knowledge of, and has not received written notice of or any other overt threat from any third party, that the operation of the Business, or any act, product or service of a Group Company, infringes or misappropriates the Intellectual Property of any third party or constitutes unfair competition or trade practices under the Laws of any jurisdiction.</w:t>
      </w:r>
    </w:p>
    <w:p>
      <w:pPr>
        <w:spacing w:after="0" w:line="83"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20"/>
          <w:szCs w:val="20"/>
          <w:color w:val="auto"/>
        </w:rPr>
        <w:t>To the Knowledge of the Seller and each Group Company, no Person has or is infringing or misappropriating any Company Intellectual Property.</w:t>
      </w:r>
    </w:p>
    <w:p>
      <w:pPr>
        <w:spacing w:after="0" w:line="6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20"/>
          <w:szCs w:val="20"/>
          <w:color w:val="auto"/>
        </w:rPr>
        <w:t>The Group Companies have taken reasonable steps to protect the rights of the relevant Group Companies in the Confidential Information and any trade secret or confidential information of third parties used by any Group Company, and, without limiting the generality of the foregoing, the Group Companies have enforced a policy requiring each employee and contractor to execute a proprietary information/confidentiality agreement in substantially the form provided to the Purchaser, and, except under confidentiality obligations, there has not been any disclosure by a Group Company of any Confidential Information or any such trade secret or confidential information of third parties.</w:t>
      </w:r>
    </w:p>
    <w:p>
      <w:pPr>
        <w:spacing w:after="0" w:line="85" w:lineRule="exact"/>
        <w:rPr>
          <w:sz w:val="20"/>
          <w:szCs w:val="20"/>
          <w:color w:val="auto"/>
        </w:rPr>
      </w:pPr>
    </w:p>
    <w:p>
      <w:pPr>
        <w:ind w:left="660" w:hanging="652"/>
        <w:spacing w:after="0"/>
        <w:tabs>
          <w:tab w:leader="none" w:pos="660"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SOFTWARE</w:t>
      </w:r>
    </w:p>
    <w:p>
      <w:pPr>
        <w:spacing w:after="0" w:line="117" w:lineRule="exact"/>
        <w:rPr>
          <w:sz w:val="20"/>
          <w:szCs w:val="20"/>
          <w:color w:val="auto"/>
        </w:rPr>
      </w:pPr>
    </w:p>
    <w:p>
      <w:pPr>
        <w:ind w:left="660" w:right="2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20"/>
          <w:szCs w:val="20"/>
          <w:u w:val="single" w:color="auto"/>
          <w:color w:val="auto"/>
        </w:rPr>
        <w:t xml:space="preserve">Disclosure Schedule 19 </w:t>
      </w:r>
      <w:r>
        <w:rPr>
          <w:rFonts w:ascii="Arial" w:cs="Arial" w:eastAsia="Arial" w:hAnsi="Arial"/>
          <w:sz w:val="20"/>
          <w:szCs w:val="20"/>
          <w:color w:val="auto"/>
        </w:rPr>
        <w:t>sets forth a true, correct and complete list of: (i) the Company Proprietary Software, (ii)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Company Licensed Software, and (iii) to the extent materially relevant 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43" w:name="page544"/>
    <w:bookmarkEnd w:id="543"/>
    <w:p>
      <w:pPr>
        <w:ind w:left="660"/>
        <w:spacing w:after="0" w:line="260" w:lineRule="auto"/>
        <w:rPr>
          <w:sz w:val="20"/>
          <w:szCs w:val="20"/>
          <w:color w:val="auto"/>
        </w:rPr>
      </w:pPr>
      <w:r>
        <w:rPr>
          <w:rFonts w:ascii="Arial" w:cs="Arial" w:eastAsia="Arial" w:hAnsi="Arial"/>
          <w:sz w:val="20"/>
          <w:szCs w:val="20"/>
          <w:color w:val="auto"/>
        </w:rPr>
        <w:t>the Business all technical and restricted materials relating to the acquisition, design, development, use or maintenance of computer code program documentation and materials used by a Group Company.</w:t>
      </w:r>
    </w:p>
    <w:p>
      <w:pPr>
        <w:spacing w:after="0" w:line="67"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color w:val="auto"/>
        </w:rPr>
        <w:t>Except as set forth on Disclosure Schedule 19, the Company has all right, title and interest in and to the Company Proprietary Software, free and clear of all Liens. The Company has developed the Company Proprietary Software through its own efforts, as described in paragraph 19.4 below, and for its own account. The use of the Company Software does not breach any term of any license or other contract between a Group Company, on the one hand, and any third party, on the other hand. The Group Companies are in compliance with the terms and conditions of all license agreements in favour of a Group Company relating to the Company Licensed Software.</w:t>
      </w:r>
    </w:p>
    <w:p>
      <w:pPr>
        <w:spacing w:after="0" w:line="57"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9"/>
          <w:szCs w:val="19"/>
          <w:color w:val="auto"/>
        </w:rPr>
        <w:t>The Company Proprietary Software does not infringe or misappropriate any Intellectual Property right of any third party. The source code for the Company Proprietary Software has been maintained in confidence.</w:t>
      </w:r>
    </w:p>
    <w:p>
      <w:pPr>
        <w:spacing w:after="0" w:line="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color w:val="auto"/>
        </w:rPr>
        <w:t>The Company Proprietary Software was:</w:t>
      </w:r>
    </w:p>
    <w:p>
      <w:pPr>
        <w:spacing w:after="0" w:line="132" w:lineRule="exact"/>
        <w:rPr>
          <w:sz w:val="20"/>
          <w:szCs w:val="20"/>
          <w:color w:val="auto"/>
        </w:rPr>
      </w:pPr>
    </w:p>
    <w:p>
      <w:pPr>
        <w:ind w:left="1000" w:right="20" w:hanging="344"/>
        <w:spacing w:after="0" w:line="260" w:lineRule="auto"/>
        <w:tabs>
          <w:tab w:leader="none" w:pos="1000" w:val="left"/>
        </w:tabs>
        <w:numPr>
          <w:ilvl w:val="0"/>
          <w:numId w:val="627"/>
        </w:numPr>
        <w:rPr>
          <w:rFonts w:ascii="Arial" w:cs="Arial" w:eastAsia="Arial" w:hAnsi="Arial"/>
          <w:sz w:val="18"/>
          <w:szCs w:val="18"/>
          <w:color w:val="auto"/>
        </w:rPr>
      </w:pPr>
      <w:r>
        <w:rPr>
          <w:rFonts w:ascii="Arial" w:cs="Arial" w:eastAsia="Arial" w:hAnsi="Arial"/>
          <w:sz w:val="20"/>
          <w:szCs w:val="20"/>
          <w:color w:val="auto"/>
        </w:rPr>
        <w:t>developed by the Company’s employees working within the scope of their employment at the time of such development or</w:t>
      </w:r>
    </w:p>
    <w:p>
      <w:pPr>
        <w:spacing w:after="0" w:line="68"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627"/>
        </w:numPr>
        <w:rPr>
          <w:rFonts w:ascii="Arial" w:cs="Arial" w:eastAsia="Arial" w:hAnsi="Arial"/>
          <w:sz w:val="18"/>
          <w:szCs w:val="18"/>
          <w:color w:val="auto"/>
        </w:rPr>
      </w:pPr>
      <w:r>
        <w:rPr>
          <w:rFonts w:ascii="Arial" w:cs="Arial" w:eastAsia="Arial" w:hAnsi="Arial"/>
          <w:sz w:val="20"/>
          <w:szCs w:val="20"/>
          <w:color w:val="auto"/>
        </w:rPr>
        <w:t>developed by agents, consultants, contractors or other Persons who have executed appropriate instruments of assignment in favor of the Company as assignee that have conveyed to the Company ownership of all of its Intellectual Property rights in the Company Proprietary Software; or</w:t>
      </w:r>
    </w:p>
    <w:p>
      <w:pPr>
        <w:spacing w:after="0" w:line="77" w:lineRule="exact"/>
        <w:rPr>
          <w:rFonts w:ascii="Arial" w:cs="Arial" w:eastAsia="Arial" w:hAnsi="Arial"/>
          <w:sz w:val="18"/>
          <w:szCs w:val="18"/>
          <w:color w:val="auto"/>
        </w:rPr>
      </w:pPr>
    </w:p>
    <w:p>
      <w:pPr>
        <w:jc w:val="both"/>
        <w:ind w:left="1000" w:hanging="344"/>
        <w:spacing w:after="0" w:line="250" w:lineRule="auto"/>
        <w:tabs>
          <w:tab w:leader="none" w:pos="1000" w:val="left"/>
        </w:tabs>
        <w:numPr>
          <w:ilvl w:val="0"/>
          <w:numId w:val="627"/>
        </w:numPr>
        <w:rPr>
          <w:rFonts w:ascii="Arial" w:cs="Arial" w:eastAsia="Arial" w:hAnsi="Arial"/>
          <w:sz w:val="18"/>
          <w:szCs w:val="18"/>
          <w:color w:val="auto"/>
        </w:rPr>
      </w:pPr>
      <w:r>
        <w:rPr>
          <w:rFonts w:ascii="Arial" w:cs="Arial" w:eastAsia="Arial" w:hAnsi="Arial"/>
          <w:sz w:val="20"/>
          <w:szCs w:val="20"/>
          <w:color w:val="auto"/>
        </w:rPr>
        <w:t>acquired by the Company in connection with acquisitions in which the Company obtained appropriate representations, warranties and indemnities from the transferring party relating to the title to Intellectual Property rights in the Company Proprietary Software.</w:t>
      </w:r>
    </w:p>
    <w:p>
      <w:pPr>
        <w:spacing w:after="0" w:line="76"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20"/>
          <w:szCs w:val="20"/>
          <w:color w:val="auto"/>
        </w:rPr>
        <w:t>No Group Company has received notice from any third party claiming any right, title or interest in the Company Proprietary Software.</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color w:val="auto"/>
        </w:rPr>
        <w:t>No Group Company has granted rights in the Company Software to any third party.</w:t>
      </w:r>
    </w:p>
    <w:p>
      <w:pPr>
        <w:spacing w:after="0" w:line="131" w:lineRule="exact"/>
        <w:rPr>
          <w:sz w:val="20"/>
          <w:szCs w:val="20"/>
          <w:color w:val="auto"/>
        </w:rPr>
      </w:pPr>
    </w:p>
    <w:p>
      <w:pPr>
        <w:ind w:left="660" w:hanging="652"/>
        <w:spacing w:after="0"/>
        <w:tabs>
          <w:tab w:leader="none" w:pos="660" w:val="left"/>
        </w:tabs>
        <w:numPr>
          <w:ilvl w:val="0"/>
          <w:numId w:val="62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17"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20</w:t>
      </w:r>
      <w:r>
        <w:rPr>
          <w:rFonts w:ascii="Arial" w:cs="Arial" w:eastAsia="Arial" w:hAnsi="Arial"/>
          <w:sz w:val="20"/>
          <w:szCs w:val="20"/>
          <w:color w:val="auto"/>
        </w:rPr>
        <w:t>, no Officer or Director of a Group Company and no relative (</w:t>
      </w:r>
      <w:r>
        <w:rPr>
          <w:rFonts w:ascii="Arial" w:cs="Arial" w:eastAsia="Arial" w:hAnsi="Arial"/>
          <w:sz w:val="20"/>
          <w:szCs w:val="20"/>
          <w:i w:val="1"/>
          <w:iCs w:val="1"/>
          <w:color w:val="auto"/>
        </w:rPr>
        <w:t>Angehöriger</w:t>
      </w:r>
      <w:r>
        <w:rPr>
          <w:rFonts w:ascii="Arial" w:cs="Arial" w:eastAsia="Arial" w:hAnsi="Arial"/>
          <w:sz w:val="20"/>
          <w:szCs w:val="20"/>
          <w:color w:val="auto"/>
        </w:rPr>
        <w:t>) within the meaning of Section 15 of the German Tax Code (</w:t>
      </w:r>
      <w:r>
        <w:rPr>
          <w:rFonts w:ascii="Arial" w:cs="Arial" w:eastAsia="Arial" w:hAnsi="Arial"/>
          <w:sz w:val="20"/>
          <w:szCs w:val="20"/>
          <w:i w:val="1"/>
          <w:iCs w:val="1"/>
          <w:color w:val="auto"/>
        </w:rPr>
        <w:t>Abgabenordnung</w:t>
      </w:r>
      <w:r>
        <w:rPr>
          <w:rFonts w:ascii="Arial" w:cs="Arial" w:eastAsia="Arial" w:hAnsi="Arial"/>
          <w:sz w:val="20"/>
          <w:szCs w:val="20"/>
          <w:color w:val="auto"/>
        </w:rPr>
        <w:t>) of such person, and no entity in which any such person or any of its relatives owns any beneficial interest, (other than a publicly held corporation whose share is traded on a national securities exchange or in the over-the-counter market and less than five percent of the share of which is beneficially owned by all such Officers or Directors and their respective relatives in the aggregate) has entered into any agreement with any Group Company or holds any rights or claims against any Group Company.</w:t>
      </w:r>
    </w:p>
    <w:p>
      <w:pPr>
        <w:spacing w:after="0" w:line="8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20"/>
          <w:szCs w:val="20"/>
          <w:color w:val="auto"/>
        </w:rPr>
        <w:t>Except as set forth on Disclosure Schedule 20, no current or former Officer or Director or employee of a Group Company has any interest in:</w:t>
      </w:r>
    </w:p>
    <w:p>
      <w:pPr>
        <w:spacing w:after="0" w:line="70" w:lineRule="exact"/>
        <w:rPr>
          <w:sz w:val="20"/>
          <w:szCs w:val="20"/>
          <w:color w:val="auto"/>
        </w:rPr>
      </w:pPr>
    </w:p>
    <w:p>
      <w:pPr>
        <w:ind w:left="1000" w:hanging="344"/>
        <w:spacing w:after="0" w:line="260" w:lineRule="auto"/>
        <w:tabs>
          <w:tab w:leader="none" w:pos="1000" w:val="left"/>
        </w:tabs>
        <w:numPr>
          <w:ilvl w:val="0"/>
          <w:numId w:val="629"/>
        </w:numPr>
        <w:rPr>
          <w:rFonts w:ascii="Arial" w:cs="Arial" w:eastAsia="Arial" w:hAnsi="Arial"/>
          <w:sz w:val="18"/>
          <w:szCs w:val="18"/>
          <w:color w:val="auto"/>
        </w:rPr>
      </w:pPr>
      <w:r>
        <w:rPr>
          <w:rFonts w:ascii="Arial" w:cs="Arial" w:eastAsia="Arial" w:hAnsi="Arial"/>
          <w:sz w:val="20"/>
          <w:szCs w:val="20"/>
          <w:color w:val="auto"/>
        </w:rPr>
        <w:t>any contract, arrangement or understanding with, or relating to, a Group Company or the properties or assets of a Group Company;</w:t>
      </w:r>
    </w:p>
    <w:p>
      <w:pPr>
        <w:spacing w:after="0" w:line="68" w:lineRule="exact"/>
        <w:rPr>
          <w:rFonts w:ascii="Arial" w:cs="Arial" w:eastAsia="Arial" w:hAnsi="Arial"/>
          <w:sz w:val="18"/>
          <w:szCs w:val="18"/>
          <w:color w:val="auto"/>
        </w:rPr>
      </w:pPr>
    </w:p>
    <w:p>
      <w:pPr>
        <w:ind w:left="1000" w:hanging="344"/>
        <w:spacing w:after="0" w:line="260" w:lineRule="auto"/>
        <w:tabs>
          <w:tab w:leader="none" w:pos="1000" w:val="left"/>
        </w:tabs>
        <w:numPr>
          <w:ilvl w:val="0"/>
          <w:numId w:val="629"/>
        </w:numPr>
        <w:rPr>
          <w:rFonts w:ascii="Arial" w:cs="Arial" w:eastAsia="Arial" w:hAnsi="Arial"/>
          <w:sz w:val="18"/>
          <w:szCs w:val="18"/>
          <w:color w:val="auto"/>
        </w:rPr>
      </w:pPr>
      <w:r>
        <w:rPr>
          <w:rFonts w:ascii="Arial" w:cs="Arial" w:eastAsia="Arial" w:hAnsi="Arial"/>
          <w:sz w:val="20"/>
          <w:szCs w:val="20"/>
          <w:color w:val="auto"/>
        </w:rPr>
        <w:t>any loan, arrangement, understanding, agreement or contract for or relating to a Group Company or the properties or assets of a Group Company; or</w:t>
      </w:r>
    </w:p>
    <w:p>
      <w:pPr>
        <w:spacing w:after="0" w:line="68" w:lineRule="exact"/>
        <w:rPr>
          <w:rFonts w:ascii="Arial" w:cs="Arial" w:eastAsia="Arial" w:hAnsi="Arial"/>
          <w:sz w:val="18"/>
          <w:szCs w:val="18"/>
          <w:color w:val="auto"/>
        </w:rPr>
      </w:pPr>
    </w:p>
    <w:p>
      <w:pPr>
        <w:ind w:left="1000" w:right="20" w:hanging="344"/>
        <w:spacing w:after="0" w:line="260" w:lineRule="auto"/>
        <w:tabs>
          <w:tab w:leader="none" w:pos="1000" w:val="left"/>
        </w:tabs>
        <w:numPr>
          <w:ilvl w:val="0"/>
          <w:numId w:val="629"/>
        </w:numPr>
        <w:rPr>
          <w:rFonts w:ascii="Arial" w:cs="Arial" w:eastAsia="Arial" w:hAnsi="Arial"/>
          <w:sz w:val="18"/>
          <w:szCs w:val="18"/>
          <w:color w:val="auto"/>
        </w:rPr>
      </w:pPr>
      <w:r>
        <w:rPr>
          <w:rFonts w:ascii="Arial" w:cs="Arial" w:eastAsia="Arial" w:hAnsi="Arial"/>
          <w:sz w:val="20"/>
          <w:szCs w:val="20"/>
          <w:color w:val="auto"/>
        </w:rPr>
        <w:t>any property (real, personal or mixed), tangible or intangible, used or currently intended to be used by a Group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9" w:lineRule="exact"/>
        <w:rPr>
          <w:rFonts w:ascii="Arial" w:cs="Arial" w:eastAsia="Arial" w:hAnsi="Arial"/>
          <w:sz w:val="18"/>
          <w:szCs w:val="18"/>
          <w:color w:val="auto"/>
        </w:rPr>
      </w:pPr>
    </w:p>
    <w:p>
      <w:pPr>
        <w:ind w:left="4880" w:hanging="111"/>
        <w:spacing w:after="0"/>
        <w:tabs>
          <w:tab w:leader="none" w:pos="488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8" w:right="999" w:bottom="1440" w:gutter="0" w:footer="0" w:header="0"/>
        </w:sectPr>
      </w:pPr>
    </w:p>
    <w:bookmarkStart w:id="544" w:name="page545"/>
    <w:bookmarkEnd w:id="544"/>
    <w:p>
      <w:pPr>
        <w:ind w:left="652" w:hanging="652"/>
        <w:spacing w:after="0"/>
        <w:tabs>
          <w:tab w:leader="none" w:pos="652"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UNDISCLOSED PAYMENTS</w:t>
      </w:r>
    </w:p>
    <w:p>
      <w:pPr>
        <w:spacing w:after="0" w:line="118"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No Group Company nor any of their respective Officers or Directors, nor anyone acting on behalf of any of them, has since October 6, 2016 made or received any payment not correctly categorized and fully disclosed in the relevant Group Company's books and records in connection with or in any way relating to or affecting a Group Company.</w:t>
      </w:r>
    </w:p>
    <w:p>
      <w:pPr>
        <w:spacing w:after="0" w:line="81" w:lineRule="exact"/>
        <w:rPr>
          <w:rFonts w:ascii="Arial" w:cs="Arial" w:eastAsia="Arial" w:hAnsi="Arial"/>
          <w:sz w:val="18"/>
          <w:szCs w:val="18"/>
          <w:b w:val="1"/>
          <w:bCs w:val="1"/>
          <w:color w:val="auto"/>
        </w:rPr>
      </w:pPr>
    </w:p>
    <w:p>
      <w:pPr>
        <w:ind w:left="652" w:hanging="652"/>
        <w:spacing w:after="0"/>
        <w:tabs>
          <w:tab w:leader="none" w:pos="652"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CUSTOMER AND SUPPLIER RELATIONS</w:t>
      </w:r>
    </w:p>
    <w:p>
      <w:pPr>
        <w:spacing w:after="0" w:line="117" w:lineRule="exact"/>
        <w:rPr>
          <w:sz w:val="20"/>
          <w:szCs w:val="20"/>
          <w:color w:val="auto"/>
        </w:rPr>
      </w:pPr>
    </w:p>
    <w:p>
      <w:pPr>
        <w:jc w:val="both"/>
        <w:ind w:left="652" w:hanging="647"/>
        <w:spacing w:after="0" w:line="282" w:lineRule="auto"/>
        <w:tabs>
          <w:tab w:leader="none" w:pos="631"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u w:val="single" w:color="auto"/>
          <w:color w:val="auto"/>
        </w:rPr>
        <w:t xml:space="preserve">Disclosure Schedule 22 </w:t>
      </w:r>
      <w:r>
        <w:rPr>
          <w:rFonts w:ascii="Arial" w:cs="Arial" w:eastAsia="Arial" w:hAnsi="Arial"/>
          <w:sz w:val="18"/>
          <w:szCs w:val="18"/>
          <w:color w:val="auto"/>
        </w:rPr>
        <w:t>contains a true, correct and complete list of (i) the names and addresses of those Customers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which a Group Company made sales of more than €100,000 during the twelve (12) month period ended on the Locked Box Date and (ii) the names of the Suppliers, and the amount of sales to or purchases from each such Customer or Supplier during the twelve (12) month period ended on the Locked Box Date.</w:t>
      </w:r>
    </w:p>
    <w:p>
      <w:pPr>
        <w:spacing w:after="0" w:line="53" w:lineRule="exact"/>
        <w:rPr>
          <w:sz w:val="20"/>
          <w:szCs w:val="20"/>
          <w:color w:val="auto"/>
        </w:rPr>
      </w:pPr>
    </w:p>
    <w:p>
      <w:pPr>
        <w:jc w:val="both"/>
        <w:ind w:left="652" w:hanging="647"/>
        <w:spacing w:after="0" w:line="291" w:lineRule="auto"/>
        <w:tabs>
          <w:tab w:leader="none" w:pos="631"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Each Group Company maintains good relations with each of its Customers and Suppliers and, to the Knowledge of the Seller and each Group Company, no event other than possibly the COVID-19 Pandemic has occurred that could materially and adversely affect the relations of any Group Company with any Customer or Supplier.</w:t>
      </w:r>
    </w:p>
    <w:p>
      <w:pPr>
        <w:spacing w:after="0" w:line="44" w:lineRule="exact"/>
        <w:rPr>
          <w:sz w:val="20"/>
          <w:szCs w:val="20"/>
          <w:color w:val="auto"/>
        </w:rPr>
      </w:pPr>
    </w:p>
    <w:p>
      <w:pPr>
        <w:jc w:val="both"/>
        <w:ind w:left="652" w:hanging="647"/>
        <w:spacing w:after="0" w:line="246" w:lineRule="auto"/>
        <w:tabs>
          <w:tab w:leader="none" w:pos="631"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20"/>
          <w:szCs w:val="20"/>
          <w:color w:val="auto"/>
        </w:rPr>
        <w:t>Except as set forth on Disclosure Schedule 22, no Customer or Supplier has during the last twelve (12) months cancelled, terminated or, to the Knowledge of the Seller and each Group Company, made any threat to cancel or otherwise terminate any of its contracts with a Group Company or to decrease its usage or supply of a Group Company's services or products of the Business.</w:t>
      </w:r>
    </w:p>
    <w:p>
      <w:pPr>
        <w:spacing w:after="0" w:line="83"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20"/>
          <w:szCs w:val="20"/>
          <w:color w:val="auto"/>
        </w:rPr>
        <w:t>The Seller and each Company Group has no Knowledge to the effect that any current Customer or Supplier may terminate or materially alter its business relations with a Group Company, either as a result of the transactions contemplated hereby or otherwise, other than possibly the COVID-19 Pandemic.</w:t>
      </w:r>
    </w:p>
    <w:p>
      <w:pPr>
        <w:spacing w:after="0" w:line="78" w:lineRule="exact"/>
        <w:rPr>
          <w:sz w:val="20"/>
          <w:szCs w:val="20"/>
          <w:color w:val="auto"/>
        </w:rPr>
      </w:pPr>
    </w:p>
    <w:p>
      <w:pPr>
        <w:ind w:left="652" w:hanging="652"/>
        <w:spacing w:after="0"/>
        <w:tabs>
          <w:tab w:leader="none" w:pos="652"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ANTITRUST</w:t>
      </w:r>
    </w:p>
    <w:p>
      <w:pPr>
        <w:spacing w:after="0" w:line="117" w:lineRule="exact"/>
        <w:rPr>
          <w:sz w:val="20"/>
          <w:szCs w:val="20"/>
          <w:color w:val="auto"/>
        </w:rPr>
      </w:pPr>
    </w:p>
    <w:p>
      <w:pPr>
        <w:jc w:val="both"/>
        <w:ind w:left="652" w:hanging="661"/>
        <w:spacing w:after="0" w:line="291" w:lineRule="auto"/>
        <w:tabs>
          <w:tab w:leader="none" w:pos="631"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No Group Company is engaged in any agreement, arrangement, practice or conduct which amounts to an infringement of the Antitrust Law of any jurisdiction in which a Group Company conducts business and no Officers or Director is engaged in any activity which would be an offence or infringement under any such Antitrust Law.</w:t>
      </w:r>
    </w:p>
    <w:p>
      <w:pPr>
        <w:spacing w:after="0" w:line="44" w:lineRule="exact"/>
        <w:rPr>
          <w:sz w:val="20"/>
          <w:szCs w:val="20"/>
          <w:color w:val="auto"/>
        </w:rPr>
      </w:pPr>
    </w:p>
    <w:p>
      <w:pPr>
        <w:jc w:val="both"/>
        <w:ind w:left="652" w:hanging="661"/>
        <w:spacing w:after="0" w:line="250" w:lineRule="auto"/>
        <w:tabs>
          <w:tab w:leader="none" w:pos="631"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20"/>
          <w:szCs w:val="20"/>
          <w:color w:val="auto"/>
        </w:rPr>
        <w:t>No Group Company is the subject of any investigation, inquiry or proceedings by any relevant government body, agency or authority in connection with any actual or alleged infringement of the Antitrust Law of any jurisdiction in which a Group Company conducts business.</w:t>
      </w:r>
    </w:p>
    <w:p>
      <w:pPr>
        <w:spacing w:after="0" w:line="78" w:lineRule="exact"/>
        <w:rPr>
          <w:sz w:val="20"/>
          <w:szCs w:val="20"/>
          <w:color w:val="auto"/>
        </w:rPr>
      </w:pPr>
    </w:p>
    <w:p>
      <w:pPr>
        <w:jc w:val="both"/>
        <w:ind w:left="652" w:hanging="661"/>
        <w:spacing w:after="0" w:line="260" w:lineRule="auto"/>
        <w:tabs>
          <w:tab w:leader="none" w:pos="631"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20"/>
          <w:szCs w:val="20"/>
          <w:color w:val="auto"/>
        </w:rPr>
        <w:t>No such investigation, inquiry or proceedings have been threatened or are pending and there are no circumstances likely to give rise to any such investigation, inquiry or proceedings.</w:t>
      </w:r>
    </w:p>
    <w:p>
      <w:pPr>
        <w:spacing w:after="0" w:line="69" w:lineRule="exact"/>
        <w:rPr>
          <w:sz w:val="20"/>
          <w:szCs w:val="20"/>
          <w:color w:val="auto"/>
        </w:rPr>
      </w:pPr>
    </w:p>
    <w:p>
      <w:pPr>
        <w:jc w:val="both"/>
        <w:ind w:left="652" w:hanging="661"/>
        <w:spacing w:after="0" w:line="291" w:lineRule="auto"/>
        <w:tabs>
          <w:tab w:leader="none" w:pos="631"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No Group Company is affected by any existing or pending decisions, judgments, orders or rulings of any relevant government body, agency or authority responsible for enforcing the Antitrust Law of any jurisdiction and no Group Company have given any undertakings or commitments to such bodies which affect the conduct of the Business.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45" w:name="page546"/>
    <w:bookmarkEnd w:id="545"/>
    <w:p>
      <w:pPr>
        <w:ind w:left="652" w:hanging="652"/>
        <w:spacing w:after="0"/>
        <w:tabs>
          <w:tab w:leader="none" w:pos="652" w:val="left"/>
        </w:tabs>
        <w:numPr>
          <w:ilvl w:val="0"/>
          <w:numId w:val="632"/>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ACCOUNTS RECEIVABLE</w:t>
      </w:r>
    </w:p>
    <w:p>
      <w:pPr>
        <w:spacing w:after="0" w:line="113" w:lineRule="exact"/>
        <w:rPr>
          <w:sz w:val="20"/>
          <w:szCs w:val="20"/>
          <w:color w:val="auto"/>
        </w:rPr>
      </w:pPr>
    </w:p>
    <w:p>
      <w:pPr>
        <w:jc w:val="both"/>
        <w:ind w:left="652" w:hanging="647"/>
        <w:spacing w:after="0" w:line="274" w:lineRule="auto"/>
        <w:tabs>
          <w:tab w:leader="none" w:pos="631"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color w:val="auto"/>
        </w:rPr>
        <w:t xml:space="preserve">Except as shown in </w:t>
      </w:r>
      <w:r>
        <w:rPr>
          <w:rFonts w:ascii="Arial" w:cs="Arial" w:eastAsia="Arial" w:hAnsi="Arial"/>
          <w:sz w:val="18"/>
          <w:szCs w:val="18"/>
          <w:u w:val="single" w:color="auto"/>
          <w:color w:val="auto"/>
        </w:rPr>
        <w:t>Disclosure Schedule 24.1</w:t>
      </w:r>
      <w:r>
        <w:rPr>
          <w:rFonts w:ascii="Arial" w:cs="Arial" w:eastAsia="Arial" w:hAnsi="Arial"/>
          <w:sz w:val="18"/>
          <w:szCs w:val="18"/>
          <w:color w:val="auto"/>
        </w:rPr>
        <w:t>, all notes receivable and notes payable (the “</w:t>
      </w:r>
      <w:r>
        <w:rPr>
          <w:rFonts w:ascii="Arial" w:cs="Arial" w:eastAsia="Arial" w:hAnsi="Arial"/>
          <w:sz w:val="18"/>
          <w:szCs w:val="18"/>
          <w:b w:val="1"/>
          <w:bCs w:val="1"/>
          <w:color w:val="auto"/>
        </w:rPr>
        <w:t>Affiliate Loans</w:t>
      </w:r>
      <w:r>
        <w:rPr>
          <w:rFonts w:ascii="Arial" w:cs="Arial" w:eastAsia="Arial" w:hAnsi="Arial"/>
          <w:sz w:val="18"/>
          <w:szCs w:val="18"/>
          <w:color w:val="auto"/>
        </w:rPr>
        <w:t xml:space="preserve">”) of the Group Companies owing by or to any Officer or Director, employee or Affiliate of a Group Company or by or to the Seller or a Shareholder have been paid in full, settled by way of capital contribution in kind, cancelled or otherwise discharged prior to the date hereof or shall have been paid in full, settled by way of capital contribution in kind, cancelled or otherwise discharged prior to or as of the Closing Date. </w:t>
      </w:r>
      <w:r>
        <w:rPr>
          <w:rFonts w:ascii="Arial" w:cs="Arial" w:eastAsia="Arial" w:hAnsi="Arial"/>
          <w:sz w:val="18"/>
          <w:szCs w:val="18"/>
          <w:u w:val="single" w:color="auto"/>
          <w:color w:val="auto"/>
        </w:rPr>
        <w:t>Disclosure Schedule 24.1</w:t>
      </w:r>
      <w:r>
        <w:rPr>
          <w:rFonts w:ascii="Arial" w:cs="Arial" w:eastAsia="Arial" w:hAnsi="Arial"/>
          <w:sz w:val="18"/>
          <w:szCs w:val="18"/>
          <w:color w:val="auto"/>
        </w:rPr>
        <w:t xml:space="preserve"> sets forth a true, correct and complete list of all Affiliate Loans and the outstanding balance and applicable interest payments under each Affiliate Loan as of the date hereof. For the avoidance of doubt, amounts in salary or ancillary benefits to employees of a Group Company under the relevant employment agreements are not deemed Affiliate Loans.</w:t>
      </w:r>
    </w:p>
    <w:p>
      <w:pPr>
        <w:spacing w:after="0" w:line="58" w:lineRule="exact"/>
        <w:rPr>
          <w:sz w:val="20"/>
          <w:szCs w:val="20"/>
          <w:color w:val="auto"/>
        </w:rPr>
      </w:pPr>
    </w:p>
    <w:p>
      <w:pPr>
        <w:jc w:val="both"/>
        <w:ind w:left="652" w:right="20"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20"/>
          <w:szCs w:val="20"/>
          <w:color w:val="auto"/>
        </w:rPr>
        <w:t>The Seller has delivered to the Purchaser a true, correct and complete schedule of the Receivables as of Locked Box Date showing the amount of each Receivable and an aging of amounts due thereunder, which schedule is true, correct and complete as of that date.</w:t>
      </w:r>
    </w:p>
    <w:p>
      <w:pPr>
        <w:spacing w:after="0" w:line="78" w:lineRule="exact"/>
        <w:rPr>
          <w:sz w:val="20"/>
          <w:szCs w:val="20"/>
          <w:color w:val="auto"/>
        </w:rPr>
      </w:pPr>
    </w:p>
    <w:p>
      <w:pPr>
        <w:jc w:val="both"/>
        <w:ind w:left="652" w:hanging="647"/>
        <w:spacing w:after="0" w:line="244" w:lineRule="auto"/>
        <w:tabs>
          <w:tab w:leader="none" w:pos="631"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24.3</w:t>
      </w:r>
      <w:r>
        <w:rPr>
          <w:rFonts w:ascii="Arial" w:cs="Arial" w:eastAsia="Arial" w:hAnsi="Arial"/>
          <w:sz w:val="20"/>
          <w:szCs w:val="20"/>
          <w:color w:val="auto"/>
        </w:rPr>
        <w:t>, to the Knowledge of the Seller and each Group Company, the debtors to which the Receivables relate are not in or subject to a bankruptcy or insolvency proceeding and none of the Receivables has been made subject to seizing (</w:t>
      </w:r>
      <w:r>
        <w:rPr>
          <w:rFonts w:ascii="Arial" w:cs="Arial" w:eastAsia="Arial" w:hAnsi="Arial"/>
          <w:sz w:val="20"/>
          <w:szCs w:val="20"/>
          <w:i w:val="1"/>
          <w:iCs w:val="1"/>
          <w:color w:val="auto"/>
        </w:rPr>
        <w:t>Pfändung</w:t>
      </w:r>
      <w:r>
        <w:rPr>
          <w:rFonts w:ascii="Arial" w:cs="Arial" w:eastAsia="Arial" w:hAnsi="Arial"/>
          <w:sz w:val="20"/>
          <w:szCs w:val="20"/>
          <w:color w:val="auto"/>
        </w:rPr>
        <w:t>) or an assignment for the benefit of creditors. Except as set forth on Disclosure Schedule 24.3, all such Receivables are current and there are no disputes regarding the collectibility of any such Receivables.</w:t>
      </w:r>
    </w:p>
    <w:p>
      <w:pPr>
        <w:spacing w:after="0" w:line="86" w:lineRule="exact"/>
        <w:rPr>
          <w:sz w:val="20"/>
          <w:szCs w:val="20"/>
          <w:color w:val="auto"/>
        </w:rPr>
      </w:pPr>
    </w:p>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20"/>
          <w:szCs w:val="20"/>
          <w:color w:val="auto"/>
        </w:rPr>
        <w:t>Except as set forth on Disclosure Schedule 24.3, all receivables reflected in the Financial Statements as of the Locked Box Date (net of any reserves shown thereon)</w:t>
      </w:r>
    </w:p>
    <w:p>
      <w:pPr>
        <w:spacing w:after="0" w:line="70" w:lineRule="exact"/>
        <w:rPr>
          <w:sz w:val="20"/>
          <w:szCs w:val="20"/>
          <w:color w:val="auto"/>
        </w:rPr>
      </w:pPr>
    </w:p>
    <w:p>
      <w:pPr>
        <w:ind w:left="992" w:hanging="344"/>
        <w:spacing w:after="0"/>
        <w:tabs>
          <w:tab w:leader="none" w:pos="992" w:val="left"/>
        </w:tabs>
        <w:numPr>
          <w:ilvl w:val="0"/>
          <w:numId w:val="633"/>
        </w:numPr>
        <w:rPr>
          <w:rFonts w:ascii="Arial" w:cs="Arial" w:eastAsia="Arial" w:hAnsi="Arial"/>
          <w:sz w:val="17"/>
          <w:szCs w:val="17"/>
          <w:color w:val="auto"/>
        </w:rPr>
      </w:pPr>
      <w:r>
        <w:rPr>
          <w:rFonts w:ascii="Arial" w:cs="Arial" w:eastAsia="Arial" w:hAnsi="Arial"/>
          <w:sz w:val="19"/>
          <w:szCs w:val="19"/>
          <w:color w:val="auto"/>
        </w:rPr>
        <w:t>will be valid, existing and collectible in a manner consistent with the Company Group’s past practices,</w:t>
      </w:r>
    </w:p>
    <w:p>
      <w:pPr>
        <w:spacing w:after="0" w:line="119" w:lineRule="exact"/>
        <w:rPr>
          <w:rFonts w:ascii="Arial" w:cs="Arial" w:eastAsia="Arial" w:hAnsi="Arial"/>
          <w:sz w:val="17"/>
          <w:szCs w:val="17"/>
          <w:color w:val="auto"/>
        </w:rPr>
      </w:pPr>
    </w:p>
    <w:p>
      <w:pPr>
        <w:ind w:left="992" w:hanging="344"/>
        <w:spacing w:after="0" w:line="260" w:lineRule="auto"/>
        <w:tabs>
          <w:tab w:leader="none" w:pos="992" w:val="left"/>
        </w:tabs>
        <w:numPr>
          <w:ilvl w:val="0"/>
          <w:numId w:val="633"/>
        </w:numPr>
        <w:rPr>
          <w:rFonts w:ascii="Arial" w:cs="Arial" w:eastAsia="Arial" w:hAnsi="Arial"/>
          <w:sz w:val="18"/>
          <w:szCs w:val="18"/>
          <w:color w:val="auto"/>
        </w:rPr>
      </w:pPr>
      <w:r>
        <w:rPr>
          <w:rFonts w:ascii="Arial" w:cs="Arial" w:eastAsia="Arial" w:hAnsi="Arial"/>
          <w:sz w:val="20"/>
          <w:szCs w:val="20"/>
          <w:color w:val="auto"/>
        </w:rPr>
        <w:t>represent monies (including VAT) due for goods sold and delivered or services rendered in the Ordinary Course, and</w:t>
      </w:r>
    </w:p>
    <w:p>
      <w:pPr>
        <w:spacing w:after="0" w:line="68" w:lineRule="exact"/>
        <w:rPr>
          <w:rFonts w:ascii="Arial" w:cs="Arial" w:eastAsia="Arial" w:hAnsi="Arial"/>
          <w:sz w:val="18"/>
          <w:szCs w:val="18"/>
          <w:color w:val="auto"/>
        </w:rPr>
      </w:pPr>
    </w:p>
    <w:p>
      <w:pPr>
        <w:ind w:left="992" w:hanging="344"/>
        <w:spacing w:after="0" w:line="260" w:lineRule="auto"/>
        <w:tabs>
          <w:tab w:leader="none" w:pos="992" w:val="left"/>
        </w:tabs>
        <w:numPr>
          <w:ilvl w:val="0"/>
          <w:numId w:val="633"/>
        </w:numPr>
        <w:rPr>
          <w:rFonts w:ascii="Arial" w:cs="Arial" w:eastAsia="Arial" w:hAnsi="Arial"/>
          <w:sz w:val="18"/>
          <w:szCs w:val="18"/>
          <w:color w:val="auto"/>
        </w:rPr>
      </w:pPr>
      <w:r>
        <w:rPr>
          <w:rFonts w:ascii="Arial" w:cs="Arial" w:eastAsia="Arial" w:hAnsi="Arial"/>
          <w:sz w:val="20"/>
          <w:szCs w:val="20"/>
          <w:color w:val="auto"/>
        </w:rPr>
        <w:t>will not be subject to any refund or adjustment or any defence, right of set-off, assignment, restriction, security interest or other Lien. No Group Company has factored any of its receivables.</w:t>
      </w:r>
    </w:p>
    <w:p>
      <w:pPr>
        <w:spacing w:after="0" w:line="67"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20"/>
          <w:szCs w:val="20"/>
          <w:color w:val="auto"/>
        </w:rPr>
        <w:t>The accounts payable of the Group Companies reflected on the Balance Sheets as of the Locked Box Date and that will be reflected in the Financial Statements as of the Locked Box Date arose or will arise from bona fide transactions in the Ordinary Course.</w:t>
      </w:r>
    </w:p>
    <w:p>
      <w:pPr>
        <w:spacing w:after="0" w:line="78" w:lineRule="exact"/>
        <w:rPr>
          <w:sz w:val="20"/>
          <w:szCs w:val="20"/>
          <w:color w:val="auto"/>
        </w:rPr>
      </w:pPr>
    </w:p>
    <w:p>
      <w:pPr>
        <w:ind w:left="652" w:hanging="652"/>
        <w:spacing w:after="0"/>
        <w:tabs>
          <w:tab w:leader="none" w:pos="652"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LICENCES</w:t>
      </w:r>
    </w:p>
    <w:p>
      <w:pPr>
        <w:spacing w:after="0" w:line="117" w:lineRule="exact"/>
        <w:rPr>
          <w:sz w:val="20"/>
          <w:szCs w:val="20"/>
          <w:color w:val="auto"/>
        </w:rPr>
      </w:pPr>
    </w:p>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20"/>
          <w:szCs w:val="20"/>
          <w:u w:val="single" w:color="auto"/>
          <w:color w:val="auto"/>
        </w:rPr>
        <w:t xml:space="preserve">Disclosure Schedule 25 </w:t>
      </w:r>
      <w:r>
        <w:rPr>
          <w:rFonts w:ascii="Arial" w:cs="Arial" w:eastAsia="Arial" w:hAnsi="Arial"/>
          <w:sz w:val="20"/>
          <w:szCs w:val="20"/>
          <w:color w:val="auto"/>
        </w:rPr>
        <w:t>is a true, correct and complete list of all Licenses held by each Group Company material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Business.</w:t>
      </w:r>
    </w:p>
    <w:p>
      <w:pPr>
        <w:spacing w:after="0" w:line="69" w:lineRule="exact"/>
        <w:rPr>
          <w:sz w:val="20"/>
          <w:szCs w:val="20"/>
          <w:color w:val="auto"/>
        </w:rPr>
      </w:pPr>
    </w:p>
    <w:p>
      <w:pPr>
        <w:jc w:val="both"/>
        <w:ind w:left="652" w:hanging="647"/>
        <w:spacing w:after="0" w:line="260" w:lineRule="auto"/>
        <w:tabs>
          <w:tab w:leader="none" w:pos="631"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20"/>
          <w:szCs w:val="20"/>
          <w:color w:val="auto"/>
        </w:rPr>
        <w:t>The Group Companies own or possess all Licenses that are necessary to enable it to carry on the Business. All such Licenses are valid, binding and in full force and effect.</w:t>
      </w:r>
    </w:p>
    <w:p>
      <w:pPr>
        <w:spacing w:after="0" w:line="69" w:lineRule="exact"/>
        <w:rPr>
          <w:sz w:val="20"/>
          <w:szCs w:val="20"/>
          <w:color w:val="auto"/>
        </w:rPr>
      </w:pPr>
    </w:p>
    <w:p>
      <w:pPr>
        <w:jc w:val="both"/>
        <w:ind w:left="652" w:right="20"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20"/>
          <w:szCs w:val="20"/>
          <w:color w:val="auto"/>
        </w:rPr>
        <w:t>The execution, delivery and performance hereof and the consummation of the transactions contemplated hereby shall not adversely affect any such License, or require consent from, or notice to, any Governmental Entity with the exception of those mentioned in Clause 6.6.3 of the Agreement.</w:t>
      </w:r>
    </w:p>
    <w:p>
      <w:pPr>
        <w:spacing w:after="0" w:line="78" w:lineRule="exact"/>
        <w:rPr>
          <w:sz w:val="20"/>
          <w:szCs w:val="20"/>
          <w:color w:val="auto"/>
        </w:rPr>
      </w:pPr>
    </w:p>
    <w:p>
      <w:pPr>
        <w:jc w:val="both"/>
        <w:ind w:left="652"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20"/>
          <w:szCs w:val="20"/>
          <w:color w:val="auto"/>
        </w:rPr>
        <w:t>The Company has taken all necessary action to maintain each License. No loss or expiration of any License is threatened, pending, or to the knowledge of the Seller and the Shareholders reasonably foreseeable (other than expiration upon the end of any term).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46" w:name="page547"/>
    <w:bookmarkEnd w:id="546"/>
    <w:p>
      <w:pPr>
        <w:jc w:val="both"/>
        <w:ind w:left="660" w:right="2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20"/>
          <w:szCs w:val="20"/>
          <w:color w:val="auto"/>
        </w:rPr>
        <w:t>To the Knowledge of the Seller and each Group Company, each independent contractor listed on Disclosure Schedule 14 has the requisite License required to provide the services such independent contractor provides to the Company Group.</w:t>
      </w:r>
    </w:p>
    <w:p>
      <w:pPr>
        <w:spacing w:after="0" w:line="78" w:lineRule="exact"/>
        <w:rPr>
          <w:sz w:val="20"/>
          <w:szCs w:val="20"/>
          <w:color w:val="auto"/>
        </w:rPr>
      </w:pPr>
    </w:p>
    <w:p>
      <w:pPr>
        <w:ind w:left="660" w:hanging="652"/>
        <w:spacing w:after="0"/>
        <w:tabs>
          <w:tab w:leader="none" w:pos="660"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ETHICAL PRACTICES</w:t>
      </w:r>
    </w:p>
    <w:p>
      <w:pPr>
        <w:spacing w:after="0" w:line="118" w:lineRule="exact"/>
        <w:rPr>
          <w:rFonts w:ascii="Arial" w:cs="Arial" w:eastAsia="Arial" w:hAnsi="Arial"/>
          <w:sz w:val="18"/>
          <w:szCs w:val="18"/>
          <w:b w:val="1"/>
          <w:bCs w:val="1"/>
          <w:color w:val="auto"/>
        </w:rPr>
      </w:pPr>
    </w:p>
    <w:p>
      <w:pPr>
        <w:jc w:val="both"/>
        <w:ind w:left="660" w:right="20"/>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Since October 6, 2016, and to the Knowledge of Seller at all times past no Group Company nor any representative thereof has offered or given, and the Seller and each Group Company has no Knowledge of any Person that has offered or given on its behalf or for furtherance of the selling of products of a Group Company, anything of value to:</w:t>
      </w:r>
    </w:p>
    <w:p>
      <w:pPr>
        <w:spacing w:after="0" w:line="43" w:lineRule="exact"/>
        <w:rPr>
          <w:rFonts w:ascii="Arial" w:cs="Arial" w:eastAsia="Arial" w:hAnsi="Arial"/>
          <w:sz w:val="18"/>
          <w:szCs w:val="18"/>
          <w:b w:val="1"/>
          <w:bCs w:val="1"/>
          <w:color w:val="auto"/>
        </w:rPr>
      </w:pPr>
    </w:p>
    <w:p>
      <w:pPr>
        <w:ind w:left="1000" w:hanging="344"/>
        <w:spacing w:after="0"/>
        <w:tabs>
          <w:tab w:leader="none" w:pos="1000" w:val="left"/>
        </w:tabs>
        <w:numPr>
          <w:ilvl w:val="1"/>
          <w:numId w:val="635"/>
        </w:numPr>
        <w:rPr>
          <w:rFonts w:ascii="Arial" w:cs="Arial" w:eastAsia="Arial" w:hAnsi="Arial"/>
          <w:sz w:val="16"/>
          <w:szCs w:val="16"/>
          <w:color w:val="auto"/>
        </w:rPr>
      </w:pPr>
      <w:r>
        <w:rPr>
          <w:rFonts w:ascii="Arial" w:cs="Arial" w:eastAsia="Arial" w:hAnsi="Arial"/>
          <w:sz w:val="18"/>
          <w:szCs w:val="18"/>
          <w:color w:val="auto"/>
        </w:rPr>
        <w:t>any official of a Governmental Entity, any political party or official thereof or any candidate for political office;</w:t>
      </w:r>
    </w:p>
    <w:p>
      <w:pPr>
        <w:spacing w:after="0" w:line="130" w:lineRule="exact"/>
        <w:rPr>
          <w:rFonts w:ascii="Arial" w:cs="Arial" w:eastAsia="Arial" w:hAnsi="Arial"/>
          <w:sz w:val="16"/>
          <w:szCs w:val="16"/>
          <w:color w:val="auto"/>
        </w:rPr>
      </w:pPr>
    </w:p>
    <w:p>
      <w:pPr>
        <w:ind w:left="1000" w:hanging="344"/>
        <w:spacing w:after="0"/>
        <w:tabs>
          <w:tab w:leader="none" w:pos="1000" w:val="left"/>
        </w:tabs>
        <w:numPr>
          <w:ilvl w:val="1"/>
          <w:numId w:val="635"/>
        </w:numPr>
        <w:rPr>
          <w:rFonts w:ascii="Arial" w:cs="Arial" w:eastAsia="Arial" w:hAnsi="Arial"/>
          <w:sz w:val="18"/>
          <w:szCs w:val="18"/>
          <w:color w:val="auto"/>
        </w:rPr>
      </w:pPr>
      <w:r>
        <w:rPr>
          <w:rFonts w:ascii="Arial" w:cs="Arial" w:eastAsia="Arial" w:hAnsi="Arial"/>
          <w:sz w:val="20"/>
          <w:szCs w:val="20"/>
          <w:color w:val="auto"/>
        </w:rPr>
        <w:t>any customer or member of any Governmental Entity; or</w:t>
      </w:r>
    </w:p>
    <w:p>
      <w:pPr>
        <w:spacing w:after="0" w:line="107" w:lineRule="exact"/>
        <w:rPr>
          <w:rFonts w:ascii="Arial" w:cs="Arial" w:eastAsia="Arial" w:hAnsi="Arial"/>
          <w:sz w:val="18"/>
          <w:szCs w:val="18"/>
          <w:color w:val="auto"/>
        </w:rPr>
      </w:pPr>
    </w:p>
    <w:p>
      <w:pPr>
        <w:ind w:left="1000" w:hanging="344"/>
        <w:spacing w:after="0"/>
        <w:tabs>
          <w:tab w:leader="none" w:pos="1000" w:val="left"/>
        </w:tabs>
        <w:numPr>
          <w:ilvl w:val="1"/>
          <w:numId w:val="635"/>
        </w:numPr>
        <w:rPr>
          <w:rFonts w:ascii="Arial" w:cs="Arial" w:eastAsia="Arial" w:hAnsi="Arial"/>
          <w:sz w:val="18"/>
          <w:szCs w:val="18"/>
          <w:color w:val="auto"/>
        </w:rPr>
      </w:pPr>
      <w:r>
        <w:rPr>
          <w:rFonts w:ascii="Arial" w:cs="Arial" w:eastAsia="Arial" w:hAnsi="Arial"/>
          <w:sz w:val="20"/>
          <w:szCs w:val="20"/>
          <w:color w:val="auto"/>
        </w:rPr>
        <w:t>any other Person,</w:t>
      </w:r>
    </w:p>
    <w:p>
      <w:pPr>
        <w:spacing w:after="0" w:line="108"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0"/>
          <w:szCs w:val="20"/>
          <w:color w:val="auto"/>
        </w:rPr>
        <w:t>in any such case while knowing or having reason to know that all or a portion of such money or thing of value may be offered, given or promised, directly or indirectly, to any customer or member of any Governmental Entity or any candidate for political office for the purpose of the following:</w:t>
      </w:r>
    </w:p>
    <w:p>
      <w:pPr>
        <w:spacing w:after="0" w:line="78" w:lineRule="exact"/>
        <w:rPr>
          <w:sz w:val="20"/>
          <w:szCs w:val="20"/>
          <w:color w:val="auto"/>
        </w:rPr>
      </w:pPr>
    </w:p>
    <w:p>
      <w:pPr>
        <w:ind w:left="1480" w:hanging="459"/>
        <w:spacing w:after="0" w:line="260" w:lineRule="auto"/>
        <w:tabs>
          <w:tab w:leader="none" w:pos="1480" w:val="left"/>
        </w:tabs>
        <w:numPr>
          <w:ilvl w:val="1"/>
          <w:numId w:val="636"/>
        </w:numPr>
        <w:rPr>
          <w:rFonts w:ascii="Arial" w:cs="Arial" w:eastAsia="Arial" w:hAnsi="Arial"/>
          <w:sz w:val="18"/>
          <w:szCs w:val="18"/>
          <w:color w:val="auto"/>
        </w:rPr>
      </w:pPr>
      <w:r>
        <w:rPr>
          <w:rFonts w:ascii="Arial" w:cs="Arial" w:eastAsia="Arial" w:hAnsi="Arial"/>
          <w:sz w:val="20"/>
          <w:szCs w:val="20"/>
          <w:color w:val="auto"/>
        </w:rPr>
        <w:t>influencing any action or decision of such Person, in such Person’s official capacity, including a decision to fail to perform such Person’s official function;</w:t>
      </w:r>
    </w:p>
    <w:p>
      <w:pPr>
        <w:spacing w:after="0" w:line="68" w:lineRule="exact"/>
        <w:rPr>
          <w:rFonts w:ascii="Arial" w:cs="Arial" w:eastAsia="Arial" w:hAnsi="Arial"/>
          <w:sz w:val="18"/>
          <w:szCs w:val="18"/>
          <w:color w:val="auto"/>
        </w:rPr>
      </w:pPr>
    </w:p>
    <w:p>
      <w:pPr>
        <w:jc w:val="both"/>
        <w:ind w:left="1480" w:hanging="459"/>
        <w:spacing w:after="0" w:line="250" w:lineRule="auto"/>
        <w:tabs>
          <w:tab w:leader="none" w:pos="1480" w:val="left"/>
        </w:tabs>
        <w:numPr>
          <w:ilvl w:val="1"/>
          <w:numId w:val="636"/>
        </w:numPr>
        <w:rPr>
          <w:rFonts w:ascii="Arial" w:cs="Arial" w:eastAsia="Arial" w:hAnsi="Arial"/>
          <w:sz w:val="18"/>
          <w:szCs w:val="18"/>
          <w:color w:val="auto"/>
        </w:rPr>
      </w:pPr>
      <w:r>
        <w:rPr>
          <w:rFonts w:ascii="Arial" w:cs="Arial" w:eastAsia="Arial" w:hAnsi="Arial"/>
          <w:sz w:val="20"/>
          <w:szCs w:val="20"/>
          <w:color w:val="auto"/>
        </w:rPr>
        <w:t>inducing such Person to use such Person’s influence with any Governmental Entity to affect or influence any act or decision of such Governmental Entity to assist a Group Company in obtaining or retaining business for, with, or directing business to, any Person; or</w:t>
      </w:r>
    </w:p>
    <w:p>
      <w:pPr>
        <w:spacing w:after="0" w:line="77" w:lineRule="exact"/>
        <w:rPr>
          <w:rFonts w:ascii="Arial" w:cs="Arial" w:eastAsia="Arial" w:hAnsi="Arial"/>
          <w:sz w:val="18"/>
          <w:szCs w:val="18"/>
          <w:color w:val="auto"/>
        </w:rPr>
      </w:pPr>
    </w:p>
    <w:p>
      <w:pPr>
        <w:ind w:left="1480" w:hanging="459"/>
        <w:spacing w:after="0" w:line="287" w:lineRule="auto"/>
        <w:tabs>
          <w:tab w:leader="none" w:pos="1480" w:val="left"/>
        </w:tabs>
        <w:numPr>
          <w:ilvl w:val="1"/>
          <w:numId w:val="636"/>
        </w:numPr>
        <w:rPr>
          <w:rFonts w:ascii="Arial" w:cs="Arial" w:eastAsia="Arial" w:hAnsi="Arial"/>
          <w:sz w:val="17"/>
          <w:szCs w:val="17"/>
          <w:color w:val="auto"/>
        </w:rPr>
      </w:pPr>
      <w:r>
        <w:rPr>
          <w:rFonts w:ascii="Arial" w:cs="Arial" w:eastAsia="Arial" w:hAnsi="Arial"/>
          <w:sz w:val="19"/>
          <w:szCs w:val="19"/>
          <w:color w:val="auto"/>
        </w:rPr>
        <w:t>where such payment would constitute a bribe, kickback or illegal or improper payment to assist a Group Company in obtaining or retaining business for, with, or directing business to, any Person.</w:t>
      </w:r>
    </w:p>
    <w:p>
      <w:pPr>
        <w:spacing w:after="0" w:line="42" w:lineRule="exact"/>
        <w:rPr>
          <w:rFonts w:ascii="Arial" w:cs="Arial" w:eastAsia="Arial" w:hAnsi="Arial"/>
          <w:sz w:val="17"/>
          <w:szCs w:val="17"/>
          <w:color w:val="auto"/>
        </w:rPr>
      </w:pPr>
    </w:p>
    <w:p>
      <w:pPr>
        <w:ind w:left="660" w:hanging="652"/>
        <w:spacing w:after="0"/>
        <w:tabs>
          <w:tab w:leader="none" w:pos="660"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color w:val="auto"/>
        </w:rPr>
        <w:t>PRODUCT AND SERVICE WARRANTIES AND GUARANTIES</w:t>
      </w:r>
    </w:p>
    <w:p>
      <w:pPr>
        <w:spacing w:after="0" w:line="11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Disclosure Schedule 27</w:t>
      </w:r>
      <w:r>
        <w:rPr>
          <w:rFonts w:ascii="Arial" w:cs="Arial" w:eastAsia="Arial" w:hAnsi="Arial"/>
          <w:sz w:val="19"/>
          <w:szCs w:val="19"/>
          <w:color w:val="auto"/>
        </w:rPr>
        <w:t>, no Group Company makes any express warranty or guaranty as to goods sold, or services provided by, a Group Company which is (i) outside the Ordinary Course or (ii) for a warranty period of more than two years (each of (i) and (ii) a “</w:t>
      </w:r>
      <w:r>
        <w:rPr>
          <w:rFonts w:ascii="Arial" w:cs="Arial" w:eastAsia="Arial" w:hAnsi="Arial"/>
          <w:sz w:val="19"/>
          <w:szCs w:val="19"/>
          <w:b w:val="1"/>
          <w:bCs w:val="1"/>
          <w:color w:val="auto"/>
        </w:rPr>
        <w:t>Warranty</w:t>
      </w:r>
      <w:r>
        <w:rPr>
          <w:rFonts w:ascii="Arial" w:cs="Arial" w:eastAsia="Arial" w:hAnsi="Arial"/>
          <w:sz w:val="19"/>
          <w:szCs w:val="19"/>
          <w:color w:val="auto"/>
        </w:rPr>
        <w:t>”), and there is no pending or, to the Knowledge of the Seller and each Group Company, threatened claim alleging any breach of any Warranty.</w:t>
      </w:r>
    </w:p>
    <w:p>
      <w:pPr>
        <w:spacing w:after="0" w:line="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color w:val="auto"/>
        </w:rPr>
        <w:t>Except as set forth on Disclosure Schedule 27, no Group Company has exposure to, or liability under, any Warranty</w:t>
      </w:r>
    </w:p>
    <w:p>
      <w:pPr>
        <w:spacing w:after="0" w:line="132" w:lineRule="exact"/>
        <w:rPr>
          <w:sz w:val="20"/>
          <w:szCs w:val="20"/>
          <w:color w:val="auto"/>
        </w:rPr>
      </w:pPr>
    </w:p>
    <w:p>
      <w:pPr>
        <w:ind w:left="1000" w:hanging="344"/>
        <w:spacing w:after="0" w:line="260" w:lineRule="auto"/>
        <w:tabs>
          <w:tab w:leader="none" w:pos="1000" w:val="left"/>
        </w:tabs>
        <w:numPr>
          <w:ilvl w:val="0"/>
          <w:numId w:val="638"/>
        </w:numPr>
        <w:rPr>
          <w:rFonts w:ascii="Arial" w:cs="Arial" w:eastAsia="Arial" w:hAnsi="Arial"/>
          <w:sz w:val="18"/>
          <w:szCs w:val="18"/>
          <w:color w:val="auto"/>
        </w:rPr>
      </w:pPr>
      <w:r>
        <w:rPr>
          <w:rFonts w:ascii="Arial" w:cs="Arial" w:eastAsia="Arial" w:hAnsi="Arial"/>
          <w:sz w:val="20"/>
          <w:szCs w:val="20"/>
          <w:color w:val="auto"/>
        </w:rPr>
        <w:t>beyond that which is typically assumed in the ordinary course of business by Persons engaged in businesses comparable in size and scope of the Group Companies, or</w:t>
      </w:r>
    </w:p>
    <w:p>
      <w:pPr>
        <w:spacing w:after="0" w:line="68" w:lineRule="exact"/>
        <w:rPr>
          <w:rFonts w:ascii="Arial" w:cs="Arial" w:eastAsia="Arial" w:hAnsi="Arial"/>
          <w:sz w:val="18"/>
          <w:szCs w:val="18"/>
          <w:color w:val="auto"/>
        </w:rPr>
      </w:pPr>
    </w:p>
    <w:p>
      <w:pPr>
        <w:ind w:left="1000" w:hanging="344"/>
        <w:spacing w:after="0"/>
        <w:tabs>
          <w:tab w:leader="none" w:pos="1000" w:val="left"/>
        </w:tabs>
        <w:numPr>
          <w:ilvl w:val="0"/>
          <w:numId w:val="638"/>
        </w:numPr>
        <w:rPr>
          <w:rFonts w:ascii="Arial" w:cs="Arial" w:eastAsia="Arial" w:hAnsi="Arial"/>
          <w:sz w:val="18"/>
          <w:szCs w:val="18"/>
          <w:color w:val="auto"/>
        </w:rPr>
      </w:pPr>
      <w:r>
        <w:rPr>
          <w:rFonts w:ascii="Arial" w:cs="Arial" w:eastAsia="Arial" w:hAnsi="Arial"/>
          <w:sz w:val="20"/>
          <w:szCs w:val="20"/>
          <w:color w:val="auto"/>
        </w:rPr>
        <w:t>that would have a Material Adverse Effect on a Group Company or its respective operations.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Copies of the warranties set forth in Disclosure Schedule 27 have been made available to the Purchaser.</w:t>
      </w:r>
    </w:p>
    <w:p>
      <w:pPr>
        <w:spacing w:after="0" w:line="11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20"/>
          <w:szCs w:val="20"/>
          <w:color w:val="auto"/>
        </w:rPr>
        <w:t>Except as set forth on Disclosure Schedule 27, adequate reserves for any expense to be incurred by any Group Company as a result of any Warranty granted prior to the Locked Box Date will be reflected in the Financial Statements as of the Locked Box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47" w:name="page548"/>
    <w:bookmarkEnd w:id="547"/>
    <w:p>
      <w:pPr>
        <w:ind w:left="652" w:hanging="652"/>
        <w:spacing w:after="0"/>
        <w:tabs>
          <w:tab w:leader="none" w:pos="652"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BROKERS, FINDERS AND INVESTMENT BANKERS</w:t>
      </w:r>
    </w:p>
    <w:p>
      <w:pPr>
        <w:spacing w:after="0" w:line="118"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Disclosure Schedule 28</w:t>
      </w:r>
      <w:r>
        <w:rPr>
          <w:rFonts w:ascii="Arial" w:cs="Arial" w:eastAsia="Arial" w:hAnsi="Arial"/>
          <w:sz w:val="20"/>
          <w:szCs w:val="20"/>
          <w:color w:val="auto"/>
        </w:rPr>
        <w:t>, no Group Company, nor the Seller, nor any Officer or Director or employee of a Group Company nor any Affiliate of a Group Company, has employed any broker, finder or investment banker or incurred any liability for any investment banking fees, financial advisory fees, brokerage fees or finders’ fees in connection with the transactions contemplated hereby.</w:t>
      </w:r>
    </w:p>
    <w:p>
      <w:pPr>
        <w:spacing w:after="0" w:line="81" w:lineRule="exact"/>
        <w:rPr>
          <w:rFonts w:ascii="Arial" w:cs="Arial" w:eastAsia="Arial" w:hAnsi="Arial"/>
          <w:sz w:val="18"/>
          <w:szCs w:val="18"/>
          <w:b w:val="1"/>
          <w:bCs w:val="1"/>
          <w:color w:val="auto"/>
        </w:rPr>
      </w:pPr>
    </w:p>
    <w:p>
      <w:pPr>
        <w:ind w:left="652" w:hanging="652"/>
        <w:spacing w:after="0"/>
        <w:tabs>
          <w:tab w:leader="none" w:pos="652"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118" w:lineRule="exact"/>
        <w:rPr>
          <w:rFonts w:ascii="Arial" w:cs="Arial" w:eastAsia="Arial" w:hAnsi="Arial"/>
          <w:sz w:val="18"/>
          <w:szCs w:val="18"/>
          <w:b w:val="1"/>
          <w:bCs w:val="1"/>
          <w:color w:val="auto"/>
        </w:rPr>
      </w:pPr>
    </w:p>
    <w:p>
      <w:pPr>
        <w:ind w:left="652"/>
        <w:spacing w:after="0" w:line="260" w:lineRule="auto"/>
        <w:rPr>
          <w:rFonts w:ascii="Arial" w:cs="Arial" w:eastAsia="Arial" w:hAnsi="Arial"/>
          <w:sz w:val="18"/>
          <w:szCs w:val="18"/>
          <w:b w:val="1"/>
          <w:bCs w:val="1"/>
          <w:color w:val="auto"/>
        </w:rPr>
      </w:pPr>
      <w:r>
        <w:rPr>
          <w:rFonts w:ascii="Arial" w:cs="Arial" w:eastAsia="Arial" w:hAnsi="Arial"/>
          <w:sz w:val="20"/>
          <w:szCs w:val="20"/>
          <w:u w:val="single" w:color="auto"/>
          <w:color w:val="auto"/>
        </w:rPr>
        <w:t>Disclosure Schedule 29</w:t>
      </w:r>
      <w:r>
        <w:rPr>
          <w:rFonts w:ascii="Arial" w:cs="Arial" w:eastAsia="Arial" w:hAnsi="Arial"/>
          <w:sz w:val="20"/>
          <w:szCs w:val="20"/>
          <w:color w:val="auto"/>
        </w:rPr>
        <w:t xml:space="preserve"> sets forth a true, correct and complete list and description of all bank accounts used by any Group Company.</w:t>
      </w:r>
    </w:p>
    <w:p>
      <w:pPr>
        <w:spacing w:after="0" w:line="67" w:lineRule="exact"/>
        <w:rPr>
          <w:rFonts w:ascii="Arial" w:cs="Arial" w:eastAsia="Arial" w:hAnsi="Arial"/>
          <w:sz w:val="18"/>
          <w:szCs w:val="18"/>
          <w:b w:val="1"/>
          <w:bCs w:val="1"/>
          <w:color w:val="auto"/>
        </w:rPr>
      </w:pPr>
    </w:p>
    <w:p>
      <w:pPr>
        <w:ind w:left="652" w:hanging="652"/>
        <w:spacing w:after="0"/>
        <w:tabs>
          <w:tab w:leader="none" w:pos="652"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SELLER OR SHAREHOLDER GUARANTEES</w:t>
      </w:r>
    </w:p>
    <w:p>
      <w:pPr>
        <w:spacing w:after="0" w:line="118" w:lineRule="exact"/>
        <w:rPr>
          <w:rFonts w:ascii="Arial" w:cs="Arial" w:eastAsia="Arial" w:hAnsi="Arial"/>
          <w:sz w:val="18"/>
          <w:szCs w:val="18"/>
          <w:b w:val="1"/>
          <w:bCs w:val="1"/>
          <w:color w:val="auto"/>
        </w:rPr>
      </w:pPr>
    </w:p>
    <w:p>
      <w:pPr>
        <w:ind w:left="652"/>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 xml:space="preserve">Except as otherwise disclosed on </w:t>
      </w:r>
      <w:r>
        <w:rPr>
          <w:rFonts w:ascii="Arial" w:cs="Arial" w:eastAsia="Arial" w:hAnsi="Arial"/>
          <w:sz w:val="19"/>
          <w:szCs w:val="19"/>
          <w:u w:val="single" w:color="auto"/>
          <w:color w:val="auto"/>
        </w:rPr>
        <w:t>Disclosure Schedule 30</w:t>
      </w:r>
      <w:r>
        <w:rPr>
          <w:rFonts w:ascii="Arial" w:cs="Arial" w:eastAsia="Arial" w:hAnsi="Arial"/>
          <w:sz w:val="19"/>
          <w:szCs w:val="19"/>
          <w:color w:val="auto"/>
        </w:rPr>
        <w:t>, the Seller or a Shareholder has not guaranteed any obligations of a Group Company under any guarantee, letter of credit, bid bond or performance bond.</w:t>
      </w:r>
    </w:p>
    <w:p>
      <w:pPr>
        <w:spacing w:after="0" w:line="42" w:lineRule="exact"/>
        <w:rPr>
          <w:rFonts w:ascii="Arial" w:cs="Arial" w:eastAsia="Arial" w:hAnsi="Arial"/>
          <w:sz w:val="18"/>
          <w:szCs w:val="18"/>
          <w:b w:val="1"/>
          <w:bCs w:val="1"/>
          <w:color w:val="auto"/>
        </w:rPr>
      </w:pPr>
    </w:p>
    <w:p>
      <w:pPr>
        <w:ind w:left="652" w:hanging="652"/>
        <w:spacing w:after="0"/>
        <w:tabs>
          <w:tab w:leader="none" w:pos="652"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118"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No representation, warranty or covenant made by the Seller in this Agreement, the Disclosure Schedules or the Appendices or any Seller Ancillary Document contains an untrue statement of a material fact or omits to state a material fact required to be stated herein or therein or is necessary to make the statements contained herein or therein not misleading.</w:t>
      </w:r>
    </w:p>
    <w:p>
      <w:pPr>
        <w:spacing w:after="0" w:line="81" w:lineRule="exact"/>
        <w:rPr>
          <w:rFonts w:ascii="Arial" w:cs="Arial" w:eastAsia="Arial" w:hAnsi="Arial"/>
          <w:sz w:val="18"/>
          <w:szCs w:val="18"/>
          <w:b w:val="1"/>
          <w:bCs w:val="1"/>
          <w:color w:val="auto"/>
        </w:rPr>
      </w:pPr>
    </w:p>
    <w:p>
      <w:pPr>
        <w:ind w:left="652" w:hanging="652"/>
        <w:spacing w:after="0"/>
        <w:tabs>
          <w:tab w:leader="none" w:pos="652"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w:t>
      </w:r>
    </w:p>
    <w:p>
      <w:pPr>
        <w:spacing w:after="0" w:line="117" w:lineRule="exact"/>
        <w:rPr>
          <w:sz w:val="20"/>
          <w:szCs w:val="20"/>
          <w:color w:val="auto"/>
        </w:rPr>
      </w:pPr>
    </w:p>
    <w:p>
      <w:pPr>
        <w:jc w:val="both"/>
        <w:ind w:left="652" w:right="20" w:hanging="647"/>
        <w:spacing w:after="0" w:line="291" w:lineRule="auto"/>
        <w:tabs>
          <w:tab w:leader="none" w:pos="631"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Disclosure Schedule 32.1</w:t>
      </w:r>
      <w:r>
        <w:rPr>
          <w:rFonts w:ascii="Arial" w:cs="Arial" w:eastAsia="Arial" w:hAnsi="Arial"/>
          <w:sz w:val="18"/>
          <w:szCs w:val="18"/>
          <w:color w:val="auto"/>
        </w:rPr>
        <w:t>, the Seller and the Shareholders have the right, power, authority and capacity to execute and deliver this Agreement and each Seller Ancillary Document and to perform their obligations hereunder and thereunder and to consummate the transactions contemplated hereby and thereby.</w:t>
      </w:r>
    </w:p>
    <w:p>
      <w:pPr>
        <w:spacing w:after="0" w:line="44" w:lineRule="exact"/>
        <w:rPr>
          <w:sz w:val="20"/>
          <w:szCs w:val="20"/>
          <w:color w:val="auto"/>
        </w:rPr>
      </w:pPr>
    </w:p>
    <w:p>
      <w:pPr>
        <w:jc w:val="both"/>
        <w:ind w:left="652" w:right="20" w:hanging="647"/>
        <w:spacing w:after="0" w:line="246" w:lineRule="auto"/>
        <w:tabs>
          <w:tab w:leader="none" w:pos="631"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20"/>
          <w:szCs w:val="20"/>
          <w:color w:val="auto"/>
        </w:rPr>
        <w:t>This Agreement has been, and the Seller Ancillary Documents shall be as of the Closing Date, duly executed and delivered by the Seller and the Shareholders, and do or shall, as the case may be, constitute the valid and binding agreements of the Seller and the Shareholders enforceable against the Seller and the Shareholders in accordance with their respective terms.</w:t>
      </w:r>
    </w:p>
    <w:p>
      <w:pPr>
        <w:spacing w:after="0" w:line="83" w:lineRule="exact"/>
        <w:rPr>
          <w:sz w:val="20"/>
          <w:szCs w:val="20"/>
          <w:color w:val="auto"/>
        </w:rPr>
      </w:pPr>
    </w:p>
    <w:p>
      <w:pPr>
        <w:ind w:left="652" w:hanging="652"/>
        <w:spacing w:after="0"/>
        <w:tabs>
          <w:tab w:leader="none" w:pos="652" w:val="left"/>
        </w:tabs>
        <w:numPr>
          <w:ilvl w:val="0"/>
          <w:numId w:val="640"/>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RESTRICTIONS AND CONFLICTS</w:t>
      </w:r>
    </w:p>
    <w:p>
      <w:pPr>
        <w:spacing w:after="0" w:line="118" w:lineRule="exact"/>
        <w:rPr>
          <w:rFonts w:ascii="Arial" w:cs="Arial" w:eastAsia="Arial" w:hAnsi="Arial"/>
          <w:sz w:val="18"/>
          <w:szCs w:val="18"/>
          <w:b w:val="1"/>
          <w:bCs w:val="1"/>
          <w:color w:val="auto"/>
        </w:rPr>
      </w:pPr>
    </w:p>
    <w:p>
      <w:pPr>
        <w:jc w:val="both"/>
        <w:ind w:left="652"/>
        <w:spacing w:after="0" w:line="278" w:lineRule="auto"/>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and the Seller Ancillary Documents, the consummation of the transactions contemplated hereby and thereby and the fulfilment of and compliance with the terms and conditions hereof and thereof do not or shall not, as the case may be, with the passing of time or the giving of notice or both, violate or conflict with, constitute a breach of or default under, result in the loss of any benefit under, permit the acceleration of any obligation under or create in any part the right to terminate, modify or cancel</w:t>
      </w:r>
    </w:p>
    <w:p>
      <w:pPr>
        <w:spacing w:after="0" w:line="56" w:lineRule="exact"/>
        <w:rPr>
          <w:rFonts w:ascii="Arial" w:cs="Arial" w:eastAsia="Arial" w:hAnsi="Arial"/>
          <w:sz w:val="18"/>
          <w:szCs w:val="18"/>
          <w:b w:val="1"/>
          <w:bCs w:val="1"/>
          <w:color w:val="auto"/>
        </w:rPr>
      </w:pPr>
    </w:p>
    <w:p>
      <w:pPr>
        <w:ind w:left="992" w:hanging="344"/>
        <w:spacing w:after="0"/>
        <w:tabs>
          <w:tab w:leader="none" w:pos="992" w:val="left"/>
        </w:tabs>
        <w:numPr>
          <w:ilvl w:val="1"/>
          <w:numId w:val="640"/>
        </w:numPr>
        <w:rPr>
          <w:rFonts w:ascii="Arial" w:cs="Arial" w:eastAsia="Arial" w:hAnsi="Arial"/>
          <w:sz w:val="16"/>
          <w:szCs w:val="16"/>
          <w:color w:val="auto"/>
        </w:rPr>
      </w:pPr>
      <w:r>
        <w:rPr>
          <w:rFonts w:ascii="Arial" w:cs="Arial" w:eastAsia="Arial" w:hAnsi="Arial"/>
          <w:sz w:val="18"/>
          <w:szCs w:val="18"/>
          <w:color w:val="auto"/>
        </w:rPr>
        <w:t>any contract, agreement, permit, franchise, license or other instrument applicable to the Seller or a Shareholder,</w:t>
      </w:r>
    </w:p>
    <w:p>
      <w:pPr>
        <w:spacing w:after="0" w:line="130" w:lineRule="exact"/>
        <w:rPr>
          <w:rFonts w:ascii="Arial" w:cs="Arial" w:eastAsia="Arial" w:hAnsi="Arial"/>
          <w:sz w:val="16"/>
          <w:szCs w:val="16"/>
          <w:color w:val="auto"/>
        </w:rPr>
      </w:pPr>
    </w:p>
    <w:p>
      <w:pPr>
        <w:ind w:left="992" w:hanging="344"/>
        <w:spacing w:after="0" w:line="260" w:lineRule="auto"/>
        <w:tabs>
          <w:tab w:leader="none" w:pos="992" w:val="left"/>
        </w:tabs>
        <w:numPr>
          <w:ilvl w:val="1"/>
          <w:numId w:val="640"/>
        </w:numPr>
        <w:rPr>
          <w:rFonts w:ascii="Arial" w:cs="Arial" w:eastAsia="Arial" w:hAnsi="Arial"/>
          <w:sz w:val="18"/>
          <w:szCs w:val="18"/>
          <w:color w:val="auto"/>
        </w:rPr>
      </w:pPr>
      <w:r>
        <w:rPr>
          <w:rFonts w:ascii="Arial" w:cs="Arial" w:eastAsia="Arial" w:hAnsi="Arial"/>
          <w:sz w:val="20"/>
          <w:szCs w:val="20"/>
          <w:color w:val="auto"/>
        </w:rPr>
        <w:t>any judgment, decree or order of any Governmental Entity to which the Seller or a Shareholder is a party or by which the Seller or a Shareholder or any of its or his respective properties are bound, or</w:t>
      </w:r>
    </w:p>
    <w:p>
      <w:pPr>
        <w:spacing w:after="0" w:line="68" w:lineRule="exact"/>
        <w:rPr>
          <w:rFonts w:ascii="Arial" w:cs="Arial" w:eastAsia="Arial" w:hAnsi="Arial"/>
          <w:sz w:val="18"/>
          <w:szCs w:val="18"/>
          <w:color w:val="auto"/>
        </w:rPr>
      </w:pPr>
    </w:p>
    <w:p>
      <w:pPr>
        <w:ind w:left="992" w:hanging="344"/>
        <w:spacing w:after="0"/>
        <w:tabs>
          <w:tab w:leader="none" w:pos="992" w:val="left"/>
        </w:tabs>
        <w:numPr>
          <w:ilvl w:val="1"/>
          <w:numId w:val="640"/>
        </w:numPr>
        <w:rPr>
          <w:rFonts w:ascii="Arial" w:cs="Arial" w:eastAsia="Arial" w:hAnsi="Arial"/>
          <w:sz w:val="18"/>
          <w:szCs w:val="18"/>
          <w:color w:val="auto"/>
        </w:rPr>
      </w:pPr>
      <w:r>
        <w:rPr>
          <w:rFonts w:ascii="Arial" w:cs="Arial" w:eastAsia="Arial" w:hAnsi="Arial"/>
          <w:sz w:val="20"/>
          <w:szCs w:val="20"/>
          <w:color w:val="auto"/>
        </w:rPr>
        <w:t>any Law or arbitration award applicable to the Seller or a Shareholder.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4872" w:hanging="111"/>
        <w:spacing w:after="0"/>
        <w:tabs>
          <w:tab w:leader="none" w:pos="4872" w:val="left"/>
        </w:tabs>
        <w:numPr>
          <w:ilvl w:val="2"/>
          <w:numId w:val="640"/>
        </w:numPr>
        <w:rPr>
          <w:rFonts w:ascii="Arial" w:cs="Arial" w:eastAsia="Arial" w:hAnsi="Arial"/>
          <w:sz w:val="18"/>
          <w:szCs w:val="18"/>
          <w:color w:val="auto"/>
        </w:rPr>
      </w:pPr>
      <w:r>
        <w:rPr>
          <w:rFonts w:ascii="Arial" w:cs="Arial" w:eastAsia="Arial" w:hAnsi="Arial"/>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48" w:name="page549"/>
    <w:bookmarkEnd w:id="548"/>
    <w:p>
      <w:pPr>
        <w:ind w:left="652" w:hanging="652"/>
        <w:spacing w:after="0"/>
        <w:tabs>
          <w:tab w:leader="none" w:pos="652" w:val="left"/>
        </w:tabs>
        <w:numPr>
          <w:ilvl w:val="0"/>
          <w:numId w:val="641"/>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EQUITY</w:t>
      </w:r>
    </w:p>
    <w:p>
      <w:pPr>
        <w:spacing w:after="0" w:line="117" w:lineRule="exact"/>
        <w:rPr>
          <w:sz w:val="20"/>
          <w:szCs w:val="20"/>
          <w:color w:val="auto"/>
        </w:rPr>
      </w:pPr>
    </w:p>
    <w:p>
      <w:pPr>
        <w:ind w:left="652" w:hanging="647"/>
        <w:spacing w:after="0" w:line="370" w:lineRule="auto"/>
        <w:tabs>
          <w:tab w:leader="none" w:pos="631"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color w:val="auto"/>
        </w:rPr>
        <w:t>Except as set forth on Disclosure Schedule 2.1, the Seller has good and valid title to and beneficial ownership of the number of shares of capital share set forth next to the Seller’s name on Disclosure Schedule 2.1, and such shares are</w:t>
      </w:r>
    </w:p>
    <w:p>
      <w:pPr>
        <w:spacing w:after="0" w:line="1" w:lineRule="exact"/>
        <w:rPr>
          <w:sz w:val="20"/>
          <w:szCs w:val="20"/>
          <w:color w:val="auto"/>
        </w:rPr>
      </w:pPr>
    </w:p>
    <w:p>
      <w:pPr>
        <w:ind w:left="992" w:hanging="344"/>
        <w:spacing w:after="0"/>
        <w:tabs>
          <w:tab w:leader="none" w:pos="992" w:val="left"/>
        </w:tabs>
        <w:numPr>
          <w:ilvl w:val="0"/>
          <w:numId w:val="642"/>
        </w:numPr>
        <w:rPr>
          <w:rFonts w:ascii="Arial" w:cs="Arial" w:eastAsia="Arial" w:hAnsi="Arial"/>
          <w:sz w:val="18"/>
          <w:szCs w:val="18"/>
          <w:color w:val="auto"/>
        </w:rPr>
      </w:pPr>
      <w:r>
        <w:rPr>
          <w:rFonts w:ascii="Arial" w:cs="Arial" w:eastAsia="Arial" w:hAnsi="Arial"/>
          <w:sz w:val="20"/>
          <w:szCs w:val="20"/>
          <w:color w:val="auto"/>
        </w:rPr>
        <w:t>validly issued, fully paid, and non-assessable, and</w:t>
      </w:r>
    </w:p>
    <w:p>
      <w:pPr>
        <w:spacing w:after="0" w:line="107" w:lineRule="exact"/>
        <w:rPr>
          <w:rFonts w:ascii="Arial" w:cs="Arial" w:eastAsia="Arial" w:hAnsi="Arial"/>
          <w:sz w:val="18"/>
          <w:szCs w:val="18"/>
          <w:color w:val="auto"/>
        </w:rPr>
      </w:pPr>
    </w:p>
    <w:p>
      <w:pPr>
        <w:ind w:left="992" w:hanging="344"/>
        <w:spacing w:after="0"/>
        <w:tabs>
          <w:tab w:leader="none" w:pos="992" w:val="left"/>
        </w:tabs>
        <w:numPr>
          <w:ilvl w:val="0"/>
          <w:numId w:val="642"/>
        </w:numPr>
        <w:rPr>
          <w:rFonts w:ascii="Arial" w:cs="Arial" w:eastAsia="Arial" w:hAnsi="Arial"/>
          <w:sz w:val="18"/>
          <w:szCs w:val="18"/>
          <w:color w:val="auto"/>
        </w:rPr>
      </w:pPr>
      <w:r>
        <w:rPr>
          <w:rFonts w:ascii="Arial" w:cs="Arial" w:eastAsia="Arial" w:hAnsi="Arial"/>
          <w:sz w:val="20"/>
          <w:szCs w:val="20"/>
          <w:color w:val="auto"/>
        </w:rPr>
        <w:t>free and clear of all Liens.</w:t>
      </w:r>
    </w:p>
    <w:p>
      <w:pPr>
        <w:spacing w:after="0" w:line="106" w:lineRule="exact"/>
        <w:rPr>
          <w:sz w:val="20"/>
          <w:szCs w:val="20"/>
          <w:color w:val="auto"/>
        </w:rPr>
      </w:pPr>
    </w:p>
    <w:p>
      <w:pPr>
        <w:jc w:val="both"/>
        <w:ind w:left="652" w:right="20" w:hanging="647"/>
        <w:spacing w:after="0" w:line="250" w:lineRule="auto"/>
        <w:tabs>
          <w:tab w:leader="none" w:pos="631"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20"/>
          <w:szCs w:val="20"/>
          <w:color w:val="auto"/>
        </w:rPr>
        <w:t>Other than the shares listed on Disclosure Schedule 2.1, the Seller owns no shares of capital share of a Group Company or any other equity security of a Group Company, or any option, warrant, right, call, commitment or right of any kind to have any such equity security issued.</w:t>
      </w:r>
    </w:p>
    <w:p>
      <w:pPr>
        <w:spacing w:after="0" w:line="78" w:lineRule="exact"/>
        <w:rPr>
          <w:sz w:val="20"/>
          <w:szCs w:val="20"/>
          <w:color w:val="auto"/>
        </w:rPr>
      </w:pPr>
    </w:p>
    <w:p>
      <w:pPr>
        <w:ind w:left="652" w:hanging="652"/>
        <w:spacing w:after="0"/>
        <w:tabs>
          <w:tab w:leader="none" w:pos="652"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18"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There are no suits, actions, claims, proceedings or investigations pending or, to the Knowledge of the Seller and each Group Company, threatened against, relating to or involving the Seller which could reasonably be expected to adversely affect the Seller’s ability to consummate the transactions contemplated by this Agreement or the Seller Ancillary Document.</w:t>
      </w:r>
    </w:p>
    <w:p>
      <w:pPr>
        <w:spacing w:after="0" w:line="81" w:lineRule="exact"/>
        <w:rPr>
          <w:rFonts w:ascii="Arial" w:cs="Arial" w:eastAsia="Arial" w:hAnsi="Arial"/>
          <w:sz w:val="18"/>
          <w:szCs w:val="18"/>
          <w:b w:val="1"/>
          <w:bCs w:val="1"/>
          <w:color w:val="auto"/>
        </w:rPr>
      </w:pPr>
    </w:p>
    <w:p>
      <w:pPr>
        <w:ind w:left="652" w:hanging="652"/>
        <w:spacing w:after="0"/>
        <w:tabs>
          <w:tab w:leader="none" w:pos="652"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AMOUNTS OWED TO SELLER</w:t>
      </w:r>
    </w:p>
    <w:p>
      <w:pPr>
        <w:spacing w:after="0" w:line="118" w:lineRule="exact"/>
        <w:rPr>
          <w:rFonts w:ascii="Arial" w:cs="Arial" w:eastAsia="Arial" w:hAnsi="Arial"/>
          <w:sz w:val="18"/>
          <w:szCs w:val="18"/>
          <w:b w:val="1"/>
          <w:bCs w:val="1"/>
          <w:color w:val="auto"/>
        </w:rPr>
      </w:pPr>
    </w:p>
    <w:p>
      <w:pPr>
        <w:ind w:left="652"/>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No Group Company owes or is obligated to pay the Seller any amount, except for salary, employee benefits and bonuses, accrued prior to the Closing in the Ordinary Course.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32" w:lineRule="exact"/>
        <w:rPr>
          <w:rFonts w:ascii="Arial" w:cs="Arial" w:eastAsia="Arial" w:hAnsi="Arial"/>
          <w:sz w:val="18"/>
          <w:szCs w:val="18"/>
          <w:b w:val="1"/>
          <w:bCs w:val="1"/>
          <w:color w:val="auto"/>
        </w:rPr>
      </w:pPr>
    </w:p>
    <w:p>
      <w:pPr>
        <w:ind w:left="4872" w:hanging="111"/>
        <w:spacing w:after="0"/>
        <w:tabs>
          <w:tab w:leader="none" w:pos="4872" w:val="left"/>
        </w:tabs>
        <w:numPr>
          <w:ilvl w:val="1"/>
          <w:numId w:val="643"/>
        </w:numPr>
        <w:rPr>
          <w:rFonts w:ascii="Arial" w:cs="Arial" w:eastAsia="Arial" w:hAnsi="Arial"/>
          <w:sz w:val="18"/>
          <w:szCs w:val="18"/>
          <w:color w:val="auto"/>
        </w:rPr>
      </w:pPr>
      <w:r>
        <w:rPr>
          <w:rFonts w:ascii="Arial" w:cs="Arial" w:eastAsia="Arial" w:hAnsi="Arial"/>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49" w:name="page550"/>
    <w:bookmarkEnd w:id="549"/>
    <w:p>
      <w:pPr>
        <w:spacing w:after="0"/>
        <w:rPr>
          <w:sz w:val="20"/>
          <w:szCs w:val="20"/>
          <w:color w:val="auto"/>
        </w:rPr>
      </w:pPr>
      <w:r>
        <w:rPr>
          <w:rFonts w:ascii="Arial" w:cs="Arial" w:eastAsia="Arial" w:hAnsi="Arial"/>
          <w:sz w:val="20"/>
          <w:szCs w:val="20"/>
          <w:b w:val="1"/>
          <w:bCs w:val="1"/>
          <w:color w:val="auto"/>
        </w:rPr>
        <w:t>SCHEDULE 2 - PURCHASER WARRANTIES</w:t>
      </w:r>
    </w:p>
    <w:p>
      <w:pPr>
        <w:spacing w:after="0" w:line="288" w:lineRule="exact"/>
        <w:rPr>
          <w:sz w:val="20"/>
          <w:szCs w:val="20"/>
          <w:color w:val="auto"/>
        </w:rPr>
      </w:pPr>
    </w:p>
    <w:p>
      <w:pPr>
        <w:ind w:left="660" w:hanging="652"/>
        <w:spacing w:after="0"/>
        <w:tabs>
          <w:tab w:leader="none" w:pos="66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The Purchaser is a corporation duly organized, validly existing and in good standing under the laws of the State of Delaware, USA, and has all requisite power and authority to own, lease and operate its properties and to carry on its business as now being conducted.</w:t>
      </w:r>
    </w:p>
    <w:p>
      <w:pPr>
        <w:spacing w:after="0" w:line="76" w:lineRule="exact"/>
        <w:rPr>
          <w:rFonts w:ascii="Arial" w:cs="Arial" w:eastAsia="Arial" w:hAnsi="Arial"/>
          <w:sz w:val="18"/>
          <w:szCs w:val="18"/>
          <w:b w:val="1"/>
          <w:bCs w:val="1"/>
          <w:color w:val="auto"/>
        </w:rPr>
      </w:pPr>
    </w:p>
    <w:p>
      <w:pPr>
        <w:ind w:left="660" w:hanging="652"/>
        <w:spacing w:after="0"/>
        <w:tabs>
          <w:tab w:leader="none" w:pos="66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w:t>
      </w:r>
    </w:p>
    <w:p>
      <w:pPr>
        <w:spacing w:after="0" w:line="118"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The Purchaser has full corporate power and authority to execute and deliver this Agreement and the Purchaser Ancillary Documents, to perform its obligations hereunder and thereunder and to consummate the transactions contemplated hereby and thereby.</w:t>
      </w:r>
    </w:p>
    <w:p>
      <w:pPr>
        <w:spacing w:after="0" w:line="77"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execution and delivery of this Agreement and the Purchaser Ancillary Documents by the Purchaser, the performance by the Purchaser of its obligations hereunder and thereunder, and the consummation of the transactions provided for herein and therein have been duly and validly authorised by all necessary corporate action on the part of the Purchaser.</w:t>
      </w:r>
    </w:p>
    <w:p>
      <w:pPr>
        <w:spacing w:after="0" w:line="83" w:lineRule="exact"/>
        <w:rPr>
          <w:rFonts w:ascii="Arial" w:cs="Arial" w:eastAsia="Arial" w:hAnsi="Arial"/>
          <w:sz w:val="18"/>
          <w:szCs w:val="18"/>
          <w:b w:val="1"/>
          <w:bCs w:val="1"/>
          <w:color w:val="auto"/>
        </w:rPr>
      </w:pPr>
    </w:p>
    <w:p>
      <w:pPr>
        <w:jc w:val="both"/>
        <w:ind w:left="660"/>
        <w:spacing w:after="0" w:line="260" w:lineRule="auto"/>
        <w:rPr>
          <w:rFonts w:ascii="Arial" w:cs="Arial" w:eastAsia="Arial" w:hAnsi="Arial"/>
          <w:sz w:val="18"/>
          <w:szCs w:val="18"/>
          <w:b w:val="1"/>
          <w:bCs w:val="1"/>
          <w:color w:val="auto"/>
        </w:rPr>
      </w:pPr>
      <w:r>
        <w:rPr>
          <w:rFonts w:ascii="Arial" w:cs="Arial" w:eastAsia="Arial" w:hAnsi="Arial"/>
          <w:sz w:val="19"/>
          <w:szCs w:val="19"/>
          <w:color w:val="auto"/>
        </w:rPr>
        <w:t>This Agreement has been and, as of the Closing Date, the Purchaser Ancillary Documents shall be, duly executed and delivered by the Purchaser and do or shall, as the case may be, constitute the valid and binding agreements of the Purchaser, enforceable against the Purchaser in accordance with their respective terms, subject to applicable bankruptcy insolvency and other similar Laws affecting the enforceability of creditors’ rights generally, general equitable principles and the discretion of course in granting equitable remedies.</w:t>
      </w:r>
    </w:p>
    <w:p>
      <w:pPr>
        <w:spacing w:after="0" w:line="70" w:lineRule="exact"/>
        <w:rPr>
          <w:rFonts w:ascii="Arial" w:cs="Arial" w:eastAsia="Arial" w:hAnsi="Arial"/>
          <w:sz w:val="18"/>
          <w:szCs w:val="18"/>
          <w:b w:val="1"/>
          <w:bCs w:val="1"/>
          <w:color w:val="auto"/>
        </w:rPr>
      </w:pPr>
    </w:p>
    <w:p>
      <w:pPr>
        <w:ind w:left="660" w:hanging="652"/>
        <w:spacing w:after="0"/>
        <w:tabs>
          <w:tab w:leader="none" w:pos="66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RESTRICTIONS AND CONFLICTS</w:t>
      </w:r>
    </w:p>
    <w:p>
      <w:pPr>
        <w:spacing w:after="0" w:line="118" w:lineRule="exact"/>
        <w:rPr>
          <w:rFonts w:ascii="Arial" w:cs="Arial" w:eastAsia="Arial" w:hAnsi="Arial"/>
          <w:sz w:val="18"/>
          <w:szCs w:val="18"/>
          <w:b w:val="1"/>
          <w:bCs w:val="1"/>
          <w:color w:val="auto"/>
        </w:rPr>
      </w:pPr>
    </w:p>
    <w:p>
      <w:pPr>
        <w:jc w:val="both"/>
        <w:ind w:left="66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The execution, delivery and performance of this Agreement and the Purchaser Ancillary Documents, the consummation of the transactions contemplated hereby and thereby and the fulfilment of, and compliance with, the terms and conditions hereof and thereof do not or shall not (as the case may be), with the passing of time or the giving of notice or both, violate or conflict with, constitute a breach of or default under, result in the loss of any benefit under, or permit the acceleration of any obligation under,</w:t>
      </w:r>
    </w:p>
    <w:p>
      <w:pPr>
        <w:spacing w:after="0" w:line="86" w:lineRule="exact"/>
        <w:rPr>
          <w:rFonts w:ascii="Arial" w:cs="Arial" w:eastAsia="Arial" w:hAnsi="Arial"/>
          <w:sz w:val="18"/>
          <w:szCs w:val="18"/>
          <w:b w:val="1"/>
          <w:bCs w:val="1"/>
          <w:color w:val="auto"/>
        </w:rPr>
      </w:pPr>
    </w:p>
    <w:p>
      <w:pPr>
        <w:ind w:left="1020" w:hanging="350"/>
        <w:spacing w:after="0"/>
        <w:tabs>
          <w:tab w:leader="none" w:pos="1020" w:val="left"/>
        </w:tabs>
        <w:numPr>
          <w:ilvl w:val="1"/>
          <w:numId w:val="644"/>
        </w:numPr>
        <w:rPr>
          <w:rFonts w:ascii="Arial" w:cs="Arial" w:eastAsia="Arial" w:hAnsi="Arial"/>
          <w:sz w:val="18"/>
          <w:szCs w:val="18"/>
          <w:color w:val="auto"/>
        </w:rPr>
      </w:pPr>
      <w:r>
        <w:rPr>
          <w:rFonts w:ascii="Arial" w:cs="Arial" w:eastAsia="Arial" w:hAnsi="Arial"/>
          <w:sz w:val="20"/>
          <w:szCs w:val="20"/>
          <w:color w:val="auto"/>
        </w:rPr>
        <w:t>any term or provision of the constitutional documents of the Purchaser,</w:t>
      </w:r>
    </w:p>
    <w:p>
      <w:pPr>
        <w:spacing w:after="0" w:line="107" w:lineRule="exact"/>
        <w:rPr>
          <w:rFonts w:ascii="Arial" w:cs="Arial" w:eastAsia="Arial" w:hAnsi="Arial"/>
          <w:sz w:val="18"/>
          <w:szCs w:val="18"/>
          <w:color w:val="auto"/>
        </w:rPr>
      </w:pPr>
    </w:p>
    <w:p>
      <w:pPr>
        <w:ind w:left="1020" w:hanging="350"/>
        <w:spacing w:after="0"/>
        <w:tabs>
          <w:tab w:leader="none" w:pos="1020" w:val="left"/>
        </w:tabs>
        <w:numPr>
          <w:ilvl w:val="1"/>
          <w:numId w:val="644"/>
        </w:numPr>
        <w:rPr>
          <w:rFonts w:ascii="Arial" w:cs="Arial" w:eastAsia="Arial" w:hAnsi="Arial"/>
          <w:sz w:val="18"/>
          <w:szCs w:val="18"/>
          <w:color w:val="auto"/>
        </w:rPr>
      </w:pPr>
      <w:r>
        <w:rPr>
          <w:rFonts w:ascii="Arial" w:cs="Arial" w:eastAsia="Arial" w:hAnsi="Arial"/>
          <w:sz w:val="20"/>
          <w:szCs w:val="20"/>
          <w:color w:val="auto"/>
        </w:rPr>
        <w:t>any contract to which the Purchaser is a party,</w:t>
      </w:r>
    </w:p>
    <w:p>
      <w:pPr>
        <w:spacing w:after="0" w:line="107" w:lineRule="exact"/>
        <w:rPr>
          <w:rFonts w:ascii="Arial" w:cs="Arial" w:eastAsia="Arial" w:hAnsi="Arial"/>
          <w:sz w:val="18"/>
          <w:szCs w:val="18"/>
          <w:color w:val="auto"/>
        </w:rPr>
      </w:pPr>
    </w:p>
    <w:p>
      <w:pPr>
        <w:ind w:left="1020" w:right="20" w:hanging="350"/>
        <w:spacing w:after="0" w:line="260" w:lineRule="auto"/>
        <w:tabs>
          <w:tab w:leader="none" w:pos="1020" w:val="left"/>
        </w:tabs>
        <w:numPr>
          <w:ilvl w:val="1"/>
          <w:numId w:val="644"/>
        </w:numPr>
        <w:rPr>
          <w:rFonts w:ascii="Arial" w:cs="Arial" w:eastAsia="Arial" w:hAnsi="Arial"/>
          <w:sz w:val="18"/>
          <w:szCs w:val="18"/>
          <w:color w:val="auto"/>
        </w:rPr>
      </w:pPr>
      <w:r>
        <w:rPr>
          <w:rFonts w:ascii="Arial" w:cs="Arial" w:eastAsia="Arial" w:hAnsi="Arial"/>
          <w:sz w:val="20"/>
          <w:szCs w:val="20"/>
          <w:color w:val="auto"/>
        </w:rPr>
        <w:t>any judgment, decree or order of any Governmental Entity to which the Purchaser is a party or by which the Purchaser or any of its properties is bound, or</w:t>
      </w:r>
    </w:p>
    <w:p>
      <w:pPr>
        <w:spacing w:after="0" w:line="68" w:lineRule="exact"/>
        <w:rPr>
          <w:rFonts w:ascii="Arial" w:cs="Arial" w:eastAsia="Arial" w:hAnsi="Arial"/>
          <w:sz w:val="18"/>
          <w:szCs w:val="18"/>
          <w:color w:val="auto"/>
        </w:rPr>
      </w:pPr>
    </w:p>
    <w:p>
      <w:pPr>
        <w:ind w:left="1020" w:hanging="350"/>
        <w:spacing w:after="0"/>
        <w:tabs>
          <w:tab w:leader="none" w:pos="1020" w:val="left"/>
        </w:tabs>
        <w:numPr>
          <w:ilvl w:val="1"/>
          <w:numId w:val="644"/>
        </w:numPr>
        <w:rPr>
          <w:rFonts w:ascii="Arial" w:cs="Arial" w:eastAsia="Arial" w:hAnsi="Arial"/>
          <w:sz w:val="18"/>
          <w:szCs w:val="18"/>
          <w:color w:val="auto"/>
        </w:rPr>
      </w:pPr>
      <w:r>
        <w:rPr>
          <w:rFonts w:ascii="Arial" w:cs="Arial" w:eastAsia="Arial" w:hAnsi="Arial"/>
          <w:sz w:val="20"/>
          <w:szCs w:val="20"/>
          <w:color w:val="auto"/>
        </w:rPr>
        <w:t>any statute, law, rule or regulation applicable to the Purchaser;</w:t>
      </w:r>
    </w:p>
    <w:p>
      <w:pPr>
        <w:spacing w:after="0" w:line="108"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unless, in each case, such violation, conflict, breach, default, loss of benefit or accelerated obligation would not, either individually or in the aggregate, have a material adverse impact on the ability of the Purchaser to consummate the transactions contemplated hereby, or by the Purchaser Ancillary Documents.</w:t>
      </w:r>
    </w:p>
    <w:p>
      <w:pPr>
        <w:spacing w:after="0" w:line="60" w:lineRule="exact"/>
        <w:rPr>
          <w:sz w:val="20"/>
          <w:szCs w:val="20"/>
          <w:color w:val="auto"/>
        </w:rPr>
      </w:pPr>
    </w:p>
    <w:p>
      <w:pPr>
        <w:ind w:left="660" w:hanging="652"/>
        <w:spacing w:after="0"/>
        <w:tabs>
          <w:tab w:leader="none" w:pos="660" w:val="left"/>
        </w:tabs>
        <w:numPr>
          <w:ilvl w:val="0"/>
          <w:numId w:val="645"/>
        </w:numPr>
        <w:rPr>
          <w:rFonts w:ascii="Arial" w:cs="Arial" w:eastAsia="Arial" w:hAnsi="Arial"/>
          <w:sz w:val="18"/>
          <w:szCs w:val="18"/>
          <w:b w:val="1"/>
          <w:bCs w:val="1"/>
          <w:color w:val="auto"/>
        </w:rPr>
      </w:pPr>
      <w:r>
        <w:rPr>
          <w:rFonts w:ascii="Arial" w:cs="Arial" w:eastAsia="Arial" w:hAnsi="Arial"/>
          <w:sz w:val="18"/>
          <w:szCs w:val="18"/>
          <w:b w:val="1"/>
          <w:bCs w:val="1"/>
          <w:color w:val="auto"/>
        </w:rPr>
        <w:t>R&amp;W INSURANCE POLICY.</w:t>
      </w:r>
    </w:p>
    <w:p>
      <w:pPr>
        <w:spacing w:after="0" w:line="118"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9"/>
          <w:szCs w:val="19"/>
          <w:color w:val="auto"/>
        </w:rPr>
        <w:t>Purchaser has received a written commitment from the R&amp;W Insurer to fully bind the R&amp;W Insurance Policy effective as of the Closing Date. Purchaser represents and warrants to Seller that it has provided a true and correct copy of such commitment to Seller that is in full force and effect prior to the date hereof.</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2" w:lineRule="exact"/>
        <w:rPr>
          <w:rFonts w:ascii="Arial" w:cs="Arial" w:eastAsia="Arial" w:hAnsi="Arial"/>
          <w:sz w:val="18"/>
          <w:szCs w:val="18"/>
          <w:b w:val="1"/>
          <w:bCs w:val="1"/>
          <w:color w:val="auto"/>
        </w:rPr>
      </w:pPr>
    </w:p>
    <w:p>
      <w:pPr>
        <w:ind w:left="4880" w:hanging="111"/>
        <w:spacing w:after="0"/>
        <w:tabs>
          <w:tab w:leader="none" w:pos="488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550" w:name="page551"/>
    <w:bookmarkEnd w:id="550"/>
    <w:p>
      <w:pPr>
        <w:ind w:left="652" w:hanging="652"/>
        <w:spacing w:after="0"/>
        <w:tabs>
          <w:tab w:leader="none" w:pos="652" w:val="left"/>
        </w:tabs>
        <w:numPr>
          <w:ilvl w:val="0"/>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118" w:lineRule="exact"/>
        <w:rPr>
          <w:rFonts w:ascii="Arial" w:cs="Arial" w:eastAsia="Arial" w:hAnsi="Arial"/>
          <w:sz w:val="18"/>
          <w:szCs w:val="18"/>
          <w:b w:val="1"/>
          <w:bCs w:val="1"/>
          <w:color w:val="auto"/>
        </w:rPr>
      </w:pPr>
    </w:p>
    <w:p>
      <w:pPr>
        <w:ind w:left="652"/>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The Purchaser has sufficient immediately available funds or binding and unconditional financing commitments to enable it to make all payments required to be made by it under this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9" w:lineRule="exact"/>
        <w:rPr>
          <w:rFonts w:ascii="Arial" w:cs="Arial" w:eastAsia="Arial" w:hAnsi="Arial"/>
          <w:sz w:val="18"/>
          <w:szCs w:val="18"/>
          <w:b w:val="1"/>
          <w:bCs w:val="1"/>
          <w:color w:val="auto"/>
        </w:rPr>
      </w:pPr>
    </w:p>
    <w:p>
      <w:pPr>
        <w:ind w:left="4872" w:hanging="111"/>
        <w:spacing w:after="0"/>
        <w:tabs>
          <w:tab w:leader="none" w:pos="4872" w:val="left"/>
        </w:tabs>
        <w:numPr>
          <w:ilvl w:val="1"/>
          <w:numId w:val="646"/>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51" w:name="page552"/>
    <w:bookmarkEnd w:id="551"/>
    <w:p>
      <w:pPr>
        <w:jc w:val="both"/>
        <w:spacing w:after="0" w:line="264" w:lineRule="auto"/>
        <w:rPr>
          <w:sz w:val="20"/>
          <w:szCs w:val="20"/>
          <w:color w:val="auto"/>
        </w:rPr>
      </w:pPr>
      <w:r>
        <w:rPr>
          <w:rFonts w:ascii="Arial" w:cs="Arial" w:eastAsia="Arial" w:hAnsi="Arial"/>
          <w:sz w:val="18"/>
          <w:szCs w:val="18"/>
          <w:b w:val="1"/>
          <w:bCs w:val="1"/>
          <w:color w:val="auto"/>
        </w:rPr>
        <w:t>Schedules (or similar attachments) to this Exhibit have been omitted in accordance with Items 601(a)(5) and/or 601(b)(2) of Regulation S-K. The Registrant agrees to furnish supplementally a copy of all omitted schedules to the Securities and Exchange Commission on a confidential basis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3 - DISCLOSURE SCHEDULES</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020"/>
        <w:spacing w:after="0" w:line="337" w:lineRule="auto"/>
        <w:rPr>
          <w:sz w:val="20"/>
          <w:szCs w:val="20"/>
          <w:color w:val="auto"/>
        </w:rPr>
      </w:pPr>
      <w:r>
        <w:rPr>
          <w:rFonts w:ascii="Arial" w:cs="Arial" w:eastAsia="Arial" w:hAnsi="Arial"/>
          <w:sz w:val="16"/>
          <w:szCs w:val="16"/>
          <w:color w:val="auto"/>
        </w:rPr>
        <w:t>Disclosure Schedule 1 Disclosure Schedule 2.1 Disclosure Schedule 3 Disclosure Schedule 4.2 Disclosure Schedule 4.5 Disclosure Schedule 5 Disclosure Schedule 7 Disclosure Schedule 8 Disclosure Schedule 9 Disclosure Schedule 10 Disclosure Schedule 11 Disclosure Schedule 12 Disclosure Schedule 12.7(a) Disclosure Schedule 13.1 Disclosure Schedule 13.2 Disclosure Schedule 14 Disclosure Schedule 15 Disclosure Schedule 16 Disclosure Schedule 17 Disclosure Schedule 18.1 Disclosure Schedule 18.7 Disclosure Schedule 19 Disclosure Schedule 20 Disclosure Schedule 22 Disclosure Schedule 24.1 Disclosure Schedule 24.3</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Jurisdiction of Incorporation or Organization; Qualifications to 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 Structure of Group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Real Property properties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Title Exceptions; List of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Undisclosed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Certain Changes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Exceptions to Compliance with Law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Contracts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 Government Contracts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 Exceptions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 Returns Exceptions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Officers and Employees; Employment Agreements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Labour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Environmental, Health and Safety Matters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Works of Original Authorship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Software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Customer and Supplier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Affiliate Loans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297" w:lineRule="exact"/>
        <w:rPr>
          <w:sz w:val="20"/>
          <w:szCs w:val="20"/>
          <w:color w:val="auto"/>
        </w:rPr>
      </w:pPr>
    </w:p>
    <w:p>
      <w:pPr>
        <w:sectPr>
          <w:pgSz w:w="11900" w:h="16838" w:orient="portrait"/>
          <w:cols w:equalWidth="0" w:num="2">
            <w:col w:w="3060" w:space="580"/>
            <w:col w:w="6280"/>
          </w:cols>
          <w:pgMar w:left="980" w:top="87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552" w:name="page553"/>
    <w:bookmarkEnd w:id="552"/>
    <w:tbl>
      <w:tblPr>
        <w:tblLayout w:type="fixed"/>
        <w:tblInd w:w="0" w:type="dxa"/>
        <w:tblCellMar>
          <w:top w:w="0" w:type="dxa"/>
          <w:left w:w="0" w:type="dxa"/>
          <w:bottom w:w="0" w:type="dxa"/>
          <w:right w:w="0" w:type="dxa"/>
        </w:tblCellMar>
      </w:tblPr>
      <w:tr>
        <w:trPr>
          <w:trHeight w:val="230"/>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25</w:t>
            </w:r>
          </w:p>
        </w:tc>
        <w:tc>
          <w:tcPr>
            <w:tcW w:w="6620" w:type="dxa"/>
            <w:vAlign w:val="bottom"/>
          </w:tcPr>
          <w:p>
            <w:pPr>
              <w:ind w:left="420"/>
              <w:spacing w:after="0"/>
              <w:rPr>
                <w:sz w:val="20"/>
                <w:szCs w:val="20"/>
                <w:color w:val="auto"/>
              </w:rPr>
            </w:pPr>
            <w:r>
              <w:rPr>
                <w:rFonts w:ascii="Arial" w:cs="Arial" w:eastAsia="Arial" w:hAnsi="Arial"/>
                <w:sz w:val="18"/>
                <w:szCs w:val="18"/>
                <w:color w:val="auto"/>
              </w:rPr>
              <w:t>Licenses</w:t>
            </w:r>
          </w:p>
        </w:tc>
      </w:tr>
      <w:tr>
        <w:trPr>
          <w:trHeight w:val="257"/>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27</w:t>
            </w:r>
          </w:p>
        </w:tc>
        <w:tc>
          <w:tcPr>
            <w:tcW w:w="6620" w:type="dxa"/>
            <w:vAlign w:val="bottom"/>
          </w:tcPr>
          <w:p>
            <w:pPr>
              <w:ind w:left="420"/>
              <w:spacing w:after="0"/>
              <w:rPr>
                <w:sz w:val="20"/>
                <w:szCs w:val="20"/>
                <w:color w:val="auto"/>
              </w:rPr>
            </w:pPr>
            <w:r>
              <w:rPr>
                <w:rFonts w:ascii="Arial" w:cs="Arial" w:eastAsia="Arial" w:hAnsi="Arial"/>
                <w:sz w:val="18"/>
                <w:szCs w:val="18"/>
                <w:color w:val="auto"/>
              </w:rPr>
              <w:t>Product and Service Warranties</w:t>
            </w:r>
          </w:p>
        </w:tc>
      </w:tr>
      <w:tr>
        <w:trPr>
          <w:trHeight w:val="257"/>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28</w:t>
            </w:r>
          </w:p>
        </w:tc>
        <w:tc>
          <w:tcPr>
            <w:tcW w:w="6620" w:type="dxa"/>
            <w:vAlign w:val="bottom"/>
          </w:tcPr>
          <w:p>
            <w:pPr>
              <w:ind w:left="420"/>
              <w:spacing w:after="0"/>
              <w:rPr>
                <w:sz w:val="20"/>
                <w:szCs w:val="20"/>
                <w:color w:val="auto"/>
              </w:rPr>
            </w:pPr>
            <w:r>
              <w:rPr>
                <w:rFonts w:ascii="Arial" w:cs="Arial" w:eastAsia="Arial" w:hAnsi="Arial"/>
                <w:sz w:val="18"/>
                <w:szCs w:val="18"/>
                <w:color w:val="auto"/>
              </w:rPr>
              <w:t>Brokers</w:t>
            </w:r>
          </w:p>
        </w:tc>
      </w:tr>
      <w:tr>
        <w:trPr>
          <w:trHeight w:val="256"/>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29</w:t>
            </w:r>
          </w:p>
        </w:tc>
        <w:tc>
          <w:tcPr>
            <w:tcW w:w="6620" w:type="dxa"/>
            <w:vAlign w:val="bottom"/>
          </w:tcPr>
          <w:p>
            <w:pPr>
              <w:ind w:left="420"/>
              <w:spacing w:after="0"/>
              <w:rPr>
                <w:sz w:val="20"/>
                <w:szCs w:val="20"/>
                <w:color w:val="auto"/>
              </w:rPr>
            </w:pPr>
            <w:r>
              <w:rPr>
                <w:rFonts w:ascii="Arial" w:cs="Arial" w:eastAsia="Arial" w:hAnsi="Arial"/>
                <w:sz w:val="18"/>
                <w:szCs w:val="18"/>
                <w:color w:val="auto"/>
              </w:rPr>
              <w:t>Bank Accounts</w:t>
            </w:r>
          </w:p>
        </w:tc>
      </w:tr>
      <w:tr>
        <w:trPr>
          <w:trHeight w:val="257"/>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30</w:t>
            </w:r>
          </w:p>
        </w:tc>
        <w:tc>
          <w:tcPr>
            <w:tcW w:w="6620" w:type="dxa"/>
            <w:vAlign w:val="bottom"/>
          </w:tcPr>
          <w:p>
            <w:pPr>
              <w:ind w:left="420"/>
              <w:spacing w:after="0"/>
              <w:rPr>
                <w:sz w:val="20"/>
                <w:szCs w:val="20"/>
                <w:color w:val="auto"/>
              </w:rPr>
            </w:pPr>
            <w:r>
              <w:rPr>
                <w:rFonts w:ascii="Arial" w:cs="Arial" w:eastAsia="Arial" w:hAnsi="Arial"/>
                <w:sz w:val="18"/>
                <w:szCs w:val="18"/>
                <w:color w:val="auto"/>
              </w:rPr>
              <w:t>Seller Guarantees</w:t>
            </w:r>
          </w:p>
        </w:tc>
      </w:tr>
      <w:tr>
        <w:trPr>
          <w:trHeight w:val="257"/>
        </w:trPr>
        <w:tc>
          <w:tcPr>
            <w:tcW w:w="3300" w:type="dxa"/>
            <w:vAlign w:val="bottom"/>
          </w:tcPr>
          <w:p>
            <w:pPr>
              <w:ind w:left="1020"/>
              <w:spacing w:after="0"/>
              <w:rPr>
                <w:sz w:val="20"/>
                <w:szCs w:val="20"/>
                <w:color w:val="auto"/>
              </w:rPr>
            </w:pPr>
            <w:r>
              <w:rPr>
                <w:rFonts w:ascii="Arial" w:cs="Arial" w:eastAsia="Arial" w:hAnsi="Arial"/>
                <w:sz w:val="18"/>
                <w:szCs w:val="18"/>
                <w:color w:val="auto"/>
              </w:rPr>
              <w:t>Disclosure Schedule 32.1</w:t>
            </w:r>
          </w:p>
        </w:tc>
        <w:tc>
          <w:tcPr>
            <w:tcW w:w="6620" w:type="dxa"/>
            <w:vAlign w:val="bottom"/>
          </w:tcPr>
          <w:p>
            <w:pPr>
              <w:ind w:left="420"/>
              <w:spacing w:after="0"/>
              <w:rPr>
                <w:sz w:val="20"/>
                <w:szCs w:val="20"/>
                <w:color w:val="auto"/>
              </w:rPr>
            </w:pPr>
            <w:r>
              <w:rPr>
                <w:rFonts w:ascii="Arial" w:cs="Arial" w:eastAsia="Arial" w:hAnsi="Arial"/>
                <w:sz w:val="18"/>
                <w:szCs w:val="18"/>
                <w:color w:val="auto"/>
              </w:rPr>
              <w:t>Authorization</w:t>
            </w:r>
          </w:p>
        </w:tc>
      </w:tr>
      <w:tr>
        <w:trPr>
          <w:trHeight w:val="904"/>
        </w:trPr>
        <w:tc>
          <w:tcPr>
            <w:tcW w:w="3300" w:type="dxa"/>
            <w:vAlign w:val="bottom"/>
          </w:tcPr>
          <w:p>
            <w:pPr>
              <w:spacing w:after="0"/>
              <w:rPr>
                <w:sz w:val="24"/>
                <w:szCs w:val="24"/>
                <w:color w:val="auto"/>
              </w:rPr>
            </w:pPr>
          </w:p>
        </w:tc>
        <w:tc>
          <w:tcPr>
            <w:tcW w:w="6620" w:type="dxa"/>
            <w:vAlign w:val="bottom"/>
          </w:tcPr>
          <w:p>
            <w:pPr>
              <w:ind w:left="1460"/>
              <w:spacing w:after="0"/>
              <w:rPr>
                <w:sz w:val="20"/>
                <w:szCs w:val="20"/>
                <w:color w:val="auto"/>
              </w:rPr>
            </w:pPr>
            <w:r>
              <w:rPr>
                <w:rFonts w:ascii="Arial" w:cs="Arial" w:eastAsia="Arial" w:hAnsi="Arial"/>
                <w:sz w:val="18"/>
                <w:szCs w:val="18"/>
                <w:color w:val="auto"/>
              </w:rPr>
              <w:t>-77-</w:t>
            </w:r>
          </w:p>
        </w:tc>
      </w:tr>
      <w:tr>
        <w:trPr>
          <w:trHeight w:val="561"/>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4" w:right="999" w:bottom="1440" w:gutter="0" w:footer="0" w:header="0"/>
        </w:sectPr>
      </w:pPr>
    </w:p>
    <w:bookmarkStart w:id="553" w:name="page554"/>
    <w:bookmarkEnd w:id="55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4" w:name="page555"/>
    <w:bookmarkEnd w:id="55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5" w:name="page556"/>
    <w:bookmarkEnd w:id="555"/>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82" w:lineRule="exact"/>
        <w:rPr>
          <w:sz w:val="20"/>
          <w:szCs w:val="20"/>
          <w:color w:val="auto"/>
        </w:rPr>
      </w:pPr>
    </w:p>
    <w:p>
      <w:pPr>
        <w:jc w:val="both"/>
        <w:ind w:left="40" w:right="119" w:firstLine="486"/>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8" w:lineRule="exact"/>
        <w:rPr>
          <w:sz w:val="20"/>
          <w:szCs w:val="20"/>
          <w:color w:val="auto"/>
        </w:rPr>
      </w:pPr>
    </w:p>
    <w:p>
      <w:pPr>
        <w:ind w:left="40" w:right="59" w:firstLine="486"/>
        <w:spacing w:after="0" w:line="243" w:lineRule="auto"/>
        <w:rPr>
          <w:sz w:val="20"/>
          <w:szCs w:val="20"/>
          <w:color w:val="auto"/>
        </w:rPr>
      </w:pPr>
      <w:r>
        <w:rPr>
          <w:rFonts w:ascii="Arial" w:cs="Arial" w:eastAsia="Arial" w:hAnsi="Arial"/>
          <w:sz w:val="18"/>
          <w:szCs w:val="18"/>
          <w:color w:val="auto"/>
        </w:rPr>
        <w:t>The Quarterly Report on Form 10-Q for the quarter ended January 30, 2021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9, 2021</w:t>
      </w:r>
    </w:p>
    <w:p>
      <w:pPr>
        <w:spacing w:after="0" w:line="198" w:lineRule="exact"/>
        <w:rPr>
          <w:sz w:val="20"/>
          <w:szCs w:val="20"/>
          <w:color w:val="auto"/>
        </w:rPr>
      </w:pPr>
    </w:p>
    <w:p>
      <w:pPr>
        <w:ind w:left="40" w:right="299" w:firstLine="486"/>
        <w:spacing w:after="0" w:line="27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2B8401"/>
    <w:multiLevelType w:val="hybridMultilevel"/>
    <w:lvl w:ilvl="0">
      <w:lvlJc w:val="left"/>
      <w:lvlText w:val="☒"/>
      <w:numFmt w:val="bullet"/>
      <w:start w:val="1"/>
    </w:lvl>
  </w:abstractNum>
  <w:abstractNum w:abstractNumId="1">
    <w:nsid w:val="FA85F4D"/>
    <w:multiLevelType w:val="hybridMultilevel"/>
    <w:lvl w:ilvl="0">
      <w:lvlJc w:val="left"/>
      <w:lvlText w:val="☐"/>
      <w:numFmt w:val="bullet"/>
      <w:start w:val="1"/>
    </w:lvl>
  </w:abstractNum>
  <w:abstractNum w:abstractNumId="2">
    <w:nsid w:val="6ECE91F0"/>
    <w:multiLevelType w:val="hybridMultilevel"/>
    <w:lvl w:ilvl="0">
      <w:lvlJc w:val="left"/>
      <w:lvlText w:val="●"/>
      <w:numFmt w:val="bullet"/>
      <w:start w:val="1"/>
    </w:lvl>
  </w:abstractNum>
  <w:abstractNum w:abstractNumId="3">
    <w:nsid w:val="4FC4D600"/>
    <w:multiLevelType w:val="hybridMultilevel"/>
    <w:lvl w:ilvl="0">
      <w:lvlJc w:val="left"/>
      <w:lvlText w:val="(%1)"/>
      <w:numFmt w:val="lowerRoman"/>
      <w:start w:val="2"/>
    </w:lvl>
  </w:abstractNum>
  <w:abstractNum w:abstractNumId="4">
    <w:nsid w:val="5BFD4210"/>
    <w:multiLevelType w:val="hybridMultilevel"/>
    <w:lvl w:ilvl="0">
      <w:lvlJc w:val="left"/>
      <w:lvlText w:val="%1."/>
      <w:numFmt w:val="decimal"/>
      <w:start w:val="18"/>
    </w:lvl>
  </w:abstractNum>
  <w:abstractNum w:abstractNumId="5">
    <w:nsid w:val="76574F8B"/>
    <w:multiLevelType w:val="hybridMultilevel"/>
    <w:lvl w:ilvl="0">
      <w:lvlJc w:val="left"/>
      <w:lvlText w:val="(%1)"/>
      <w:numFmt w:val="lowerLetter"/>
      <w:start w:val="2"/>
    </w:lvl>
  </w:abstractNum>
  <w:abstractNum w:abstractNumId="6">
    <w:nsid w:val="178F7B67"/>
    <w:multiLevelType w:val="hybridMultilevel"/>
    <w:lvl w:ilvl="0">
      <w:lvlJc w:val="left"/>
      <w:lvlText w:val="(%1)"/>
      <w:numFmt w:val="lowerRoman"/>
      <w:start w:val="2"/>
    </w:lvl>
  </w:abstractNum>
  <w:abstractNum w:abstractNumId="7">
    <w:nsid w:val="2421DFCF"/>
    <w:multiLevelType w:val="hybridMultilevel"/>
    <w:lvl w:ilvl="0">
      <w:lvlJc w:val="left"/>
      <w:lvlText w:val="●"/>
      <w:numFmt w:val="bullet"/>
      <w:start w:val="1"/>
    </w:lvl>
  </w:abstractNum>
  <w:abstractNum w:abstractNumId="8">
    <w:nsid w:val="1565AC99"/>
    <w:multiLevelType w:val="hybridMultilevel"/>
    <w:lvl w:ilvl="0">
      <w:lvlJc w:val="left"/>
      <w:lvlText w:val="●"/>
      <w:numFmt w:val="bullet"/>
      <w:start w:val="1"/>
    </w:lvl>
  </w:abstractNum>
  <w:abstractNum w:abstractNumId="9">
    <w:nsid w:val="19FB2650"/>
    <w:multiLevelType w:val="hybridMultilevel"/>
    <w:lvl w:ilvl="0">
      <w:lvlJc w:val="left"/>
      <w:lvlText w:val="●"/>
      <w:numFmt w:val="bullet"/>
      <w:start w:val="1"/>
    </w:lvl>
  </w:abstractNum>
  <w:abstractNum w:abstractNumId="10">
    <w:nsid w:val="5024DE5B"/>
    <w:multiLevelType w:val="hybridMultilevel"/>
    <w:lvl w:ilvl="0">
      <w:lvlJc w:val="left"/>
      <w:lvlText w:val="●"/>
      <w:numFmt w:val="bullet"/>
      <w:start w:val="1"/>
    </w:lvl>
  </w:abstractNum>
  <w:abstractNum w:abstractNumId="11">
    <w:nsid w:val="168EFE17"/>
    <w:multiLevelType w:val="hybridMultilevel"/>
    <w:lvl w:ilvl="0">
      <w:lvlJc w:val="left"/>
      <w:lvlText w:val="●"/>
      <w:numFmt w:val="bullet"/>
      <w:start w:val="1"/>
    </w:lvl>
  </w:abstractNum>
  <w:abstractNum w:abstractNumId="12">
    <w:nsid w:val="1036B29F"/>
    <w:multiLevelType w:val="hybridMultilevel"/>
    <w:lvl w:ilvl="0">
      <w:lvlJc w:val="left"/>
      <w:lvlText w:val="%1"/>
      <w:numFmt w:val="decimal"/>
      <w:start w:val="1"/>
    </w:lvl>
    <w:lvl w:ilvl="1">
      <w:lvlJc w:val="left"/>
      <w:lvlText w:val="%2"/>
      <w:numFmt w:val="decimal"/>
      <w:start w:val="104"/>
    </w:lvl>
  </w:abstractNum>
  <w:abstractNum w:abstractNumId="13">
    <w:nsid w:val="1D206B8E"/>
    <w:multiLevelType w:val="hybridMultilevel"/>
    <w:lvl w:ilvl="0">
      <w:lvlJc w:val="left"/>
      <w:lvlText w:val="(%1)"/>
      <w:numFmt w:val="decimal"/>
      <w:start w:val="1"/>
    </w:lvl>
    <w:lvl w:ilvl="1">
      <w:lvlJc w:val="left"/>
      <w:lvlText w:val="%2"/>
      <w:numFmt w:val="decimal"/>
      <w:start w:val="1"/>
    </w:lvl>
  </w:abstractNum>
  <w:abstractNum w:abstractNumId="14">
    <w:nsid w:val="7934D3D4"/>
    <w:multiLevelType w:val="hybridMultilevel"/>
    <w:lvl w:ilvl="0">
      <w:lvlJc w:val="left"/>
      <w:lvlText w:val="ǂ"/>
      <w:numFmt w:val="bullet"/>
      <w:start w:val="1"/>
    </w:lvl>
  </w:abstractNum>
  <w:abstractNum w:abstractNumId="15">
    <w:nsid w:val="1C65E98"/>
    <w:multiLevelType w:val="hybridMultilevel"/>
    <w:lvl w:ilvl="0">
      <w:lvlJc w:val="left"/>
      <w:lvlText w:val="†"/>
      <w:numFmt w:val="bullet"/>
      <w:start w:val="1"/>
    </w:lvl>
  </w:abstractNum>
  <w:abstractNum w:abstractNumId="16">
    <w:nsid w:val="1495E50A"/>
    <w:multiLevelType w:val="hybridMultilevel"/>
    <w:lvl w:ilvl="0">
      <w:lvlJc w:val="left"/>
      <w:lvlText w:val="#"/>
      <w:numFmt w:val="bullet"/>
      <w:start w:val="1"/>
    </w:lvl>
  </w:abstractNum>
  <w:abstractNum w:abstractNumId="17">
    <w:nsid w:val="F5BCF61"/>
    <w:multiLevelType w:val="hybridMultilevel"/>
    <w:lvl w:ilvl="0">
      <w:lvlJc w:val="left"/>
      <w:lvlText w:val="(%1)"/>
      <w:numFmt w:val="lowerLetter"/>
      <w:start w:val="1"/>
    </w:lvl>
    <w:lvl w:ilvl="1">
      <w:lvlJc w:val="left"/>
      <w:lvlText w:val="(%2)"/>
      <w:numFmt w:val="lowerRoman"/>
      <w:start w:val="1"/>
    </w:lvl>
  </w:abstractNum>
  <w:abstractNum w:abstractNumId="18">
    <w:nsid w:val="3B1DD403"/>
    <w:multiLevelType w:val="hybridMultilevel"/>
    <w:lvl w:ilvl="0">
      <w:lvlJc w:val="left"/>
      <w:lvlText w:val="(%1)"/>
      <w:numFmt w:val="lowerLetter"/>
      <w:start w:val="1"/>
    </w:lvl>
  </w:abstractNum>
  <w:abstractNum w:abstractNumId="19">
    <w:nsid w:val="530386D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
    <w:nsid w:val="7525F2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CE8E1A7"/>
    <w:multiLevelType w:val="hybridMultilevel"/>
    <w:lvl w:ilvl="0">
      <w:lvlJc w:val="left"/>
      <w:lvlText w:val="(%1)"/>
      <w:numFmt w:val="lowerRoman"/>
      <w:start w:val="3"/>
    </w:lvl>
  </w:abstractNum>
  <w:abstractNum w:abstractNumId="22">
    <w:nsid w:val="4E9EFB0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23">
    <w:nsid w:val="90802BE"/>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4">
    <w:nsid w:val="3266459B"/>
    <w:multiLevelType w:val="hybridMultilevel"/>
    <w:lvl w:ilvl="0">
      <w:lvlJc w:val="left"/>
      <w:lvlText w:val="(%1)"/>
      <w:numFmt w:val="upperLetter"/>
      <w:start w:val="2"/>
    </w:lvl>
    <w:lvl w:ilvl="1">
      <w:lvlJc w:val="left"/>
      <w:lvlText w:val="(%2)"/>
      <w:numFmt w:val="lowerRoman"/>
      <w:start w:val="3"/>
    </w:lvl>
  </w:abstractNum>
  <w:abstractNum w:abstractNumId="25">
    <w:nsid w:val="3F8B0CBF"/>
    <w:multiLevelType w:val="hybridMultilevel"/>
    <w:lvl w:ilvl="0">
      <w:lvlJc w:val="left"/>
      <w:lvlText w:val="(%1)"/>
      <w:numFmt w:val="lowerLetter"/>
      <w:start w:val="5"/>
    </w:lvl>
  </w:abstractNum>
  <w:abstractNum w:abstractNumId="26">
    <w:nsid w:val="37E203AB"/>
    <w:multiLevelType w:val="hybridMultilevel"/>
    <w:lvl w:ilvl="0">
      <w:lvlJc w:val="left"/>
      <w:lvlText w:val="(%1)"/>
      <w:numFmt w:val="lowerLetter"/>
      <w:start w:val="1"/>
    </w:lvl>
  </w:abstractNum>
  <w:abstractNum w:abstractNumId="27">
    <w:nsid w:val="2586D60E"/>
    <w:multiLevelType w:val="hybridMultilevel"/>
    <w:lvl w:ilvl="0">
      <w:lvlJc w:val="left"/>
      <w:lvlText w:val="(%1)"/>
      <w:numFmt w:val="lowerLetter"/>
      <w:start w:val="6"/>
    </w:lvl>
  </w:abstractNum>
  <w:abstractNum w:abstractNumId="28">
    <w:nsid w:val="1F3DA4D5"/>
    <w:multiLevelType w:val="hybridMultilevel"/>
    <w:lvl w:ilvl="0">
      <w:lvlJc w:val="left"/>
      <w:lvlText w:val="(%1)"/>
      <w:numFmt w:val="lowerLetter"/>
      <w:start w:val="1"/>
    </w:lvl>
  </w:abstractNum>
  <w:abstractNum w:abstractNumId="29">
    <w:nsid w:val="74C93698"/>
    <w:multiLevelType w:val="hybridMultilevel"/>
    <w:lvl w:ilvl="0">
      <w:lvlJc w:val="left"/>
      <w:lvlText w:val="(%1)"/>
      <w:numFmt w:val="lowerLetter"/>
      <w:start w:val="1"/>
    </w:lvl>
  </w:abstractNum>
  <w:abstractNum w:abstractNumId="30">
    <w:nsid w:val="48781401"/>
    <w:multiLevelType w:val="hybridMultilevel"/>
    <w:lvl w:ilvl="0">
      <w:lvlJc w:val="left"/>
      <w:lvlText w:val="(%1)"/>
      <w:numFmt w:val="lowerLetter"/>
      <w:start w:val="2"/>
    </w:lvl>
  </w:abstractNum>
  <w:abstractNum w:abstractNumId="31">
    <w:nsid w:val="186928D6"/>
    <w:multiLevelType w:val="hybridMultilevel"/>
    <w:lvl w:ilvl="0">
      <w:lvlJc w:val="left"/>
      <w:lvlText w:val="(%1)"/>
      <w:numFmt w:val="lowerLetter"/>
      <w:start w:val="1"/>
    </w:lvl>
  </w:abstractNum>
  <w:abstractNum w:abstractNumId="32">
    <w:nsid w:val="47195E5"/>
    <w:multiLevelType w:val="hybridMultilevel"/>
    <w:lvl w:ilvl="0">
      <w:lvlJc w:val="left"/>
      <w:lvlText w:val="%1"/>
      <w:numFmt w:val="lowerLetter"/>
      <w:start w:val="1"/>
    </w:lvl>
    <w:lvl w:ilvl="1">
      <w:lvlJc w:val="left"/>
      <w:lvlText w:val="(%2)"/>
      <w:numFmt w:val="lowerLetter"/>
      <w:start w:val="2"/>
    </w:lvl>
  </w:abstractNum>
  <w:abstractNum w:abstractNumId="33">
    <w:nsid w:val="3746A5F2"/>
    <w:multiLevelType w:val="hybridMultilevel"/>
    <w:lvl w:ilvl="0">
      <w:lvlJc w:val="left"/>
      <w:lvlText w:val="(%1)"/>
      <w:numFmt w:val="lowerLetter"/>
      <w:start w:val="9"/>
    </w:lvl>
    <w:lvl w:ilvl="1">
      <w:lvlJc w:val="left"/>
      <w:lvlText w:val="(%2)"/>
      <w:numFmt w:val="lowerLetter"/>
      <w:start w:val="3"/>
    </w:lvl>
  </w:abstractNum>
  <w:abstractNum w:abstractNumId="34">
    <w:nsid w:val="682DFED6"/>
    <w:multiLevelType w:val="hybridMultilevel"/>
    <w:lvl w:ilvl="0">
      <w:lvlJc w:val="left"/>
      <w:lvlText w:val="(%1)"/>
      <w:numFmt w:val="lowerLetter"/>
      <w:start w:val="1"/>
    </w:lvl>
    <w:lvl w:ilvl="1">
      <w:lvlJc w:val="left"/>
      <w:lvlText w:val="(%2)"/>
      <w:numFmt w:val="lowerRoman"/>
      <w:start w:val="1"/>
    </w:lvl>
  </w:abstractNum>
  <w:abstractNum w:abstractNumId="35">
    <w:nsid w:val="606ED7F6"/>
    <w:multiLevelType w:val="hybridMultilevel"/>
    <w:lvl w:ilvl="0">
      <w:lvlJc w:val="left"/>
      <w:lvlText w:val="(%1)"/>
      <w:numFmt w:val="lowerLetter"/>
      <w:start w:val="2"/>
    </w:lvl>
  </w:abstractNum>
  <w:abstractNum w:abstractNumId="36">
    <w:nsid w:val="2D9DF57D"/>
    <w:multiLevelType w:val="hybridMultilevel"/>
    <w:lvl w:ilvl="0">
      <w:lvlJc w:val="left"/>
      <w:lvlText w:val="%1"/>
      <w:numFmt w:val="lowerLetter"/>
      <w:start w:val="1"/>
    </w:lvl>
    <w:lvl w:ilvl="1">
      <w:lvlJc w:val="left"/>
      <w:lvlText w:val="(%2)"/>
      <w:numFmt w:val="lowerLetter"/>
      <w:start w:val="4"/>
    </w:lvl>
  </w:abstractNum>
  <w:abstractNum w:abstractNumId="37">
    <w:nsid w:val="7FBD7A3E"/>
    <w:multiLevelType w:val="hybridMultilevel"/>
    <w:lvl w:ilvl="0">
      <w:lvlJc w:val="left"/>
      <w:lvlText w:val="(%1)"/>
      <w:numFmt w:val="lowerLetter"/>
      <w:start w:val="9"/>
    </w:lvl>
    <w:lvl w:ilvl="1">
      <w:lvlJc w:val="left"/>
      <w:lvlText w:val="(%2)"/>
      <w:numFmt w:val="lowerLetter"/>
      <w:start w:val="5"/>
    </w:lvl>
  </w:abstractNum>
  <w:abstractNum w:abstractNumId="38">
    <w:nsid w:val="490B7C5"/>
    <w:multiLevelType w:val="hybridMultilevel"/>
    <w:lvl w:ilvl="0">
      <w:lvlJc w:val="left"/>
      <w:lvlText w:val="(%1)"/>
      <w:numFmt w:val="lowerLetter"/>
      <w:start w:val="1"/>
    </w:lvl>
  </w:abstractNum>
  <w:abstractNum w:abstractNumId="39">
    <w:nsid w:val="4303A216"/>
    <w:multiLevelType w:val="hybridMultilevel"/>
    <w:lvl w:ilvl="0">
      <w:lvlJc w:val="left"/>
      <w:lvlText w:val="(%1)"/>
      <w:numFmt w:val="lowerLetter"/>
      <w:start w:val="4"/>
    </w:lvl>
  </w:abstractNum>
  <w:abstractNum w:abstractNumId="40">
    <w:nsid w:val="19B8A08E"/>
    <w:multiLevelType w:val="hybridMultilevel"/>
    <w:lvl w:ilvl="0">
      <w:lvlJc w:val="left"/>
      <w:lvlText w:val="(%1)"/>
      <w:numFmt w:val="lowerLetter"/>
      <w:start w:val="1"/>
    </w:lvl>
  </w:abstractNum>
  <w:abstractNum w:abstractNumId="41">
    <w:nsid w:val="54B59621"/>
    <w:multiLevelType w:val="hybridMultilevel"/>
    <w:lvl w:ilvl="0">
      <w:lvlJc w:val="left"/>
      <w:lvlText w:val="%1"/>
      <w:numFmt w:val="lowerLetter"/>
      <w:start w:val="1"/>
    </w:lvl>
    <w:lvl w:ilvl="1">
      <w:lvlJc w:val="left"/>
      <w:lvlText w:val="(%2)"/>
      <w:numFmt w:val="lowerLetter"/>
      <w:start w:val="5"/>
    </w:lvl>
  </w:abstractNum>
  <w:abstractNum w:abstractNumId="42">
    <w:nsid w:val="5992A02E"/>
    <w:multiLevelType w:val="hybridMultilevel"/>
    <w:lvl w:ilvl="0">
      <w:lvlJc w:val="left"/>
      <w:lvlText w:val="(%1)"/>
      <w:numFmt w:val="lowerLetter"/>
      <w:start w:val="35"/>
    </w:lvl>
    <w:lvl w:ilvl="1">
      <w:lvlJc w:val="left"/>
      <w:lvlText w:val="(%2)"/>
      <w:numFmt w:val="lowerLetter"/>
      <w:start w:val="6"/>
    </w:lvl>
  </w:abstractNum>
  <w:abstractNum w:abstractNumId="43">
    <w:nsid w:val="29EF532D"/>
    <w:multiLevelType w:val="hybridMultilevel"/>
    <w:lvl w:ilvl="0">
      <w:lvlJc w:val="left"/>
      <w:lvlText w:val="(%1)"/>
      <w:numFmt w:val="lowerLetter"/>
      <w:start w:val="13"/>
    </w:lvl>
  </w:abstractNum>
  <w:abstractNum w:abstractNumId="44">
    <w:nsid w:val="71D601AF"/>
    <w:multiLevelType w:val="hybridMultilevel"/>
    <w:lvl w:ilvl="0">
      <w:lvlJc w:val="left"/>
      <w:lvlText w:val="(%1)"/>
      <w:numFmt w:val="lowerLetter"/>
      <w:start w:val="20"/>
    </w:lvl>
  </w:abstractNum>
  <w:abstractNum w:abstractNumId="45">
    <w:nsid w:val="52C77402"/>
    <w:multiLevelType w:val="hybridMultilevel"/>
    <w:lvl w:ilvl="0">
      <w:lvlJc w:val="left"/>
      <w:lvlText w:val="(%1)"/>
      <w:numFmt w:val="lowerLetter"/>
      <w:start w:val="1"/>
    </w:lvl>
  </w:abstractNum>
  <w:abstractNum w:abstractNumId="46">
    <w:nsid w:val="2BB5B1C6"/>
    <w:multiLevelType w:val="hybridMultilevel"/>
    <w:lvl w:ilvl="0">
      <w:lvlJc w:val="left"/>
      <w:lvlText w:val="(%1)"/>
      <w:numFmt w:val="lowerLetter"/>
      <w:start w:val="1"/>
    </w:lvl>
  </w:abstractNum>
  <w:abstractNum w:abstractNumId="47">
    <w:nsid w:val="66BE6B9"/>
    <w:multiLevelType w:val="hybridMultilevel"/>
    <w:lvl w:ilvl="0">
      <w:lvlJc w:val="left"/>
      <w:lvlText w:val="(%1)"/>
      <w:numFmt w:val="lowerLetter"/>
      <w:start w:val="3"/>
    </w:lvl>
  </w:abstractNum>
  <w:abstractNum w:abstractNumId="48">
    <w:nsid w:val="62234363"/>
    <w:multiLevelType w:val="hybridMultilevel"/>
    <w:lvl w:ilvl="0">
      <w:lvlJc w:val="left"/>
      <w:lvlText w:val="(%1)"/>
      <w:numFmt w:val="lowerLetter"/>
      <w:start w:val="1"/>
    </w:lvl>
    <w:lvl w:ilvl="1">
      <w:lvlJc w:val="left"/>
      <w:lvlText w:val="(%2)"/>
      <w:numFmt w:val="lowerRoman"/>
      <w:start w:val="1"/>
    </w:lvl>
  </w:abstractNum>
  <w:abstractNum w:abstractNumId="49">
    <w:nsid w:val="66D385C9"/>
    <w:multiLevelType w:val="hybridMultilevel"/>
    <w:lvl w:ilvl="0">
      <w:lvlJc w:val="left"/>
      <w:lvlText w:val="(%1)"/>
      <w:numFmt w:val="lowerRoman"/>
      <w:start w:val="5"/>
    </w:lvl>
  </w:abstractNum>
  <w:abstractNum w:abstractNumId="50">
    <w:nsid w:val="596F6D8A"/>
    <w:multiLevelType w:val="hybridMultilevel"/>
    <w:lvl w:ilvl="0">
      <w:lvlJc w:val="left"/>
      <w:lvlText w:val="%1"/>
      <w:numFmt w:val="lowerLetter"/>
      <w:start w:val="1"/>
    </w:lvl>
    <w:lvl w:ilvl="1">
      <w:lvlJc w:val="left"/>
      <w:lvlText w:val="(%2)"/>
      <w:numFmt w:val="lowerRoman"/>
      <w:start w:val="18"/>
    </w:lvl>
  </w:abstractNum>
  <w:abstractNum w:abstractNumId="51">
    <w:nsid w:val="5749361F"/>
    <w:multiLevelType w:val="hybridMultilevel"/>
    <w:lvl w:ilvl="0">
      <w:lvlJc w:val="left"/>
      <w:lvlText w:val="(%1)"/>
      <w:numFmt w:val="lowerLetter"/>
      <w:start w:val="2"/>
    </w:lvl>
    <w:lvl w:ilvl="1">
      <w:lvlJc w:val="left"/>
      <w:lvlText w:val="%2"/>
      <w:numFmt w:val="lowerRoman"/>
      <w:start w:val="1"/>
    </w:lvl>
  </w:abstractNum>
  <w:abstractNum w:abstractNumId="52">
    <w:nsid w:val="73BC6770"/>
    <w:multiLevelType w:val="hybridMultilevel"/>
    <w:lvl w:ilvl="0">
      <w:lvlJc w:val="left"/>
      <w:lvlText w:val="(%1)"/>
      <w:numFmt w:val="lowerLetter"/>
      <w:start w:val="1"/>
    </w:lvl>
  </w:abstractNum>
  <w:abstractNum w:abstractNumId="53">
    <w:nsid w:val="280E6897"/>
    <w:multiLevelType w:val="hybridMultilevel"/>
    <w:lvl w:ilvl="0">
      <w:lvlJc w:val="left"/>
      <w:lvlText w:val="(%1)"/>
      <w:numFmt w:val="lowerLetter"/>
      <w:start w:val="2"/>
    </w:lvl>
  </w:abstractNum>
  <w:abstractNum w:abstractNumId="54">
    <w:nsid w:val="605138DE"/>
    <w:multiLevelType w:val="hybridMultilevel"/>
    <w:lvl w:ilvl="0">
      <w:lvlJc w:val="left"/>
      <w:lvlText w:val="(%1)"/>
      <w:numFmt w:val="lowerLetter"/>
      <w:start w:val="6"/>
    </w:lvl>
  </w:abstractNum>
  <w:abstractNum w:abstractNumId="55">
    <w:nsid w:val="2622AD0C"/>
    <w:multiLevelType w:val="hybridMultilevel"/>
    <w:lvl w:ilvl="0">
      <w:lvlJc w:val="left"/>
      <w:lvlText w:val="(%1)"/>
      <w:numFmt w:val="lowerLetter"/>
      <w:start w:val="10"/>
    </w:lvl>
  </w:abstractNum>
  <w:abstractNum w:abstractNumId="56">
    <w:nsid w:val="67997556"/>
    <w:multiLevelType w:val="hybridMultilevel"/>
    <w:lvl w:ilvl="0">
      <w:lvlJc w:val="left"/>
      <w:lvlText w:val="(%1)"/>
      <w:numFmt w:val="lowerLetter"/>
      <w:start w:val="1"/>
    </w:lvl>
  </w:abstractNum>
  <w:abstractNum w:abstractNumId="57">
    <w:nsid w:val="18333C89"/>
    <w:multiLevelType w:val="hybridMultilevel"/>
    <w:lvl w:ilvl="0">
      <w:lvlJc w:val="left"/>
      <w:lvlText w:val="(%1)"/>
      <w:numFmt w:val="lowerLetter"/>
      <w:start w:val="3"/>
    </w:lvl>
  </w:abstractNum>
  <w:abstractNum w:abstractNumId="58">
    <w:nsid w:val="4BA9831A"/>
    <w:multiLevelType w:val="hybridMultilevel"/>
    <w:lvl w:ilvl="0">
      <w:lvlJc w:val="left"/>
      <w:lvlText w:val="(%1)"/>
      <w:numFmt w:val="lowerLetter"/>
      <w:start w:val="8"/>
    </w:lvl>
  </w:abstractNum>
  <w:abstractNum w:abstractNumId="59">
    <w:nsid w:val="6D71A2B"/>
    <w:multiLevelType w:val="hybridMultilevel"/>
    <w:lvl w:ilvl="0">
      <w:lvlJc w:val="left"/>
      <w:lvlText w:val="(%1)"/>
      <w:numFmt w:val="lowerLetter"/>
      <w:start w:val="15"/>
    </w:lvl>
  </w:abstractNum>
  <w:abstractNum w:abstractNumId="60">
    <w:nsid w:val="CFC7321"/>
    <w:multiLevelType w:val="hybridMultilevel"/>
    <w:lvl w:ilvl="0">
      <w:lvlJc w:val="left"/>
      <w:lvlText w:val="(%1)"/>
      <w:numFmt w:val="lowerLetter"/>
      <w:start w:val="1"/>
    </w:lvl>
  </w:abstractNum>
  <w:abstractNum w:abstractNumId="61">
    <w:nsid w:val="1421971B"/>
    <w:multiLevelType w:val="hybridMultilevel"/>
    <w:lvl w:ilvl="0">
      <w:lvlJc w:val="left"/>
      <w:lvlText w:val="(%1)"/>
      <w:numFmt w:val="lowerLetter"/>
      <w:start w:val="1"/>
    </w:lvl>
  </w:abstractNum>
  <w:abstractNum w:abstractNumId="62">
    <w:nsid w:val="1F404301"/>
    <w:multiLevelType w:val="hybridMultilevel"/>
    <w:lvl w:ilvl="0">
      <w:lvlJc w:val="left"/>
      <w:lvlText w:val="(%1)"/>
      <w:numFmt w:val="lowerLetter"/>
      <w:start w:val="2"/>
    </w:lvl>
  </w:abstractNum>
  <w:abstractNum w:abstractNumId="63">
    <w:nsid w:val="116E0907"/>
    <w:multiLevelType w:val="hybridMultilevel"/>
    <w:lvl w:ilvl="0">
      <w:lvlJc w:val="left"/>
      <w:lvlText w:val="(%1)"/>
      <w:numFmt w:val="lowerLetter"/>
      <w:start w:val="6"/>
    </w:lvl>
  </w:abstractNum>
  <w:abstractNum w:abstractNumId="64">
    <w:nsid w:val="4B683D0D"/>
    <w:multiLevelType w:val="hybridMultilevel"/>
    <w:lvl w:ilvl="0">
      <w:lvlJc w:val="left"/>
      <w:lvlText w:val="(%1)"/>
      <w:numFmt w:val="lowerLetter"/>
      <w:start w:val="1"/>
    </w:lvl>
  </w:abstractNum>
  <w:abstractNum w:abstractNumId="65">
    <w:nsid w:val="76E41D8"/>
    <w:multiLevelType w:val="hybridMultilevel"/>
    <w:lvl w:ilvl="0">
      <w:lvlJc w:val="left"/>
      <w:lvlText w:val="(%1)"/>
      <w:numFmt w:val="lowerLetter"/>
      <w:start w:val="4"/>
    </w:lvl>
  </w:abstractNum>
  <w:abstractNum w:abstractNumId="66">
    <w:nsid w:val="71DCE0FD"/>
    <w:multiLevelType w:val="hybridMultilevel"/>
    <w:lvl w:ilvl="0">
      <w:lvlJc w:val="left"/>
      <w:lvlText w:val="(%1)"/>
      <w:numFmt w:val="lowerLetter"/>
      <w:start w:val="1"/>
    </w:lvl>
  </w:abstractNum>
  <w:abstractNum w:abstractNumId="67">
    <w:nsid w:val="7906328B"/>
    <w:multiLevelType w:val="hybridMultilevel"/>
    <w:lvl w:ilvl="0">
      <w:lvlJc w:val="left"/>
      <w:lvlText w:val="(%1)"/>
      <w:numFmt w:val="lowerLetter"/>
      <w:start w:val="3"/>
    </w:lvl>
  </w:abstractNum>
  <w:abstractNum w:abstractNumId="68">
    <w:nsid w:val="72BBC16"/>
    <w:multiLevelType w:val="hybridMultilevel"/>
    <w:lvl w:ilvl="0">
      <w:lvlJc w:val="left"/>
      <w:lvlText w:val="(%1)"/>
      <w:numFmt w:val="lowerLetter"/>
      <w:start w:val="5"/>
    </w:lvl>
  </w:abstractNum>
  <w:abstractNum w:abstractNumId="69">
    <w:nsid w:val="766D98C2"/>
    <w:multiLevelType w:val="hybridMultilevel"/>
    <w:lvl w:ilvl="0">
      <w:lvlJc w:val="left"/>
      <w:lvlText w:val="(%1)"/>
      <w:numFmt w:val="lowerLetter"/>
      <w:start w:val="8"/>
    </w:lvl>
  </w:abstractNum>
  <w:abstractNum w:abstractNumId="70">
    <w:nsid w:val="3C09D4A1"/>
    <w:multiLevelType w:val="hybridMultilevel"/>
    <w:lvl w:ilvl="0">
      <w:lvlJc w:val="left"/>
      <w:lvlText w:val="%1"/>
      <w:numFmt w:val="upperLetter"/>
      <w:start w:val="1"/>
    </w:lvl>
    <w:lvl w:ilvl="1">
      <w:lvlJc w:val="left"/>
      <w:lvlText w:val="(%2)"/>
      <w:numFmt w:val="lowerLetter"/>
      <w:start w:val="1"/>
    </w:lvl>
  </w:abstractNum>
  <w:abstractNum w:abstractNumId="71">
    <w:nsid w:val="20E45CA4"/>
    <w:multiLevelType w:val="hybridMultilevel"/>
    <w:lvl w:ilvl="0">
      <w:lvlJc w:val="left"/>
      <w:lvlText w:val="(%1)"/>
      <w:numFmt w:val="lowerLetter"/>
      <w:start w:val="1"/>
    </w:lvl>
    <w:lvl w:ilvl="1">
      <w:lvlJc w:val="left"/>
      <w:lvlText w:val="(%2)"/>
      <w:numFmt w:val="lowerRoman"/>
      <w:start w:val="1"/>
    </w:lvl>
  </w:abstractNum>
  <w:abstractNum w:abstractNumId="72">
    <w:nsid w:val="4B232EE3"/>
    <w:multiLevelType w:val="hybridMultilevel"/>
    <w:lvl w:ilvl="0">
      <w:lvlJc w:val="left"/>
      <w:lvlText w:val="(%1)"/>
      <w:numFmt w:val="lowerLetter"/>
      <w:start w:val="1"/>
    </w:lvl>
  </w:abstractNum>
  <w:abstractNum w:abstractNumId="73">
    <w:nsid w:val="159C74CF"/>
    <w:multiLevelType w:val="hybridMultilevel"/>
    <w:lvl w:ilvl="0">
      <w:lvlJc w:val="left"/>
      <w:lvlText w:val="(%1)"/>
      <w:numFmt w:val="lowerLetter"/>
      <w:start w:val="5"/>
    </w:lvl>
  </w:abstractNum>
  <w:abstractNum w:abstractNumId="74">
    <w:nsid w:val="4AD3AFD2"/>
    <w:multiLevelType w:val="hybridMultilevel"/>
    <w:lvl w:ilvl="0">
      <w:lvlJc w:val="left"/>
      <w:lvlText w:val="(%1)"/>
      <w:numFmt w:val="lowerLetter"/>
      <w:start w:val="6"/>
    </w:lvl>
  </w:abstractNum>
  <w:abstractNum w:abstractNumId="75">
    <w:nsid w:val="3CF93092"/>
    <w:multiLevelType w:val="hybridMultilevel"/>
    <w:lvl w:ilvl="0">
      <w:lvlJc w:val="left"/>
      <w:lvlText w:val="(%1)"/>
      <w:numFmt w:val="lowerLetter"/>
      <w:start w:val="1"/>
    </w:lvl>
  </w:abstractNum>
  <w:abstractNum w:abstractNumId="76">
    <w:nsid w:val="6863E8D2"/>
    <w:multiLevelType w:val="hybridMultilevel"/>
    <w:lvl w:ilvl="0">
      <w:lvlJc w:val="left"/>
      <w:lvlText w:val="(%1)"/>
      <w:numFmt w:val="lowerLetter"/>
      <w:start w:val="1"/>
    </w:lvl>
  </w:abstractNum>
  <w:abstractNum w:abstractNumId="77">
    <w:nsid w:val="76896198"/>
    <w:multiLevelType w:val="hybridMultilevel"/>
    <w:lvl w:ilvl="0">
      <w:lvlJc w:val="left"/>
      <w:lvlText w:val="(%1)"/>
      <w:numFmt w:val="lowerLetter"/>
      <w:start w:val="2"/>
    </w:lvl>
  </w:abstractNum>
  <w:abstractNum w:abstractNumId="78">
    <w:nsid w:val="4365174B"/>
    <w:multiLevelType w:val="hybridMultilevel"/>
    <w:lvl w:ilvl="0">
      <w:lvlJc w:val="left"/>
      <w:lvlText w:val="(%1)"/>
      <w:numFmt w:val="lowerLetter"/>
      <w:start w:val="2"/>
    </w:lvl>
    <w:lvl w:ilvl="1">
      <w:lvlJc w:val="left"/>
      <w:lvlText w:val="(%2)"/>
      <w:numFmt w:val="lowerRoman"/>
      <w:start w:val="1"/>
    </w:lvl>
  </w:abstractNum>
  <w:abstractNum w:abstractNumId="79">
    <w:nsid w:val="4A872C35"/>
    <w:multiLevelType w:val="hybridMultilevel"/>
    <w:lvl w:ilvl="0">
      <w:lvlJc w:val="left"/>
      <w:lvlText w:val="%1"/>
      <w:numFmt w:val="lowerLetter"/>
      <w:start w:val="1"/>
    </w:lvl>
    <w:lvl w:ilvl="1">
      <w:lvlJc w:val="left"/>
      <w:lvlText w:val="(%2)"/>
      <w:numFmt w:val="lowerRoman"/>
      <w:start w:val="7"/>
    </w:lvl>
  </w:abstractNum>
  <w:abstractNum w:abstractNumId="80">
    <w:nsid w:val="5D5CE761"/>
    <w:multiLevelType w:val="hybridMultilevel"/>
    <w:lvl w:ilvl="0">
      <w:lvlJc w:val="left"/>
      <w:lvlText w:val="(%1)"/>
      <w:numFmt w:val="lowerLetter"/>
      <w:start w:val="25"/>
    </w:lvl>
    <w:lvl w:ilvl="1">
      <w:lvlJc w:val="left"/>
      <w:lvlText w:val="(%2)"/>
      <w:numFmt w:val="lowerRoman"/>
      <w:start w:val="11"/>
    </w:lvl>
  </w:abstractNum>
  <w:abstractNum w:abstractNumId="81">
    <w:nsid w:val="1CD484D5"/>
    <w:multiLevelType w:val="hybridMultilevel"/>
    <w:lvl w:ilvl="0">
      <w:lvlJc w:val="left"/>
      <w:lvlText w:val="(%1)"/>
      <w:numFmt w:val="lowerRoman"/>
      <w:start w:val="16"/>
    </w:lvl>
  </w:abstractNum>
  <w:abstractNum w:abstractNumId="82">
    <w:nsid w:val="21D06255"/>
    <w:multiLevelType w:val="hybridMultilevel"/>
    <w:lvl w:ilvl="0">
      <w:lvlJc w:val="left"/>
      <w:lvlText w:val="(%1)"/>
      <w:numFmt w:val="lowerLetter"/>
      <w:start w:val="1"/>
    </w:lvl>
  </w:abstractNum>
  <w:abstractNum w:abstractNumId="83">
    <w:nsid w:val="51194ED1"/>
    <w:multiLevelType w:val="hybridMultilevel"/>
    <w:lvl w:ilvl="0">
      <w:lvlJc w:val="left"/>
      <w:lvlText w:val="(%1)"/>
      <w:numFmt w:val="lowerLetter"/>
      <w:start w:val="2"/>
    </w:lvl>
  </w:abstractNum>
  <w:abstractNum w:abstractNumId="84">
    <w:nsid w:val="44E2ED6C"/>
    <w:multiLevelType w:val="hybridMultilevel"/>
    <w:lvl w:ilvl="0">
      <w:lvlJc w:val="left"/>
      <w:lvlText w:val="(%1)"/>
      <w:numFmt w:val="lowerLetter"/>
      <w:start w:val="1"/>
    </w:lvl>
  </w:abstractNum>
  <w:abstractNum w:abstractNumId="85">
    <w:nsid w:val="2219B33"/>
    <w:multiLevelType w:val="hybridMultilevel"/>
    <w:lvl w:ilvl="0">
      <w:lvlJc w:val="left"/>
      <w:lvlText w:val="%1"/>
      <w:numFmt w:val="lowerRoman"/>
      <w:start w:val="1"/>
    </w:lvl>
    <w:lvl w:ilvl="1">
      <w:lvlJc w:val="left"/>
      <w:lvlText w:val="(%2)"/>
      <w:numFmt w:val="lowerLetter"/>
      <w:start w:val="4"/>
    </w:lvl>
  </w:abstractNum>
  <w:abstractNum w:abstractNumId="86">
    <w:nsid w:val="773BFBDD"/>
    <w:multiLevelType w:val="hybridMultilevel"/>
    <w:lvl w:ilvl="0">
      <w:lvlJc w:val="left"/>
      <w:lvlText w:val="(%1)"/>
      <w:numFmt w:val="lowerRoman"/>
      <w:start w:val="4"/>
    </w:lvl>
    <w:lvl w:ilvl="1">
      <w:lvlJc w:val="left"/>
      <w:lvlText w:val="(%2)"/>
      <w:numFmt w:val="lowerLetter"/>
      <w:start w:val="5"/>
    </w:lvl>
  </w:abstractNum>
  <w:abstractNum w:abstractNumId="87">
    <w:nsid w:val="2C7C62C2"/>
    <w:multiLevelType w:val="hybridMultilevel"/>
    <w:lvl w:ilvl="0">
      <w:lvlJc w:val="left"/>
      <w:lvlText w:val="§"/>
      <w:numFmt w:val="bullet"/>
      <w:start w:val="1"/>
    </w:lvl>
    <w:lvl w:ilvl="1">
      <w:lvlJc w:val="left"/>
      <w:lvlText w:val="(%2)"/>
      <w:numFmt w:val="lowerLetter"/>
      <w:start w:val="6"/>
    </w:lvl>
  </w:abstractNum>
  <w:abstractNum w:abstractNumId="88">
    <w:nsid w:val="1A54D7BC"/>
    <w:multiLevelType w:val="hybridMultilevel"/>
    <w:lvl w:ilvl="0">
      <w:lvlJc w:val="left"/>
      <w:lvlText w:val="§"/>
      <w:numFmt w:val="bullet"/>
      <w:start w:val="1"/>
    </w:lvl>
    <w:lvl w:ilvl="1">
      <w:lvlJc w:val="left"/>
      <w:lvlText w:val="(%2)"/>
      <w:numFmt w:val="lowerLetter"/>
      <w:start w:val="7"/>
    </w:lvl>
  </w:abstractNum>
  <w:abstractNum w:abstractNumId="89">
    <w:nsid w:val="42E57EF7"/>
    <w:multiLevelType w:val="hybridMultilevel"/>
    <w:lvl w:ilvl="0">
      <w:lvlJc w:val="left"/>
      <w:lvlText w:val="(%1)"/>
      <w:numFmt w:val="lowerLetter"/>
      <w:start w:val="1"/>
    </w:lvl>
  </w:abstractNum>
  <w:abstractNum w:abstractNumId="90">
    <w:nsid w:val="33537CED"/>
    <w:multiLevelType w:val="hybridMultilevel"/>
    <w:lvl w:ilvl="0">
      <w:lvlJc w:val="left"/>
      <w:lvlText w:val="(%1)"/>
      <w:numFmt w:val="lowerLetter"/>
      <w:start w:val="2"/>
    </w:lvl>
  </w:abstractNum>
  <w:abstractNum w:abstractNumId="91">
    <w:nsid w:val="27514ADE"/>
    <w:multiLevelType w:val="hybridMultilevel"/>
    <w:lvl w:ilvl="0">
      <w:lvlJc w:val="left"/>
      <w:lvlText w:val="%1"/>
      <w:numFmt w:val="lowerLetter"/>
      <w:start w:val="1"/>
    </w:lvl>
    <w:lvl w:ilvl="1">
      <w:lvlJc w:val="left"/>
      <w:lvlText w:val="(%2)"/>
      <w:numFmt w:val="lowerLetter"/>
      <w:start w:val="3"/>
    </w:lvl>
  </w:abstractNum>
  <w:abstractNum w:abstractNumId="92">
    <w:nsid w:val="57071613"/>
    <w:multiLevelType w:val="hybridMultilevel"/>
    <w:lvl w:ilvl="0">
      <w:lvlJc w:val="left"/>
      <w:lvlText w:val="(%1)"/>
      <w:numFmt w:val="lowerLetter"/>
      <w:start w:val="9"/>
    </w:lvl>
    <w:lvl w:ilvl="1">
      <w:lvlJc w:val="left"/>
      <w:lvlText w:val="(%2)"/>
      <w:numFmt w:val="lowerLetter"/>
      <w:start w:val="4"/>
    </w:lvl>
  </w:abstractNum>
  <w:abstractNum w:abstractNumId="93">
    <w:nsid w:val="5293BFEF"/>
    <w:multiLevelType w:val="hybridMultilevel"/>
    <w:lvl w:ilvl="0">
      <w:lvlJc w:val="left"/>
      <w:lvlText w:val="(%1)"/>
      <w:numFmt w:val="lowerLetter"/>
      <w:start w:val="7"/>
    </w:lvl>
  </w:abstractNum>
  <w:abstractNum w:abstractNumId="94">
    <w:nsid w:val="38BF53E5"/>
    <w:multiLevelType w:val="hybridMultilevel"/>
    <w:lvl w:ilvl="0">
      <w:lvlJc w:val="left"/>
      <w:lvlText w:val="(%1)"/>
      <w:numFmt w:val="lowerRoman"/>
      <w:start w:val="1"/>
    </w:lvl>
  </w:abstractNum>
  <w:abstractNum w:abstractNumId="95">
    <w:nsid w:val="226F5320"/>
    <w:multiLevelType w:val="hybridMultilevel"/>
    <w:lvl w:ilvl="0">
      <w:lvlJc w:val="left"/>
      <w:lvlText w:val="%1"/>
      <w:numFmt w:val="upperLetter"/>
      <w:start w:val="1"/>
    </w:lvl>
    <w:lvl w:ilvl="1">
      <w:lvlJc w:val="left"/>
      <w:lvlText w:val="(%2)"/>
      <w:numFmt w:val="lowerLetter"/>
      <w:start w:val="1"/>
    </w:lvl>
  </w:abstractNum>
  <w:abstractNum w:abstractNumId="96">
    <w:nsid w:val="5A0201C7"/>
    <w:multiLevelType w:val="hybridMultilevel"/>
    <w:lvl w:ilvl="0">
      <w:lvlJc w:val="left"/>
      <w:lvlText w:val="(%1)"/>
      <w:numFmt w:val="upperLetter"/>
      <w:start w:val="1"/>
    </w:lvl>
    <w:lvl w:ilvl="1">
      <w:lvlJc w:val="left"/>
      <w:lvlText w:val="(%2)"/>
      <w:numFmt w:val="lowerLetter"/>
      <w:start w:val="2"/>
    </w:lvl>
  </w:abstractNum>
  <w:abstractNum w:abstractNumId="97">
    <w:nsid w:val="2A9C34E2"/>
    <w:multiLevelType w:val="hybridMultilevel"/>
    <w:lvl w:ilvl="0">
      <w:lvlJc w:val="left"/>
      <w:lvlText w:val="(%1)"/>
      <w:numFmt w:val="lowerLetter"/>
      <w:start w:val="4"/>
    </w:lvl>
  </w:abstractNum>
  <w:abstractNum w:abstractNumId="98">
    <w:nsid w:val="1B7585AB"/>
    <w:multiLevelType w:val="hybridMultilevel"/>
    <w:lvl w:ilvl="0">
      <w:lvlJc w:val="left"/>
      <w:lvlText w:val="(%1)"/>
      <w:numFmt w:val="lowerLetter"/>
      <w:start w:val="2"/>
    </w:lvl>
  </w:abstractNum>
  <w:abstractNum w:abstractNumId="99">
    <w:nsid w:val="612DBDDD"/>
    <w:multiLevelType w:val="hybridMultilevel"/>
    <w:lvl w:ilvl="0">
      <w:lvlJc w:val="left"/>
      <w:lvlText w:val="(%1)"/>
      <w:numFmt w:val="lowerLetter"/>
      <w:start w:val="1"/>
    </w:lvl>
  </w:abstractNum>
  <w:abstractNum w:abstractNumId="100">
    <w:nsid w:val="2109CDA4"/>
    <w:multiLevelType w:val="hybridMultilevel"/>
    <w:lvl w:ilvl="0">
      <w:lvlJc w:val="left"/>
      <w:lvlText w:val="(%1)"/>
      <w:numFmt w:val="lowerLetter"/>
      <w:start w:val="3"/>
    </w:lvl>
  </w:abstractNum>
  <w:abstractNum w:abstractNumId="101">
    <w:nsid w:val="577F5A4D"/>
    <w:multiLevelType w:val="hybridMultilevel"/>
    <w:lvl w:ilvl="0">
      <w:lvlJc w:val="left"/>
      <w:lvlText w:val="(%1)"/>
      <w:numFmt w:val="lowerLetter"/>
      <w:start w:val="6"/>
    </w:lvl>
  </w:abstractNum>
  <w:abstractNum w:abstractNumId="102">
    <w:nsid w:val="2121A81"/>
    <w:multiLevelType w:val="hybridMultilevel"/>
    <w:lvl w:ilvl="0">
      <w:lvlJc w:val="left"/>
      <w:lvlText w:val="(%1)"/>
      <w:numFmt w:val="decimal"/>
      <w:start w:val="5"/>
    </w:lvl>
  </w:abstractNum>
  <w:abstractNum w:abstractNumId="103">
    <w:nsid w:val="6C2CFC88"/>
    <w:multiLevelType w:val="hybridMultilevel"/>
    <w:lvl w:ilvl="0">
      <w:lvlJc w:val="left"/>
      <w:lvlText w:val="(%1)"/>
      <w:numFmt w:val="upperLetter"/>
      <w:start w:val="4"/>
    </w:lvl>
  </w:abstractNum>
  <w:abstractNum w:abstractNumId="104">
    <w:nsid w:val="6D1BCF1C"/>
    <w:multiLevelType w:val="hybridMultilevel"/>
    <w:lvl w:ilvl="0">
      <w:lvlJc w:val="left"/>
      <w:lvlText w:val="(%1)"/>
      <w:numFmt w:val="lowerLetter"/>
      <w:start w:val="1"/>
    </w:lvl>
  </w:abstractNum>
  <w:abstractNum w:abstractNumId="105">
    <w:nsid w:val="4CE5CA53"/>
    <w:multiLevelType w:val="hybridMultilevel"/>
    <w:lvl w:ilvl="0">
      <w:lvlJc w:val="left"/>
      <w:lvlText w:val="(%1)"/>
      <w:numFmt w:val="lowerLetter"/>
      <w:start w:val="1"/>
    </w:lvl>
  </w:abstractNum>
  <w:abstractNum w:abstractNumId="106">
    <w:nsid w:val="29262D1A"/>
    <w:multiLevelType w:val="hybridMultilevel"/>
    <w:lvl w:ilvl="0">
      <w:lvlJc w:val="left"/>
      <w:lvlText w:val="(%1)"/>
      <w:numFmt w:val="lowerLetter"/>
      <w:start w:val="2"/>
    </w:lvl>
  </w:abstractNum>
  <w:abstractNum w:abstractNumId="107">
    <w:nsid w:val="557FB7EE"/>
    <w:multiLevelType w:val="hybridMultilevel"/>
    <w:lvl w:ilvl="0">
      <w:lvlJc w:val="left"/>
      <w:lvlText w:val="(%1)"/>
      <w:numFmt w:val="lowerLetter"/>
      <w:start w:val="1"/>
    </w:lvl>
  </w:abstractNum>
  <w:abstractNum w:abstractNumId="108">
    <w:nsid w:val="436F2BEB"/>
    <w:multiLevelType w:val="hybridMultilevel"/>
    <w:lvl w:ilvl="0">
      <w:lvlJc w:val="left"/>
      <w:lvlText w:val="(%1)"/>
      <w:numFmt w:val="lowerLetter"/>
      <w:start w:val="4"/>
    </w:lvl>
  </w:abstractNum>
  <w:abstractNum w:abstractNumId="109">
    <w:nsid w:val="6C8B4466"/>
    <w:multiLevelType w:val="hybridMultilevel"/>
    <w:lvl w:ilvl="0">
      <w:lvlJc w:val="left"/>
      <w:lvlText w:val="(%1)"/>
      <w:numFmt w:val="lowerLetter"/>
      <w:start w:val="1"/>
    </w:lvl>
  </w:abstractNum>
  <w:abstractNum w:abstractNumId="110">
    <w:nsid w:val="2006E424"/>
    <w:multiLevelType w:val="hybridMultilevel"/>
    <w:lvl w:ilvl="0">
      <w:lvlJc w:val="left"/>
      <w:lvlText w:val="(%1)"/>
      <w:numFmt w:val="lowerLetter"/>
      <w:start w:val="1"/>
    </w:lvl>
  </w:abstractNum>
  <w:abstractNum w:abstractNumId="111">
    <w:nsid w:val="20CC134C"/>
    <w:multiLevelType w:val="hybridMultilevel"/>
    <w:lvl w:ilvl="0">
      <w:lvlJc w:val="left"/>
      <w:lvlText w:val="(%1)"/>
      <w:numFmt w:val="lowerLetter"/>
      <w:start w:val="2"/>
    </w:lvl>
  </w:abstractNum>
  <w:abstractNum w:abstractNumId="112">
    <w:nsid w:val="95FC93B"/>
    <w:multiLevelType w:val="hybridMultilevel"/>
    <w:lvl w:ilvl="0">
      <w:lvlJc w:val="left"/>
      <w:lvlText w:val="(%1)"/>
      <w:numFmt w:val="lowerLetter"/>
      <w:start w:val="3"/>
    </w:lvl>
  </w:abstractNum>
  <w:abstractNum w:abstractNumId="113">
    <w:nsid w:val="41D74679"/>
    <w:multiLevelType w:val="hybridMultilevel"/>
    <w:lvl w:ilvl="0">
      <w:lvlJc w:val="left"/>
      <w:lvlText w:val="(%1)"/>
      <w:numFmt w:val="lowerLetter"/>
      <w:start w:val="1"/>
    </w:lvl>
  </w:abstractNum>
  <w:abstractNum w:abstractNumId="114">
    <w:nsid w:val="71E5621E"/>
    <w:multiLevelType w:val="hybridMultilevel"/>
    <w:lvl w:ilvl="0">
      <w:lvlJc w:val="left"/>
      <w:lvlText w:val="(%1)"/>
      <w:numFmt w:val="lowerRoman"/>
      <w:start w:val="1"/>
    </w:lvl>
  </w:abstractNum>
  <w:abstractNum w:abstractNumId="115">
    <w:nsid w:val="4E42B6A8"/>
    <w:multiLevelType w:val="hybridMultilevel"/>
    <w:lvl w:ilvl="0">
      <w:lvlJc w:val="left"/>
      <w:lvlText w:val="(%1)"/>
      <w:numFmt w:val="lowerLetter"/>
      <w:start w:val="2"/>
    </w:lvl>
    <w:lvl w:ilvl="1">
      <w:lvlJc w:val="left"/>
      <w:lvlText w:val="(%2)"/>
      <w:numFmt w:val="lowerRoman"/>
      <w:start w:val="1"/>
    </w:lvl>
  </w:abstractNum>
  <w:abstractNum w:abstractNumId="116">
    <w:nsid w:val="43F8E1AC"/>
    <w:multiLevelType w:val="hybridMultilevel"/>
    <w:lvl w:ilvl="0">
      <w:lvlJc w:val="left"/>
      <w:lvlText w:val="(%1)"/>
      <w:numFmt w:val="lowerRoman"/>
      <w:start w:val="1"/>
    </w:lvl>
  </w:abstractNum>
  <w:abstractNum w:abstractNumId="117">
    <w:nsid w:val="69215DFB"/>
    <w:multiLevelType w:val="hybridMultilevel"/>
    <w:lvl w:ilvl="0">
      <w:lvlJc w:val="left"/>
      <w:lvlText w:val="(%1)"/>
      <w:numFmt w:val="lowerLetter"/>
      <w:start w:val="1"/>
    </w:lvl>
  </w:abstractNum>
  <w:abstractNum w:abstractNumId="118">
    <w:nsid w:val="7ABF196A"/>
    <w:multiLevelType w:val="hybridMultilevel"/>
    <w:lvl w:ilvl="0">
      <w:lvlJc w:val="left"/>
      <w:lvlText w:val="(%1)"/>
      <w:numFmt w:val="lowerLetter"/>
      <w:start w:val="4"/>
    </w:lvl>
  </w:abstractNum>
  <w:abstractNum w:abstractNumId="119">
    <w:nsid w:val="5E4DB968"/>
    <w:multiLevelType w:val="hybridMultilevel"/>
    <w:lvl w:ilvl="0">
      <w:lvlJc w:val="left"/>
      <w:lvlText w:val="(%1)"/>
      <w:numFmt w:val="lowerLetter"/>
      <w:start w:val="1"/>
    </w:lvl>
  </w:abstractNum>
  <w:abstractNum w:abstractNumId="120">
    <w:nsid w:val="2C06DCF3"/>
    <w:multiLevelType w:val="hybridMultilevel"/>
    <w:lvl w:ilvl="0">
      <w:lvlJc w:val="left"/>
      <w:lvlText w:val="(%1)"/>
      <w:numFmt w:val="lowerLetter"/>
      <w:start w:val="2"/>
    </w:lvl>
  </w:abstractNum>
  <w:abstractNum w:abstractNumId="121">
    <w:nsid w:val="2E129658"/>
    <w:multiLevelType w:val="hybridMultilevel"/>
    <w:lvl w:ilvl="0">
      <w:lvlJc w:val="left"/>
      <w:lvlText w:val="(%1)"/>
      <w:numFmt w:val="lowerLetter"/>
      <w:start w:val="1"/>
    </w:lvl>
  </w:abstractNum>
  <w:abstractNum w:abstractNumId="122">
    <w:nsid w:val="59F0446"/>
    <w:multiLevelType w:val="hybridMultilevel"/>
    <w:lvl w:ilvl="0">
      <w:lvlJc w:val="left"/>
      <w:lvlText w:val="(%1)"/>
      <w:numFmt w:val="lowerLetter"/>
      <w:start w:val="25"/>
    </w:lvl>
  </w:abstractNum>
  <w:abstractNum w:abstractNumId="123">
    <w:nsid w:val="30DF306"/>
    <w:multiLevelType w:val="hybridMultilevel"/>
    <w:lvl w:ilvl="0">
      <w:lvlJc w:val="left"/>
      <w:lvlText w:val="(%1)"/>
      <w:numFmt w:val="lowerLetter"/>
      <w:start w:val="1"/>
    </w:lvl>
  </w:abstractNum>
  <w:abstractNum w:abstractNumId="124">
    <w:nsid w:val="A65647"/>
    <w:multiLevelType w:val="hybridMultilevel"/>
    <w:lvl w:ilvl="0">
      <w:lvlJc w:val="left"/>
      <w:lvlText w:val="(%1)"/>
      <w:numFmt w:val="lowerLetter"/>
      <w:start w:val="2"/>
    </w:lvl>
  </w:abstractNum>
  <w:abstractNum w:abstractNumId="125">
    <w:nsid w:val="3E5E582B"/>
    <w:multiLevelType w:val="hybridMultilevel"/>
    <w:lvl w:ilvl="0">
      <w:lvlJc w:val="left"/>
      <w:lvlText w:val="(%1)"/>
      <w:numFmt w:val="lowerLetter"/>
      <w:start w:val="5"/>
    </w:lvl>
  </w:abstractNum>
  <w:abstractNum w:abstractNumId="126">
    <w:nsid w:val="257D4626"/>
    <w:multiLevelType w:val="hybridMultilevel"/>
    <w:lvl w:ilvl="0">
      <w:lvlJc w:val="left"/>
      <w:lvlText w:val="(%1)"/>
      <w:numFmt w:val="lowerLetter"/>
      <w:start w:val="1"/>
    </w:lvl>
  </w:abstractNum>
  <w:abstractNum w:abstractNumId="127">
    <w:nsid w:val="5AA8580E"/>
    <w:multiLevelType w:val="hybridMultilevel"/>
    <w:lvl w:ilvl="0">
      <w:lvlJc w:val="left"/>
      <w:lvlText w:val="(%1)"/>
      <w:numFmt w:val="lowerLetter"/>
      <w:start w:val="1"/>
    </w:lvl>
  </w:abstractNum>
  <w:abstractNum w:abstractNumId="128">
    <w:nsid w:val="68FA8D0D"/>
    <w:multiLevelType w:val="hybridMultilevel"/>
    <w:lvl w:ilvl="0">
      <w:lvlJc w:val="left"/>
      <w:lvlText w:val="(%1)"/>
      <w:numFmt w:val="lowerLetter"/>
      <w:start w:val="3"/>
    </w:lvl>
  </w:abstractNum>
  <w:abstractNum w:abstractNumId="129">
    <w:nsid w:val="40F2CBD2"/>
    <w:multiLevelType w:val="hybridMultilevel"/>
    <w:lvl w:ilvl="0">
      <w:lvlJc w:val="left"/>
      <w:lvlText w:val="(%1)"/>
      <w:numFmt w:val="lowerLetter"/>
      <w:start w:val="1"/>
    </w:lvl>
  </w:abstractNum>
  <w:abstractNum w:abstractNumId="130">
    <w:nsid w:val="3BD615EB"/>
    <w:multiLevelType w:val="hybridMultilevel"/>
    <w:lvl w:ilvl="0">
      <w:lvlJc w:val="left"/>
      <w:lvlText w:val="(%1)"/>
      <w:numFmt w:val="lowerLetter"/>
      <w:start w:val="2"/>
    </w:lvl>
  </w:abstractNum>
  <w:abstractNum w:abstractNumId="131">
    <w:nsid w:val="A045AB2"/>
    <w:multiLevelType w:val="hybridMultilevel"/>
    <w:lvl w:ilvl="0">
      <w:lvlJc w:val="left"/>
      <w:lvlText w:val="(%1)"/>
      <w:numFmt w:val="lowerLetter"/>
      <w:start w:val="4"/>
    </w:lvl>
  </w:abstractNum>
  <w:abstractNum w:abstractNumId="132">
    <w:nsid w:val="1872261F"/>
    <w:multiLevelType w:val="hybridMultilevel"/>
    <w:lvl w:ilvl="0">
      <w:lvlJc w:val="left"/>
      <w:lvlText w:val="(%1)"/>
      <w:numFmt w:val="lowerLetter"/>
      <w:start w:val="1"/>
    </w:lvl>
  </w:abstractNum>
  <w:abstractNum w:abstractNumId="133">
    <w:nsid w:val="3DE8306C"/>
    <w:multiLevelType w:val="hybridMultilevel"/>
    <w:lvl w:ilvl="0">
      <w:lvlJc w:val="left"/>
      <w:lvlText w:val="(%1)"/>
      <w:numFmt w:val="lowerRoman"/>
      <w:start w:val="6"/>
    </w:lvl>
  </w:abstractNum>
  <w:abstractNum w:abstractNumId="134">
    <w:nsid w:val="7631573A"/>
    <w:multiLevelType w:val="hybridMultilevel"/>
    <w:lvl w:ilvl="0">
      <w:lvlJc w:val="left"/>
      <w:lvlText w:val="(%1)"/>
      <w:numFmt w:val="upperLetter"/>
      <w:start w:val="1"/>
    </w:lvl>
  </w:abstractNum>
  <w:abstractNum w:abstractNumId="135">
    <w:nsid w:val="58DF53B"/>
    <w:multiLevelType w:val="hybridMultilevel"/>
    <w:lvl w:ilvl="0">
      <w:lvlJc w:val="left"/>
      <w:lvlText w:val="(%1)"/>
      <w:numFmt w:val="lowerRoman"/>
      <w:start w:val="3"/>
    </w:lvl>
  </w:abstractNum>
  <w:abstractNum w:abstractNumId="136">
    <w:nsid w:val="ACDFAC0"/>
    <w:multiLevelType w:val="hybridMultilevel"/>
    <w:lvl w:ilvl="0">
      <w:lvlJc w:val="left"/>
      <w:lvlText w:val="§"/>
      <w:numFmt w:val="bullet"/>
      <w:start w:val="1"/>
    </w:lvl>
  </w:abstractNum>
  <w:abstractNum w:abstractNumId="137">
    <w:nsid w:val="1F578454"/>
    <w:multiLevelType w:val="hybridMultilevel"/>
    <w:lvl w:ilvl="0">
      <w:lvlJc w:val="left"/>
      <w:lvlText w:val="(%1)"/>
      <w:numFmt w:val="lowerLetter"/>
      <w:start w:val="2"/>
    </w:lvl>
  </w:abstractNum>
  <w:abstractNum w:abstractNumId="138">
    <w:nsid w:val="5B0DAD2A"/>
    <w:multiLevelType w:val="hybridMultilevel"/>
    <w:lvl w:ilvl="0">
      <w:lvlJc w:val="left"/>
      <w:lvlText w:val="(%1)"/>
      <w:numFmt w:val="lowerLetter"/>
      <w:start w:val="1"/>
    </w:lvl>
  </w:abstractNum>
  <w:abstractNum w:abstractNumId="139">
    <w:nsid w:val="4E3D26AB"/>
    <w:multiLevelType w:val="hybridMultilevel"/>
    <w:lvl w:ilvl="0">
      <w:lvlJc w:val="left"/>
      <w:lvlText w:val="(%1)"/>
      <w:numFmt w:val="lowerLetter"/>
      <w:start w:val="3"/>
    </w:lvl>
  </w:abstractNum>
  <w:abstractNum w:abstractNumId="140">
    <w:nsid w:val="BE2C8BA"/>
    <w:multiLevelType w:val="hybridMultilevel"/>
    <w:lvl w:ilvl="0">
      <w:lvlJc w:val="left"/>
      <w:lvlText w:val="(%1)"/>
      <w:numFmt w:val="lowerLetter"/>
      <w:start w:val="9"/>
    </w:lvl>
  </w:abstractNum>
  <w:abstractNum w:abstractNumId="141">
    <w:nsid w:val="7B14914E"/>
    <w:multiLevelType w:val="hybridMultilevel"/>
    <w:lvl w:ilvl="0">
      <w:lvlJc w:val="left"/>
      <w:lvlText w:val="(%1)"/>
      <w:numFmt w:val="lowerRoman"/>
      <w:start w:val="2"/>
    </w:lvl>
  </w:abstractNum>
  <w:abstractNum w:abstractNumId="142">
    <w:nsid w:val="6F0939F8"/>
    <w:multiLevelType w:val="hybridMultilevel"/>
    <w:lvl w:ilvl="0">
      <w:lvlJc w:val="left"/>
      <w:lvlText w:val="(%1)"/>
      <w:numFmt w:val="lowerLetter"/>
      <w:start w:val="5"/>
    </w:lvl>
  </w:abstractNum>
  <w:abstractNum w:abstractNumId="143">
    <w:nsid w:val="154291F6"/>
    <w:multiLevelType w:val="hybridMultilevel"/>
    <w:lvl w:ilvl="0">
      <w:lvlJc w:val="left"/>
      <w:lvlText w:val="(%1)"/>
      <w:numFmt w:val="lowerRoman"/>
      <w:start w:val="2"/>
    </w:lvl>
  </w:abstractNum>
  <w:abstractNum w:abstractNumId="144">
    <w:nsid w:val="3CEBD7C7"/>
    <w:multiLevelType w:val="hybridMultilevel"/>
    <w:lvl w:ilvl="0">
      <w:lvlJc w:val="left"/>
      <w:lvlText w:val="(%1)"/>
      <w:numFmt w:val="lowerLetter"/>
      <w:start w:val="1"/>
    </w:lvl>
  </w:abstractNum>
  <w:abstractNum w:abstractNumId="145">
    <w:nsid w:val="60EE9C16"/>
    <w:multiLevelType w:val="hybridMultilevel"/>
    <w:lvl w:ilvl="0">
      <w:lvlJc w:val="left"/>
      <w:lvlText w:val="1"/>
      <w:numFmt w:val="bullet"/>
      <w:start w:val="1"/>
    </w:lvl>
  </w:abstractNum>
  <w:abstractNum w:abstractNumId="146">
    <w:nsid w:val="6385489E"/>
    <w:multiLevelType w:val="hybridMultilevel"/>
    <w:lvl w:ilvl="0">
      <w:lvlJc w:val="left"/>
      <w:lvlText w:val="(%1)"/>
      <w:numFmt w:val="upperLetter"/>
      <w:start w:val="1"/>
    </w:lvl>
  </w:abstractNum>
  <w:abstractNum w:abstractNumId="147">
    <w:nsid w:val="E4B973"/>
    <w:multiLevelType w:val="hybridMultilevel"/>
    <w:lvl w:ilvl="0">
      <w:lvlJc w:val="left"/>
      <w:lvlText w:val="(%1)"/>
      <w:numFmt w:val="lowerLetter"/>
      <w:start w:val="3"/>
    </w:lvl>
  </w:abstractNum>
  <w:abstractNum w:abstractNumId="148">
    <w:nsid w:val="4A0FFA11"/>
    <w:multiLevelType w:val="hybridMultilevel"/>
    <w:lvl w:ilvl="0">
      <w:lvlJc w:val="left"/>
      <w:lvlText w:val="(%1)"/>
      <w:numFmt w:val="lowerLetter"/>
      <w:start w:val="4"/>
    </w:lvl>
  </w:abstractNum>
  <w:abstractNum w:abstractNumId="149">
    <w:nsid w:val="5E446208"/>
    <w:multiLevelType w:val="hybridMultilevel"/>
    <w:lvl w:ilvl="0">
      <w:lvlJc w:val="left"/>
      <w:lvlText w:val="(%1)"/>
      <w:numFmt w:val="upperLetter"/>
      <w:start w:val="2"/>
    </w:lvl>
  </w:abstractNum>
  <w:abstractNum w:abstractNumId="150">
    <w:nsid w:val="5F3272DB"/>
    <w:multiLevelType w:val="hybridMultilevel"/>
    <w:lvl w:ilvl="0">
      <w:lvlJc w:val="left"/>
      <w:lvlText w:val="(%1)"/>
      <w:numFmt w:val="lowerLetter"/>
      <w:start w:val="1"/>
    </w:lvl>
  </w:abstractNum>
  <w:abstractNum w:abstractNumId="151">
    <w:nsid w:val="7616D704"/>
    <w:multiLevelType w:val="hybridMultilevel"/>
    <w:lvl w:ilvl="0">
      <w:lvlJc w:val="left"/>
      <w:lvlText w:val="(%1)"/>
      <w:numFmt w:val="decimal"/>
      <w:start w:val="4"/>
    </w:lvl>
  </w:abstractNum>
  <w:abstractNum w:abstractNumId="152">
    <w:nsid w:val="C56F860"/>
    <w:multiLevelType w:val="hybridMultilevel"/>
    <w:lvl w:ilvl="0">
      <w:lvlJc w:val="left"/>
      <w:lvlText w:val="(%1)"/>
      <w:numFmt w:val="lowerLetter"/>
      <w:start w:val="2"/>
    </w:lvl>
  </w:abstractNum>
  <w:abstractNum w:abstractNumId="153">
    <w:nsid w:val="64D17722"/>
    <w:multiLevelType w:val="hybridMultilevel"/>
    <w:lvl w:ilvl="0">
      <w:lvlJc w:val="left"/>
      <w:lvlText w:val="(%1)"/>
      <w:numFmt w:val="lowerLetter"/>
      <w:start w:val="2"/>
    </w:lvl>
    <w:lvl w:ilvl="1">
      <w:lvlJc w:val="left"/>
      <w:lvlText w:val="(%2)"/>
      <w:numFmt w:val="decimal"/>
      <w:start w:val="4"/>
    </w:lvl>
  </w:abstractNum>
  <w:abstractNum w:abstractNumId="154">
    <w:nsid w:val="7924CA0A"/>
    <w:multiLevelType w:val="hybridMultilevel"/>
    <w:lvl w:ilvl="0">
      <w:lvlJc w:val="left"/>
      <w:lvlText w:val="(%1)"/>
      <w:numFmt w:val="lowerLetter"/>
      <w:start w:val="2"/>
    </w:lvl>
  </w:abstractNum>
  <w:abstractNum w:abstractNumId="155">
    <w:nsid w:val="CFD4EA7"/>
    <w:multiLevelType w:val="hybridMultilevel"/>
    <w:lvl w:ilvl="0">
      <w:lvlJc w:val="left"/>
      <w:lvlText w:val="(%1)"/>
      <w:numFmt w:val="lowerLetter"/>
      <w:start w:val="1"/>
    </w:lvl>
  </w:abstractNum>
  <w:abstractNum w:abstractNumId="156">
    <w:nsid w:val="232FCF4D"/>
    <w:multiLevelType w:val="hybridMultilevel"/>
    <w:lvl w:ilvl="0">
      <w:lvlJc w:val="left"/>
      <w:lvlText w:val="%1."/>
      <w:numFmt w:val="decimal"/>
      <w:start w:val="1"/>
    </w:lvl>
  </w:abstractNum>
  <w:abstractNum w:abstractNumId="157">
    <w:nsid w:val="1EA21031"/>
    <w:multiLevelType w:val="hybridMultilevel"/>
    <w:lvl w:ilvl="0">
      <w:lvlJc w:val="left"/>
      <w:lvlText w:val="2"/>
      <w:numFmt w:val="bullet"/>
      <w:start w:val="1"/>
    </w:lvl>
  </w:abstractNum>
  <w:abstractNum w:abstractNumId="158">
    <w:nsid w:val="67A5A6B5"/>
    <w:multiLevelType w:val="hybridMultilevel"/>
    <w:lvl w:ilvl="0">
      <w:lvlJc w:val="left"/>
      <w:lvlText w:val="%1"/>
      <w:numFmt w:val="lowerLetter"/>
      <w:start w:val="1"/>
    </w:lvl>
    <w:lvl w:ilvl="1">
      <w:lvlJc w:val="left"/>
      <w:lvlText w:val="%2."/>
      <w:numFmt w:val="decimal"/>
      <w:start w:val="7"/>
    </w:lvl>
  </w:abstractNum>
  <w:abstractNum w:abstractNumId="159">
    <w:nsid w:val="C2A5C5B"/>
    <w:multiLevelType w:val="hybridMultilevel"/>
    <w:lvl w:ilvl="0">
      <w:lvlJc w:val="left"/>
      <w:lvlText w:val="(%1)"/>
      <w:numFmt w:val="lowerLetter"/>
      <w:start w:val="3"/>
    </w:lvl>
    <w:lvl w:ilvl="1">
      <w:lvlJc w:val="left"/>
      <w:lvlText w:val="%2."/>
      <w:numFmt w:val="decimal"/>
      <w:start w:val="8"/>
    </w:lvl>
  </w:abstractNum>
  <w:abstractNum w:abstractNumId="160">
    <w:nsid w:val="5F94DC03"/>
    <w:multiLevelType w:val="hybridMultilevel"/>
    <w:lvl w:ilvl="0">
      <w:lvlJc w:val="left"/>
      <w:lvlText w:val="%1."/>
      <w:numFmt w:val="decimal"/>
      <w:start w:val="9"/>
    </w:lvl>
  </w:abstractNum>
  <w:abstractNum w:abstractNumId="161">
    <w:nsid w:val="237BBCA0"/>
    <w:multiLevelType w:val="hybridMultilevel"/>
    <w:lvl w:ilvl="0">
      <w:lvlJc w:val="left"/>
      <w:lvlText w:val="(%1)"/>
      <w:numFmt w:val="lowerLetter"/>
      <w:start w:val="3"/>
    </w:lvl>
  </w:abstractNum>
  <w:abstractNum w:abstractNumId="162">
    <w:nsid w:val="162EB70D"/>
    <w:multiLevelType w:val="hybridMultilevel"/>
    <w:lvl w:ilvl="0">
      <w:lvlJc w:val="left"/>
      <w:lvlText w:val="(%1)"/>
      <w:numFmt w:val="lowerRoman"/>
      <w:start w:val="2"/>
    </w:lvl>
  </w:abstractNum>
  <w:abstractNum w:abstractNumId="163">
    <w:nsid w:val="78070222"/>
    <w:multiLevelType w:val="hybridMultilevel"/>
    <w:lvl w:ilvl="0">
      <w:lvlJc w:val="left"/>
      <w:lvlText w:val="(%1)"/>
      <w:numFmt w:val="lowerLetter"/>
      <w:start w:val="1"/>
    </w:lvl>
  </w:abstractNum>
  <w:abstractNum w:abstractNumId="164">
    <w:nsid w:val="6163ED0D"/>
    <w:multiLevelType w:val="hybridMultilevel"/>
    <w:lvl w:ilvl="0">
      <w:lvlJc w:val="left"/>
      <w:lvlText w:val="(%1)"/>
      <w:numFmt w:val="lowerLetter"/>
      <w:start w:val="2"/>
    </w:lvl>
  </w:abstractNum>
  <w:abstractNum w:abstractNumId="165">
    <w:nsid w:val="C600E47"/>
    <w:multiLevelType w:val="hybridMultilevel"/>
    <w:lvl w:ilvl="0">
      <w:lvlJc w:val="left"/>
      <w:lvlText w:val="(%1)"/>
      <w:numFmt w:val="upperLetter"/>
      <w:start w:val="1"/>
    </w:lvl>
  </w:abstractNum>
  <w:abstractNum w:abstractNumId="166">
    <w:nsid w:val="7D94F75D"/>
    <w:multiLevelType w:val="hybridMultilevel"/>
    <w:lvl w:ilvl="0">
      <w:lvlJc w:val="left"/>
      <w:lvlText w:val="(%1)"/>
      <w:numFmt w:val="lowerLetter"/>
      <w:start w:val="2"/>
    </w:lvl>
  </w:abstractNum>
  <w:abstractNum w:abstractNumId="167">
    <w:nsid w:val="6C31E7CD"/>
    <w:multiLevelType w:val="hybridMultilevel"/>
    <w:lvl w:ilvl="0">
      <w:lvlJc w:val="left"/>
      <w:lvlText w:val="(%1)"/>
      <w:numFmt w:val="lowerLetter"/>
      <w:start w:val="1"/>
    </w:lvl>
  </w:abstractNum>
  <w:abstractNum w:abstractNumId="168">
    <w:nsid w:val="2BB7929B"/>
    <w:multiLevelType w:val="hybridMultilevel"/>
    <w:lvl w:ilvl="0">
      <w:lvlJc w:val="left"/>
      <w:lvlText w:val="(%1)"/>
      <w:numFmt w:val="lowerRoman"/>
      <w:start w:val="2"/>
    </w:lvl>
  </w:abstractNum>
  <w:abstractNum w:abstractNumId="169">
    <w:nsid w:val="58A2A487"/>
    <w:multiLevelType w:val="hybridMultilevel"/>
    <w:lvl w:ilvl="0">
      <w:lvlJc w:val="left"/>
      <w:lvlText w:val="(%1)"/>
      <w:numFmt w:val="lowerLetter"/>
      <w:start w:val="3"/>
    </w:lvl>
  </w:abstractNum>
  <w:abstractNum w:abstractNumId="170">
    <w:nsid w:val="3A6F0E78"/>
    <w:multiLevelType w:val="hybridMultilevel"/>
    <w:lvl w:ilvl="0">
      <w:lvlJc w:val="left"/>
      <w:lvlText w:val="(%1)"/>
      <w:numFmt w:val="lowerLetter"/>
      <w:start w:val="2"/>
    </w:lvl>
  </w:abstractNum>
  <w:abstractNum w:abstractNumId="171">
    <w:nsid w:val="379A5B56"/>
    <w:multiLevelType w:val="hybridMultilevel"/>
    <w:lvl w:ilvl="0">
      <w:lvlJc w:val="left"/>
      <w:lvlText w:val="(%1)"/>
      <w:numFmt w:val="lowerLetter"/>
      <w:start w:val="2"/>
    </w:lvl>
  </w:abstractNum>
  <w:abstractNum w:abstractNumId="172">
    <w:nsid w:val="53B735D5"/>
    <w:multiLevelType w:val="hybridMultilevel"/>
    <w:lvl w:ilvl="0">
      <w:lvlJc w:val="left"/>
      <w:lvlText w:val="(%1)"/>
      <w:numFmt w:val="lowerLetter"/>
      <w:start w:val="6"/>
    </w:lvl>
  </w:abstractNum>
  <w:abstractNum w:abstractNumId="173">
    <w:nsid w:val="29784870"/>
    <w:multiLevelType w:val="hybridMultilevel"/>
    <w:lvl w:ilvl="0">
      <w:lvlJc w:val="left"/>
      <w:lvlText w:val="(%1)"/>
      <w:numFmt w:val="lowerLetter"/>
      <w:start w:val="3"/>
    </w:lvl>
  </w:abstractNum>
  <w:abstractNum w:abstractNumId="174">
    <w:nsid w:val="4CDCED4C"/>
    <w:multiLevelType w:val="hybridMultilevel"/>
    <w:lvl w:ilvl="0">
      <w:lvlJc w:val="left"/>
      <w:lvlText w:val="(%1)"/>
      <w:numFmt w:val="lowerLetter"/>
      <w:start w:val="2"/>
    </w:lvl>
  </w:abstractNum>
  <w:abstractNum w:abstractNumId="175">
    <w:nsid w:val="10A30D9C"/>
    <w:multiLevelType w:val="hybridMultilevel"/>
    <w:lvl w:ilvl="0">
      <w:lvlJc w:val="left"/>
      <w:lvlText w:val="(%1)"/>
      <w:numFmt w:val="lowerLetter"/>
      <w:start w:val="1"/>
    </w:lvl>
  </w:abstractNum>
  <w:abstractNum w:abstractNumId="176">
    <w:nsid w:val="A66E486"/>
    <w:multiLevelType w:val="hybridMultilevel"/>
    <w:lvl w:ilvl="0">
      <w:lvlJc w:val="left"/>
      <w:lvlText w:val="(%1)"/>
      <w:numFmt w:val="lowerLetter"/>
      <w:start w:val="2"/>
    </w:lvl>
  </w:abstractNum>
  <w:abstractNum w:abstractNumId="177">
    <w:nsid w:val="306235EA"/>
    <w:multiLevelType w:val="hybridMultilevel"/>
    <w:lvl w:ilvl="0">
      <w:lvlJc w:val="left"/>
      <w:lvlText w:val="(%1)"/>
      <w:numFmt w:val="lowerLetter"/>
      <w:start w:val="3"/>
    </w:lvl>
  </w:abstractNum>
  <w:abstractNum w:abstractNumId="178">
    <w:nsid w:val="1187C70F"/>
    <w:multiLevelType w:val="hybridMultilevel"/>
    <w:lvl w:ilvl="0">
      <w:lvlJc w:val="left"/>
      <w:lvlText w:val="(%1)"/>
      <w:numFmt w:val="lowerLetter"/>
      <w:start w:val="2"/>
    </w:lvl>
  </w:abstractNum>
  <w:abstractNum w:abstractNumId="179">
    <w:nsid w:val="5476DE98"/>
    <w:multiLevelType w:val="hybridMultilevel"/>
    <w:lvl w:ilvl="0">
      <w:lvlJc w:val="left"/>
      <w:lvlText w:val="(%1)"/>
      <w:numFmt w:val="lowerLetter"/>
      <w:start w:val="2"/>
    </w:lvl>
  </w:abstractNum>
  <w:abstractNum w:abstractNumId="180">
    <w:nsid w:val="EA697F2"/>
    <w:multiLevelType w:val="hybridMultilevel"/>
    <w:lvl w:ilvl="0">
      <w:lvlJc w:val="left"/>
      <w:lvlText w:val="(%1)"/>
      <w:numFmt w:val="lowerLetter"/>
      <w:start w:val="2"/>
    </w:lvl>
  </w:abstractNum>
  <w:abstractNum w:abstractNumId="181">
    <w:nsid w:val="70BA39EB"/>
    <w:multiLevelType w:val="hybridMultilevel"/>
    <w:lvl w:ilvl="0">
      <w:lvlJc w:val="left"/>
      <w:lvlText w:val="(%1)"/>
      <w:numFmt w:val="lowerLetter"/>
      <w:start w:val="1"/>
    </w:lvl>
  </w:abstractNum>
  <w:abstractNum w:abstractNumId="182">
    <w:nsid w:val="4A8DB59C"/>
    <w:multiLevelType w:val="hybridMultilevel"/>
    <w:lvl w:ilvl="0">
      <w:lvlJc w:val="left"/>
      <w:lvlText w:val="%1"/>
      <w:numFmt w:val="lowerLetter"/>
      <w:start w:val="1"/>
    </w:lvl>
    <w:lvl w:ilvl="1">
      <w:lvlJc w:val="left"/>
      <w:lvlText w:val="(%2)"/>
      <w:numFmt w:val="lowerLetter"/>
      <w:start w:val="1"/>
    </w:lvl>
  </w:abstractNum>
  <w:abstractNum w:abstractNumId="183">
    <w:nsid w:val="1AFD9053"/>
    <w:multiLevelType w:val="hybridMultilevel"/>
    <w:lvl w:ilvl="0">
      <w:lvlJc w:val="left"/>
      <w:lvlText w:val="(%1)"/>
      <w:numFmt w:val="lowerLetter"/>
      <w:start w:val="9"/>
    </w:lvl>
    <w:lvl w:ilvl="1">
      <w:lvlJc w:val="left"/>
      <w:lvlText w:val="(%2)"/>
      <w:numFmt w:val="lowerLetter"/>
      <w:start w:val="2"/>
    </w:lvl>
  </w:abstractNum>
  <w:abstractNum w:abstractNumId="184">
    <w:nsid w:val="558BB10D"/>
    <w:multiLevelType w:val="hybridMultilevel"/>
    <w:lvl w:ilvl="0">
      <w:lvlJc w:val="left"/>
      <w:lvlText w:val="(%1)"/>
      <w:numFmt w:val="lowerLetter"/>
      <w:start w:val="5"/>
    </w:lvl>
  </w:abstractNum>
  <w:abstractNum w:abstractNumId="185">
    <w:nsid w:val="43B27FA7"/>
    <w:multiLevelType w:val="hybridMultilevel"/>
    <w:lvl w:ilvl="0">
      <w:lvlJc w:val="left"/>
      <w:lvlText w:val="(%1)"/>
      <w:numFmt w:val="lowerLetter"/>
      <w:start w:val="1"/>
    </w:lvl>
  </w:abstractNum>
  <w:abstractNum w:abstractNumId="186">
    <w:nsid w:val="27FADEFA"/>
    <w:multiLevelType w:val="hybridMultilevel"/>
    <w:lvl w:ilvl="0">
      <w:lvlJc w:val="left"/>
      <w:lvlText w:val="(%1)"/>
      <w:numFmt w:val="lowerLetter"/>
      <w:start w:val="1"/>
    </w:lvl>
  </w:abstractNum>
  <w:abstractNum w:abstractNumId="187">
    <w:nsid w:val="78BB805A"/>
    <w:multiLevelType w:val="hybridMultilevel"/>
    <w:lvl w:ilvl="0">
      <w:lvlJc w:val="left"/>
      <w:lvlText w:val="(%1)"/>
      <w:numFmt w:val="lowerLetter"/>
      <w:start w:val="3"/>
    </w:lvl>
    <w:lvl w:ilvl="1">
      <w:lvlJc w:val="left"/>
      <w:lvlText w:val="(%2)"/>
      <w:numFmt w:val="lowerLetter"/>
      <w:start w:val="9"/>
    </w:lvl>
  </w:abstractNum>
  <w:abstractNum w:abstractNumId="188">
    <w:nsid w:val="62548FD8"/>
    <w:multiLevelType w:val="hybridMultilevel"/>
    <w:lvl w:ilvl="0">
      <w:lvlJc w:val="left"/>
      <w:lvlText w:val="(%1)"/>
      <w:numFmt w:val="upperLetter"/>
      <w:start w:val="1"/>
    </w:lvl>
  </w:abstractNum>
  <w:abstractNum w:abstractNumId="189">
    <w:nsid w:val="FA085B0"/>
    <w:multiLevelType w:val="hybridMultilevel"/>
    <w:lvl w:ilvl="0">
      <w:lvlJc w:val="left"/>
      <w:lvlText w:val="%1"/>
      <w:numFmt w:val="lowerRoman"/>
      <w:start w:val="1"/>
    </w:lvl>
    <w:lvl w:ilvl="1">
      <w:lvlJc w:val="left"/>
      <w:lvlText w:val="(%2)"/>
      <w:numFmt w:val="upperLetter"/>
      <w:start w:val="8"/>
    </w:lvl>
  </w:abstractNum>
  <w:abstractNum w:abstractNumId="190">
    <w:nsid w:val="4E5DCB5"/>
    <w:multiLevelType w:val="hybridMultilevel"/>
    <w:lvl w:ilvl="0">
      <w:lvlJc w:val="left"/>
      <w:lvlText w:val="(%1)"/>
      <w:numFmt w:val="lowerRoman"/>
      <w:start w:val="2"/>
    </w:lvl>
    <w:lvl w:ilvl="1">
      <w:lvlJc w:val="left"/>
      <w:lvlText w:val="(%2)"/>
      <w:numFmt w:val="upperLetter"/>
      <w:start w:val="1"/>
    </w:lvl>
  </w:abstractNum>
  <w:abstractNum w:abstractNumId="191">
    <w:nsid w:val="41E96BDB"/>
    <w:multiLevelType w:val="hybridMultilevel"/>
    <w:lvl w:ilvl="0">
      <w:lvlJc w:val="left"/>
      <w:lvlText w:val="(%1)"/>
      <w:numFmt w:val="upperLetter"/>
      <w:start w:val="6"/>
    </w:lvl>
  </w:abstractNum>
  <w:abstractNum w:abstractNumId="192">
    <w:nsid w:val="331C4250"/>
    <w:multiLevelType w:val="hybridMultilevel"/>
    <w:lvl w:ilvl="0">
      <w:lvlJc w:val="left"/>
      <w:lvlText w:val="(%1)"/>
      <w:numFmt w:val="upperLetter"/>
      <w:start w:val="11"/>
    </w:lvl>
  </w:abstractNum>
  <w:abstractNum w:abstractNumId="193">
    <w:nsid w:val="1B1493C2"/>
    <w:multiLevelType w:val="hybridMultilevel"/>
    <w:lvl w:ilvl="0">
      <w:lvlJc w:val="left"/>
      <w:lvlText w:val="(%1)"/>
      <w:numFmt w:val="lowerLetter"/>
      <w:start w:val="1"/>
    </w:lvl>
  </w:abstractNum>
  <w:abstractNum w:abstractNumId="194">
    <w:nsid w:val="39F06DFD"/>
    <w:multiLevelType w:val="hybridMultilevel"/>
    <w:lvl w:ilvl="0">
      <w:lvlJc w:val="left"/>
      <w:lvlText w:val="(%1)"/>
      <w:numFmt w:val="lowerLetter"/>
      <w:start w:val="2"/>
    </w:lvl>
    <w:lvl w:ilvl="1">
      <w:lvlJc w:val="left"/>
      <w:lvlText w:val="(%2)"/>
      <w:numFmt w:val="lowerRoman"/>
      <w:start w:val="1"/>
    </w:lvl>
  </w:abstractNum>
  <w:abstractNum w:abstractNumId="195">
    <w:nsid w:val="14802F5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6">
    <w:nsid w:val="2774A2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6"/>
    </w:lvl>
  </w:abstractNum>
  <w:abstractNum w:abstractNumId="197">
    <w:nsid w:val="378565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98">
    <w:nsid w:val="B2172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upperLetter"/>
      <w:start w:val="1"/>
    </w:lvl>
  </w:abstractNum>
  <w:abstractNum w:abstractNumId="199">
    <w:nsid w:val="532C34A5"/>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9"/>
    </w:lvl>
    <w:lvl w:ilvl="3">
      <w:lvlJc w:val="left"/>
      <w:lvlText w:val="%4"/>
      <w:numFmt w:val="upperLetter"/>
      <w:start w:val="1"/>
    </w:lvl>
  </w:abstractNum>
  <w:abstractNum w:abstractNumId="200">
    <w:nsid w:val="102809E2"/>
    <w:multiLevelType w:val="hybridMultilevel"/>
    <w:lvl w:ilvl="0">
      <w:lvlJc w:val="left"/>
      <w:lvlText w:val="(%1)"/>
      <w:numFmt w:val="lowerRoman"/>
      <w:start w:val="2"/>
    </w:lvl>
  </w:abstractNum>
  <w:abstractNum w:abstractNumId="201">
    <w:nsid w:val="3B2125A3"/>
    <w:multiLevelType w:val="hybridMultilevel"/>
    <w:lvl w:ilvl="0">
      <w:lvlJc w:val="left"/>
      <w:lvlText w:val="%1"/>
      <w:numFmt w:val="lowerLetter"/>
      <w:start w:val="1"/>
    </w:lvl>
    <w:lvl w:ilvl="1">
      <w:lvlJc w:val="left"/>
      <w:lvlText w:val="(%2)"/>
      <w:numFmt w:val="lowerLetter"/>
      <w:start w:val="61"/>
    </w:lvl>
  </w:abstractNum>
  <w:abstractNum w:abstractNumId="202">
    <w:nsid w:val="AC68FFB"/>
    <w:multiLevelType w:val="hybridMultilevel"/>
    <w:lvl w:ilvl="0">
      <w:lvlJc w:val="left"/>
      <w:lvlText w:val="(%1)"/>
      <w:numFmt w:val="lowerLetter"/>
      <w:start w:val="6"/>
    </w:lvl>
    <w:lvl w:ilvl="1">
      <w:lvlJc w:val="left"/>
      <w:lvlText w:val="%2"/>
      <w:numFmt w:val="lowerLetter"/>
      <w:start w:val="1"/>
    </w:lvl>
  </w:abstractNum>
  <w:abstractNum w:abstractNumId="203">
    <w:nsid w:val="63DF3FB7"/>
    <w:multiLevelType w:val="hybridMultilevel"/>
    <w:lvl w:ilvl="0">
      <w:lvlJc w:val="left"/>
      <w:lvlText w:val="(%1)"/>
      <w:numFmt w:val="lowerLetter"/>
      <w:start w:val="7"/>
    </w:lvl>
    <w:lvl w:ilvl="1">
      <w:lvlJc w:val="left"/>
      <w:lvlText w:val="(%2)"/>
      <w:numFmt w:val="lowerRoman"/>
      <w:start w:val="1"/>
    </w:lvl>
  </w:abstractNum>
  <w:abstractNum w:abstractNumId="204">
    <w:nsid w:val="64996E13"/>
    <w:multiLevelType w:val="hybridMultilevel"/>
    <w:lvl w:ilvl="0">
      <w:lvlJc w:val="left"/>
      <w:lvlText w:val="(%1)"/>
      <w:numFmt w:val="lowerRoman"/>
      <w:start w:val="1"/>
    </w:lvl>
    <w:lvl w:ilvl="1">
      <w:lvlJc w:val="left"/>
      <w:lvlText w:val="(%2)"/>
      <w:numFmt w:val="lowerRoman"/>
      <w:start w:val="1"/>
    </w:lvl>
  </w:abstractNum>
  <w:abstractNum w:abstractNumId="205">
    <w:nsid w:val="57A37D47"/>
    <w:multiLevelType w:val="hybridMultilevel"/>
    <w:lvl w:ilvl="0">
      <w:lvlJc w:val="left"/>
      <w:lvlText w:val="(%1)"/>
      <w:numFmt w:val="lowerLetter"/>
      <w:start w:val="10"/>
    </w:lvl>
  </w:abstractNum>
  <w:abstractNum w:abstractNumId="206">
    <w:nsid w:val="74824D54"/>
    <w:multiLevelType w:val="hybridMultilevel"/>
    <w:lvl w:ilvl="0">
      <w:lvlJc w:val="left"/>
      <w:lvlText w:val="(%1)"/>
      <w:numFmt w:val="lowerLetter"/>
      <w:start w:val="14"/>
    </w:lvl>
  </w:abstractNum>
  <w:abstractNum w:abstractNumId="207">
    <w:nsid w:val="6F00529A"/>
    <w:multiLevelType w:val="hybridMultilevel"/>
    <w:lvl w:ilvl="0">
      <w:lvlJc w:val="left"/>
      <w:lvlText w:val="%1"/>
      <w:numFmt w:val="lowerLetter"/>
      <w:start w:val="1"/>
    </w:lvl>
    <w:lvl w:ilvl="1">
      <w:lvlJc w:val="left"/>
      <w:lvlText w:val="(%2)"/>
      <w:numFmt w:val="lowerRoman"/>
      <w:start w:val="1"/>
    </w:lvl>
  </w:abstractNum>
  <w:abstractNum w:abstractNumId="208">
    <w:nsid w:val="805B331"/>
    <w:multiLevelType w:val="hybridMultilevel"/>
    <w:lvl w:ilvl="0">
      <w:lvlJc w:val="left"/>
      <w:lvlText w:val="(%1)"/>
      <w:numFmt w:val="lowerLetter"/>
      <w:start w:val="18"/>
    </w:lvl>
    <w:lvl w:ilvl="1">
      <w:lvlJc w:val="left"/>
      <w:lvlText w:val="%2"/>
      <w:numFmt w:val="lowerRoman"/>
      <w:start w:val="1"/>
    </w:lvl>
  </w:abstractNum>
  <w:abstractNum w:abstractNumId="209">
    <w:nsid w:val="60A1463"/>
    <w:multiLevelType w:val="hybridMultilevel"/>
    <w:lvl w:ilvl="0">
      <w:lvlJc w:val="left"/>
      <w:lvlText w:val="(%1)"/>
      <w:numFmt w:val="lowerLetter"/>
      <w:start w:val="20"/>
    </w:lvl>
  </w:abstractNum>
  <w:abstractNum w:abstractNumId="210">
    <w:nsid w:val="43773132"/>
    <w:multiLevelType w:val="hybridMultilevel"/>
    <w:lvl w:ilvl="0">
      <w:lvlJc w:val="left"/>
      <w:lvlText w:val="(%1)"/>
      <w:numFmt w:val="lowerLetter"/>
      <w:start w:val="1"/>
    </w:lvl>
  </w:abstractNum>
  <w:abstractNum w:abstractNumId="211">
    <w:nsid w:val="16AC4B23"/>
    <w:multiLevelType w:val="hybridMultilevel"/>
    <w:lvl w:ilvl="0">
      <w:lvlJc w:val="left"/>
      <w:lvlText w:val="(%1)"/>
      <w:numFmt w:val="lowerLetter"/>
      <w:start w:val="3"/>
    </w:lvl>
    <w:lvl w:ilvl="1">
      <w:lvlJc w:val="left"/>
      <w:lvlText w:val="(%2)"/>
      <w:numFmt w:val="lowerRoman"/>
      <w:start w:val="1"/>
    </w:lvl>
  </w:abstractNum>
  <w:abstractNum w:abstractNumId="212">
    <w:nsid w:val="76C44E4E"/>
    <w:multiLevelType w:val="hybridMultilevel"/>
    <w:lvl w:ilvl="0">
      <w:lvlJc w:val="left"/>
      <w:lvlText w:val="%1"/>
      <w:numFmt w:val="lowerLetter"/>
      <w:start w:val="1"/>
    </w:lvl>
    <w:lvl w:ilvl="1">
      <w:lvlJc w:val="left"/>
      <w:lvlText w:val="(%2)"/>
      <w:numFmt w:val="lowerRoman"/>
      <w:start w:val="4"/>
    </w:lvl>
  </w:abstractNum>
  <w:abstractNum w:abstractNumId="213">
    <w:nsid w:val="E04E6CE"/>
    <w:multiLevelType w:val="hybridMultilevel"/>
    <w:lvl w:ilvl="0">
      <w:lvlJc w:val="left"/>
      <w:lvlText w:val="(%1)"/>
      <w:numFmt w:val="lowerLetter"/>
      <w:start w:val="4"/>
    </w:lvl>
    <w:lvl w:ilvl="1">
      <w:lvlJc w:val="left"/>
      <w:lvlText w:val="(%2)"/>
      <w:numFmt w:val="lowerRoman"/>
      <w:start w:val="1"/>
    </w:lvl>
  </w:abstractNum>
  <w:abstractNum w:abstractNumId="214">
    <w:nsid w:val="31A9DB76"/>
    <w:multiLevelType w:val="hybridMultilevel"/>
    <w:lvl w:ilvl="0">
      <w:lvlJc w:val="left"/>
      <w:lvlText w:val="(%1)"/>
      <w:numFmt w:val="lowerLetter"/>
      <w:start w:val="1"/>
    </w:lvl>
  </w:abstractNum>
  <w:abstractNum w:abstractNumId="215">
    <w:nsid w:val="4C4FFF5B"/>
    <w:multiLevelType w:val="hybridMultilevel"/>
    <w:lvl w:ilvl="0">
      <w:lvlJc w:val="left"/>
      <w:lvlText w:val="%1"/>
      <w:numFmt w:val="upperLetter"/>
      <w:start w:val="1"/>
    </w:lvl>
    <w:lvl w:ilvl="1">
      <w:lvlJc w:val="left"/>
      <w:lvlText w:val="(%2)"/>
      <w:numFmt w:val="lowerRoman"/>
      <w:start w:val="1"/>
    </w:lvl>
  </w:abstractNum>
  <w:abstractNum w:abstractNumId="216">
    <w:nsid w:val="51B76675"/>
    <w:multiLevelType w:val="hybridMultilevel"/>
    <w:lvl w:ilvl="0">
      <w:lvlJc w:val="left"/>
      <w:lvlText w:val="(%1)"/>
      <w:numFmt w:val="upperLetter"/>
      <w:start w:val="2"/>
    </w:lvl>
    <w:lvl w:ilvl="1">
      <w:lvlJc w:val="left"/>
      <w:lvlText w:val="%2"/>
      <w:numFmt w:val="lowerRoman"/>
      <w:start w:val="1"/>
    </w:lvl>
  </w:abstractNum>
  <w:abstractNum w:abstractNumId="217">
    <w:nsid w:val="59A4BA71"/>
    <w:multiLevelType w:val="hybridMultilevel"/>
    <w:lvl w:ilvl="0">
      <w:lvlJc w:val="left"/>
      <w:lvlText w:val="(%1)"/>
      <w:numFmt w:val="lowerLetter"/>
      <w:start w:val="2"/>
    </w:lvl>
    <w:lvl w:ilvl="1">
      <w:lvlJc w:val="left"/>
      <w:lvlText w:val="(%2)"/>
      <w:numFmt w:val="lowerLetter"/>
      <w:start w:val="9"/>
    </w:lvl>
  </w:abstractNum>
  <w:abstractNum w:abstractNumId="218">
    <w:nsid w:val="450B7FB6"/>
    <w:multiLevelType w:val="hybridMultilevel"/>
    <w:lvl w:ilvl="0">
      <w:lvlJc w:val="left"/>
      <w:lvlText w:val="(%1)"/>
      <w:numFmt w:val="lowerRoman"/>
      <w:start w:val="2"/>
    </w:lvl>
  </w:abstractNum>
  <w:abstractNum w:abstractNumId="219">
    <w:nsid w:val="340BF64D"/>
    <w:multiLevelType w:val="hybridMultilevel"/>
    <w:lvl w:ilvl="0">
      <w:lvlJc w:val="left"/>
      <w:lvlText w:val="(%1)"/>
      <w:numFmt w:val="lowerLetter"/>
      <w:start w:val="1"/>
    </w:lvl>
  </w:abstractNum>
  <w:abstractNum w:abstractNumId="220">
    <w:nsid w:val="69454021"/>
    <w:multiLevelType w:val="hybridMultilevel"/>
    <w:lvl w:ilvl="0">
      <w:lvlJc w:val="left"/>
      <w:lvlText w:val="(%1)"/>
      <w:numFmt w:val="lowerLetter"/>
      <w:start w:val="2"/>
    </w:lvl>
    <w:lvl w:ilvl="1">
      <w:lvlJc w:val="left"/>
      <w:lvlText w:val="(%2)"/>
      <w:numFmt w:val="lowerRoman"/>
      <w:start w:val="1"/>
    </w:lvl>
  </w:abstractNum>
  <w:abstractNum w:abstractNumId="221">
    <w:nsid w:val="49F15C6B"/>
    <w:multiLevelType w:val="hybridMultilevel"/>
    <w:lvl w:ilvl="0">
      <w:lvlJc w:val="left"/>
      <w:lvlText w:val="(%1)"/>
      <w:numFmt w:val="lowerLetter"/>
      <w:start w:val="1"/>
    </w:lvl>
  </w:abstractNum>
  <w:abstractNum w:abstractNumId="222">
    <w:nsid w:val="75F56228"/>
    <w:multiLevelType w:val="hybridMultilevel"/>
    <w:lvl w:ilvl="0">
      <w:lvlJc w:val="left"/>
      <w:lvlText w:val="(%1)"/>
      <w:numFmt w:val="lowerLetter"/>
      <w:start w:val="2"/>
    </w:lvl>
  </w:abstractNum>
  <w:abstractNum w:abstractNumId="223">
    <w:nsid w:val="1C618271"/>
    <w:multiLevelType w:val="hybridMultilevel"/>
    <w:lvl w:ilvl="0">
      <w:lvlJc w:val="left"/>
      <w:lvlText w:val="(%1)"/>
      <w:numFmt w:val="lowerLetter"/>
      <w:start w:val="1"/>
    </w:lvl>
  </w:abstractNum>
  <w:abstractNum w:abstractNumId="224">
    <w:nsid w:val="6505F02E"/>
    <w:multiLevelType w:val="hybridMultilevel"/>
    <w:lvl w:ilvl="0">
      <w:lvlJc w:val="left"/>
      <w:lvlText w:val="%1"/>
      <w:numFmt w:val="lowerLetter"/>
      <w:start w:val="1"/>
    </w:lvl>
    <w:lvl w:ilvl="1">
      <w:lvlJc w:val="left"/>
      <w:lvlText w:val="(%2)"/>
      <w:numFmt w:val="lowerRoman"/>
      <w:start w:val="1"/>
    </w:lvl>
  </w:abstractNum>
  <w:abstractNum w:abstractNumId="225">
    <w:nsid w:val="2FE5D025"/>
    <w:multiLevelType w:val="hybridMultilevel"/>
    <w:lvl w:ilvl="0">
      <w:lvlJc w:val="left"/>
      <w:lvlText w:val="(%1)"/>
      <w:numFmt w:val="lowerLetter"/>
      <w:start w:val="3"/>
    </w:lvl>
    <w:lvl w:ilvl="1">
      <w:lvlJc w:val="left"/>
      <w:lvlText w:val="%2"/>
      <w:numFmt w:val="lowerRoman"/>
      <w:start w:val="1"/>
    </w:lvl>
  </w:abstractNum>
  <w:abstractNum w:abstractNumId="226">
    <w:nsid w:val="30E1B1CF"/>
    <w:multiLevelType w:val="hybridMultilevel"/>
    <w:lvl w:ilvl="0">
      <w:lvlJc w:val="left"/>
      <w:lvlText w:val="(%1)"/>
      <w:numFmt w:val="lowerLetter"/>
      <w:start w:val="1"/>
    </w:lvl>
  </w:abstractNum>
  <w:abstractNum w:abstractNumId="227">
    <w:nsid w:val="C7A9237"/>
    <w:multiLevelType w:val="hybridMultilevel"/>
    <w:lvl w:ilvl="0">
      <w:lvlJc w:val="left"/>
      <w:lvlText w:val="(%1)"/>
      <w:numFmt w:val="lowerRoman"/>
      <w:start w:val="1"/>
    </w:lvl>
  </w:abstractNum>
  <w:abstractNum w:abstractNumId="228">
    <w:nsid w:val="676B3580"/>
    <w:multiLevelType w:val="hybridMultilevel"/>
    <w:lvl w:ilvl="0">
      <w:lvlJc w:val="left"/>
      <w:lvlText w:val="(%1)"/>
      <w:numFmt w:val="lowerLetter"/>
      <w:start w:val="1"/>
    </w:lvl>
  </w:abstractNum>
  <w:abstractNum w:abstractNumId="229">
    <w:nsid w:val="3193C8F9"/>
    <w:multiLevelType w:val="hybridMultilevel"/>
    <w:lvl w:ilvl="0">
      <w:lvlJc w:val="left"/>
      <w:lvlText w:val="(%1)"/>
      <w:numFmt w:val="lowerLetter"/>
      <w:start w:val="1"/>
    </w:lvl>
  </w:abstractNum>
  <w:abstractNum w:abstractNumId="230">
    <w:nsid w:val="5FA6C6DC"/>
    <w:multiLevelType w:val="hybridMultilevel"/>
    <w:lvl w:ilvl="0">
      <w:lvlJc w:val="left"/>
      <w:lvlText w:val="(%1)"/>
      <w:numFmt w:val="lowerLetter"/>
      <w:start w:val="2"/>
    </w:lvl>
  </w:abstractNum>
  <w:abstractNum w:abstractNumId="231">
    <w:nsid w:val="77933F62"/>
    <w:multiLevelType w:val="hybridMultilevel"/>
    <w:lvl w:ilvl="0">
      <w:lvlJc w:val="left"/>
      <w:lvlText w:val="(%1)"/>
      <w:numFmt w:val="lowerLetter"/>
      <w:start w:val="1"/>
    </w:lvl>
  </w:abstractNum>
  <w:abstractNum w:abstractNumId="232">
    <w:nsid w:val="6CB4EE9C"/>
    <w:multiLevelType w:val="hybridMultilevel"/>
    <w:lvl w:ilvl="0">
      <w:lvlJc w:val="left"/>
      <w:lvlText w:val="(%1)"/>
      <w:numFmt w:val="lowerRoman"/>
      <w:start w:val="2"/>
    </w:lvl>
  </w:abstractNum>
  <w:abstractNum w:abstractNumId="233">
    <w:nsid w:val="6A6D56D7"/>
    <w:multiLevelType w:val="hybridMultilevel"/>
    <w:lvl w:ilvl="0">
      <w:lvlJc w:val="left"/>
      <w:lvlText w:val="(%1)"/>
      <w:numFmt w:val="lowerLetter"/>
      <w:start w:val="3"/>
    </w:lvl>
  </w:abstractNum>
  <w:abstractNum w:abstractNumId="234">
    <w:nsid w:val="5B727F19"/>
    <w:multiLevelType w:val="hybridMultilevel"/>
    <w:lvl w:ilvl="0">
      <w:lvlJc w:val="left"/>
      <w:lvlText w:val="%1"/>
      <w:numFmt w:val="lowerLetter"/>
      <w:start w:val="1"/>
    </w:lvl>
    <w:lvl w:ilvl="1">
      <w:lvlJc w:val="left"/>
      <w:lvlText w:val="(%2)"/>
      <w:numFmt w:val="lowerLetter"/>
      <w:start w:val="1"/>
    </w:lvl>
  </w:abstractNum>
  <w:abstractNum w:abstractNumId="235">
    <w:nsid w:val="514E5CB0"/>
    <w:multiLevelType w:val="hybridMultilevel"/>
    <w:lvl w:ilvl="0">
      <w:lvlJc w:val="left"/>
      <w:lvlText w:val="(%1)"/>
      <w:numFmt w:val="lowerLetter"/>
      <w:start w:val="35"/>
    </w:lvl>
    <w:lvl w:ilvl="1">
      <w:lvlJc w:val="left"/>
      <w:lvlText w:val="%2"/>
      <w:numFmt w:val="lowerLetter"/>
      <w:start w:val="1"/>
    </w:lvl>
  </w:abstractNum>
  <w:abstractNum w:abstractNumId="236">
    <w:nsid w:val="4210D41E"/>
    <w:multiLevelType w:val="hybridMultilevel"/>
    <w:lvl w:ilvl="0">
      <w:lvlJc w:val="left"/>
      <w:lvlText w:val="(%1)"/>
      <w:numFmt w:val="lowerLetter"/>
      <w:start w:val="1"/>
    </w:lvl>
  </w:abstractNum>
  <w:abstractNum w:abstractNumId="237">
    <w:nsid w:val="4FF4CC6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38">
    <w:nsid w:val="404EAF4A"/>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39">
    <w:nsid w:val="4A16874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40">
    <w:nsid w:val="55FEE0D1"/>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241">
    <w:nsid w:val="3C5E07C"/>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242">
    <w:nsid w:val="60C2D273"/>
    <w:multiLevelType w:val="hybridMultilevel"/>
    <w:lvl w:ilvl="0">
      <w:lvlJc w:val="left"/>
      <w:lvlText w:val="(%1)"/>
      <w:numFmt w:val="lowerLetter"/>
      <w:start w:val="2"/>
    </w:lvl>
  </w:abstractNum>
  <w:abstractNum w:abstractNumId="243">
    <w:nsid w:val="4CC32F1F"/>
    <w:multiLevelType w:val="hybridMultilevel"/>
    <w:lvl w:ilvl="0">
      <w:lvlJc w:val="left"/>
      <w:lvlText w:val="(%1)"/>
      <w:numFmt w:val="lowerLetter"/>
      <w:start w:val="3"/>
    </w:lvl>
  </w:abstractNum>
  <w:abstractNum w:abstractNumId="244">
    <w:nsid w:val="11CAC74A"/>
    <w:multiLevelType w:val="hybridMultilevel"/>
    <w:lvl w:ilvl="0">
      <w:lvlJc w:val="left"/>
      <w:lvlText w:val="(%1)"/>
      <w:numFmt w:val="lowerLetter"/>
      <w:start w:val="1"/>
    </w:lvl>
    <w:lvl w:ilvl="1">
      <w:lvlJc w:val="left"/>
      <w:lvlText w:val="(%2)"/>
      <w:numFmt w:val="lowerLetter"/>
      <w:start w:val="9"/>
    </w:lvl>
  </w:abstractNum>
  <w:abstractNum w:abstractNumId="245">
    <w:nsid w:val="126CADE9"/>
    <w:multiLevelType w:val="hybridMultilevel"/>
    <w:lvl w:ilvl="0">
      <w:lvlJc w:val="left"/>
      <w:lvlText w:val="%1"/>
      <w:numFmt w:val="lowerLetter"/>
      <w:start w:val="1"/>
    </w:lvl>
    <w:lvl w:ilvl="1">
      <w:lvlJc w:val="left"/>
      <w:lvlText w:val="(%2)"/>
      <w:numFmt w:val="lowerLetter"/>
      <w:start w:val="35"/>
    </w:lvl>
  </w:abstractNum>
  <w:abstractNum w:abstractNumId="246">
    <w:nsid w:val="19132E7B"/>
    <w:multiLevelType w:val="hybridMultilevel"/>
    <w:lvl w:ilvl="0">
      <w:lvlJc w:val="left"/>
      <w:lvlText w:val="(%1)"/>
      <w:numFmt w:val="lowerLetter"/>
      <w:start w:val="5"/>
    </w:lvl>
    <w:lvl w:ilvl="1">
      <w:lvlJc w:val="left"/>
      <w:lvlText w:val="(%2)"/>
      <w:numFmt w:val="lowerLetter"/>
      <w:start w:val="9"/>
    </w:lvl>
  </w:abstractNum>
  <w:abstractNum w:abstractNumId="247">
    <w:nsid w:val="63822DC0"/>
    <w:multiLevelType w:val="hybridMultilevel"/>
    <w:lvl w:ilvl="0">
      <w:lvlJc w:val="left"/>
      <w:lvlText w:val="(%1)"/>
      <w:numFmt w:val="lowerRoman"/>
      <w:start w:val="2"/>
    </w:lvl>
  </w:abstractNum>
  <w:abstractNum w:abstractNumId="248">
    <w:nsid w:val="6C11685A"/>
    <w:multiLevelType w:val="hybridMultilevel"/>
    <w:lvl w:ilvl="0">
      <w:lvlJc w:val="left"/>
      <w:lvlText w:val="(%1)"/>
      <w:numFmt w:val="upperLetter"/>
      <w:start w:val="1"/>
    </w:lvl>
  </w:abstractNum>
  <w:abstractNum w:abstractNumId="249">
    <w:nsid w:val="5E1EAE31"/>
    <w:multiLevelType w:val="hybridMultilevel"/>
    <w:lvl w:ilvl="0">
      <w:lvlJc w:val="left"/>
      <w:lvlText w:val="(%1)"/>
      <w:numFmt w:val="upperLetter"/>
      <w:start w:val="2"/>
    </w:lvl>
    <w:lvl w:ilvl="1">
      <w:lvlJc w:val="left"/>
      <w:lvlText w:val="(%2)"/>
      <w:numFmt w:val="decimal"/>
      <w:start w:val="1"/>
    </w:lvl>
  </w:abstractNum>
  <w:abstractNum w:abstractNumId="250">
    <w:nsid w:val="178E240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51">
    <w:nsid w:val="5556A87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52">
    <w:nsid w:val="28100A9C"/>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253">
    <w:nsid w:val="D838636"/>
    <w:multiLevelType w:val="hybridMultilevel"/>
    <w:lvl w:ilvl="0">
      <w:lvlJc w:val="left"/>
      <w:lvlText w:val="(%1)"/>
      <w:numFmt w:val="lowerLetter"/>
      <w:start w:val="8"/>
    </w:lvl>
  </w:abstractNum>
  <w:abstractNum w:abstractNumId="254">
    <w:nsid w:val="71B82AED"/>
    <w:multiLevelType w:val="hybridMultilevel"/>
    <w:lvl w:ilvl="0">
      <w:lvlJc w:val="left"/>
      <w:lvlText w:val="%1"/>
      <w:numFmt w:val="decimal"/>
      <w:start w:val="1"/>
    </w:lvl>
    <w:lvl w:ilvl="1">
      <w:lvlJc w:val="left"/>
      <w:lvlText w:val="(%2)"/>
      <w:numFmt w:val="lowerLetter"/>
      <w:start w:val="1"/>
    </w:lvl>
  </w:abstractNum>
  <w:abstractNum w:abstractNumId="255">
    <w:nsid w:val="D15FACA"/>
    <w:multiLevelType w:val="hybridMultilevel"/>
    <w:lvl w:ilvl="0">
      <w:lvlJc w:val="left"/>
      <w:lvlText w:val="(%1)"/>
      <w:numFmt w:val="decimal"/>
      <w:start w:val="2"/>
    </w:lvl>
    <w:lvl w:ilvl="1">
      <w:lvlJc w:val="left"/>
      <w:lvlText w:val="%2"/>
      <w:numFmt w:val="lowerLetter"/>
      <w:start w:val="1"/>
    </w:lvl>
  </w:abstractNum>
  <w:abstractNum w:abstractNumId="256">
    <w:nsid w:val="3D69565B"/>
    <w:multiLevelType w:val="hybridMultilevel"/>
    <w:lvl w:ilvl="0">
      <w:lvlJc w:val="left"/>
      <w:lvlText w:val="(%1)"/>
      <w:numFmt w:val="lowerLetter"/>
      <w:start w:val="2"/>
    </w:lvl>
    <w:lvl w:ilvl="1">
      <w:lvlJc w:val="left"/>
      <w:lvlText w:val="(%2)"/>
      <w:numFmt w:val="lowerRoman"/>
      <w:start w:val="1"/>
    </w:lvl>
  </w:abstractNum>
  <w:abstractNum w:abstractNumId="257">
    <w:nsid w:val="2299DCBC"/>
    <w:multiLevelType w:val="hybridMultilevel"/>
    <w:lvl w:ilvl="0">
      <w:lvlJc w:val="left"/>
      <w:lvlText w:val="(%1)"/>
      <w:numFmt w:val="lowerRoman"/>
      <w:start w:val="3"/>
    </w:lvl>
  </w:abstractNum>
  <w:abstractNum w:abstractNumId="258">
    <w:nsid w:val="19908D02"/>
    <w:multiLevelType w:val="hybridMultilevel"/>
    <w:lvl w:ilvl="0">
      <w:lvlJc w:val="left"/>
      <w:lvlText w:val="(%1)"/>
      <w:numFmt w:val="lowerLetter"/>
      <w:start w:val="4"/>
    </w:lvl>
  </w:abstractNum>
  <w:abstractNum w:abstractNumId="259">
    <w:nsid w:val="24D48BDB"/>
    <w:multiLevelType w:val="hybridMultilevel"/>
    <w:lvl w:ilvl="0">
      <w:lvlJc w:val="left"/>
      <w:lvlText w:val="(%1)"/>
      <w:numFmt w:val="lowerLetter"/>
      <w:start w:val="1"/>
    </w:lvl>
    <w:lvl w:ilvl="1">
      <w:lvlJc w:val="left"/>
      <w:lvlText w:val="(%2)"/>
      <w:numFmt w:val="lowerLetter"/>
      <w:start w:val="9"/>
    </w:lvl>
  </w:abstractNum>
  <w:abstractNum w:abstractNumId="260">
    <w:nsid w:val="542DA5B5"/>
    <w:multiLevelType w:val="hybridMultilevel"/>
    <w:lvl w:ilvl="0">
      <w:lvlJc w:val="left"/>
      <w:lvlText w:val="(%1)"/>
      <w:numFmt w:val="lowerRoman"/>
      <w:start w:val="2"/>
    </w:lvl>
  </w:abstractNum>
  <w:abstractNum w:abstractNumId="261">
    <w:nsid w:val="793753DE"/>
    <w:multiLevelType w:val="hybridMultilevel"/>
    <w:lvl w:ilvl="0">
      <w:lvlJc w:val="left"/>
      <w:lvlText w:val="(%1)"/>
      <w:numFmt w:val="lowerLetter"/>
      <w:start w:val="2"/>
    </w:lvl>
  </w:abstractNum>
  <w:abstractNum w:abstractNumId="262">
    <w:nsid w:val="1C67CB3D"/>
    <w:multiLevelType w:val="hybridMultilevel"/>
    <w:lvl w:ilvl="0">
      <w:lvlJc w:val="left"/>
      <w:lvlText w:val="(%1)"/>
      <w:numFmt w:val="decimal"/>
      <w:start w:val="10"/>
    </w:lvl>
    <w:lvl w:ilvl="1">
      <w:lvlJc w:val="left"/>
      <w:lvlText w:val="(%2)"/>
      <w:numFmt w:val="lowerLetter"/>
      <w:start w:val="5"/>
    </w:lvl>
  </w:abstractNum>
  <w:abstractNum w:abstractNumId="263">
    <w:nsid w:val="40E29452"/>
    <w:multiLevelType w:val="hybridMultilevel"/>
    <w:lvl w:ilvl="0">
      <w:lvlJc w:val="left"/>
      <w:lvlText w:val="(%1)"/>
      <w:numFmt w:val="lowerLetter"/>
      <w:start w:val="1"/>
    </w:lvl>
  </w:abstractNum>
  <w:abstractNum w:abstractNumId="264">
    <w:nsid w:val="63A4AAB6"/>
    <w:multiLevelType w:val="hybridMultilevel"/>
    <w:lvl w:ilvl="0">
      <w:lvlJc w:val="left"/>
      <w:lvlText w:val="(%1)"/>
      <w:numFmt w:val="lowerLetter"/>
      <w:start w:val="1"/>
    </w:lvl>
  </w:abstractNum>
  <w:abstractNum w:abstractNumId="265">
    <w:nsid w:val="77DA4A57"/>
    <w:multiLevelType w:val="hybridMultilevel"/>
    <w:lvl w:ilvl="0">
      <w:lvlJc w:val="left"/>
      <w:lvlText w:val="(%1)"/>
      <w:numFmt w:val="lowerLetter"/>
      <w:start w:val="2"/>
    </w:lvl>
  </w:abstractNum>
  <w:abstractNum w:abstractNumId="266">
    <w:nsid w:val="1230F102"/>
    <w:multiLevelType w:val="hybridMultilevel"/>
    <w:lvl w:ilvl="0">
      <w:lvlJc w:val="left"/>
      <w:lvlText w:val="(%1)"/>
      <w:numFmt w:val="lowerLetter"/>
      <w:start w:val="1"/>
    </w:lvl>
  </w:abstractNum>
  <w:abstractNum w:abstractNumId="267">
    <w:nsid w:val="25B57ED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68">
    <w:nsid w:val="47CF16C4"/>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69">
    <w:nsid w:val="527FA04C"/>
    <w:multiLevelType w:val="hybridMultilevel"/>
    <w:lvl w:ilvl="0">
      <w:lvlJc w:val="left"/>
      <w:lvlText w:val="(%1)"/>
      <w:numFmt w:val="lowerRoman"/>
      <w:start w:val="3"/>
    </w:lvl>
  </w:abstractNum>
  <w:abstractNum w:abstractNumId="270">
    <w:nsid w:val="6FCC0624"/>
    <w:multiLevelType w:val="hybridMultilevel"/>
    <w:lvl w:ilvl="0">
      <w:lvlJc w:val="left"/>
      <w:lvlText w:val="(%1)"/>
      <w:numFmt w:val="lowerLetter"/>
      <w:start w:val="7"/>
    </w:lvl>
  </w:abstractNum>
  <w:abstractNum w:abstractNumId="271">
    <w:nsid w:val="1DCDF795"/>
    <w:multiLevelType w:val="hybridMultilevel"/>
    <w:lvl w:ilvl="0">
      <w:lvlJc w:val="left"/>
      <w:lvlText w:val="(%1)"/>
      <w:numFmt w:val="lowerLetter"/>
      <w:start w:val="10"/>
    </w:lvl>
  </w:abstractNum>
  <w:abstractNum w:abstractNumId="272">
    <w:nsid w:val="564580C8"/>
    <w:multiLevelType w:val="hybridMultilevel"/>
    <w:lvl w:ilvl="0">
      <w:lvlJc w:val="left"/>
      <w:lvlText w:val="(%1)"/>
      <w:numFmt w:val="lowerLetter"/>
      <w:start w:val="15"/>
    </w:lvl>
  </w:abstractNum>
  <w:abstractNum w:abstractNumId="273">
    <w:nsid w:val="508ED897"/>
    <w:multiLevelType w:val="hybridMultilevel"/>
    <w:lvl w:ilvl="0">
      <w:lvlJc w:val="left"/>
      <w:lvlText w:val="(%1)"/>
      <w:numFmt w:val="lowerLetter"/>
      <w:start w:val="1"/>
    </w:lvl>
  </w:abstractNum>
  <w:abstractNum w:abstractNumId="274">
    <w:nsid w:val="6A9126B5"/>
    <w:multiLevelType w:val="hybridMultilevel"/>
    <w:lvl w:ilvl="0">
      <w:lvlJc w:val="left"/>
      <w:lvlText w:val="(%1)"/>
      <w:numFmt w:val="lowerLetter"/>
      <w:start w:val="2"/>
    </w:lvl>
  </w:abstractNum>
  <w:abstractNum w:abstractNumId="275">
    <w:nsid w:val="68104812"/>
    <w:multiLevelType w:val="hybridMultilevel"/>
    <w:lvl w:ilvl="0">
      <w:lvlJc w:val="left"/>
      <w:lvlText w:val="(%1)"/>
      <w:numFmt w:val="lowerLetter"/>
      <w:start w:val="1"/>
    </w:lvl>
  </w:abstractNum>
  <w:abstractNum w:abstractNumId="276">
    <w:nsid w:val="62FB8680"/>
    <w:multiLevelType w:val="hybridMultilevel"/>
    <w:lvl w:ilvl="0">
      <w:lvlJc w:val="left"/>
      <w:lvlText w:val="%1"/>
      <w:numFmt w:val="lowerLetter"/>
      <w:start w:val="1"/>
    </w:lvl>
    <w:lvl w:ilvl="1">
      <w:lvlJc w:val="left"/>
      <w:lvlText w:val="(%2)"/>
      <w:numFmt w:val="lowerLetter"/>
      <w:start w:val="1"/>
    </w:lvl>
  </w:abstractNum>
  <w:abstractNum w:abstractNumId="277">
    <w:nsid w:val="3A45530"/>
    <w:multiLevelType w:val="hybridMultilevel"/>
    <w:lvl w:ilvl="0">
      <w:lvlJc w:val="left"/>
      <w:lvlText w:val="(%1)"/>
      <w:numFmt w:val="lowerLetter"/>
      <w:start w:val="35"/>
    </w:lvl>
    <w:lvl w:ilvl="1">
      <w:lvlJc w:val="left"/>
      <w:lvlText w:val="(%2)"/>
      <w:numFmt w:val="lowerLetter"/>
      <w:start w:val="2"/>
    </w:lvl>
  </w:abstractNum>
  <w:abstractNum w:abstractNumId="278">
    <w:nsid w:val="4B9275D2"/>
    <w:multiLevelType w:val="hybridMultilevel"/>
    <w:lvl w:ilvl="0">
      <w:lvlJc w:val="left"/>
      <w:lvlText w:val="(%1)"/>
      <w:numFmt w:val="lowerLetter"/>
      <w:start w:val="1"/>
    </w:lvl>
    <w:lvl w:ilvl="1">
      <w:lvlJc w:val="left"/>
      <w:lvlText w:val="(%2)"/>
      <w:numFmt w:val="lowerRoman"/>
      <w:start w:val="1"/>
    </w:lvl>
  </w:abstractNum>
  <w:abstractNum w:abstractNumId="279">
    <w:nsid w:val="4F0CEEDB"/>
    <w:multiLevelType w:val="hybridMultilevel"/>
    <w:lvl w:ilvl="0">
      <w:lvlJc w:val="left"/>
      <w:lvlText w:val="(%1)"/>
      <w:numFmt w:val="lowerLetter"/>
      <w:start w:val="1"/>
    </w:lvl>
  </w:abstractNum>
  <w:abstractNum w:abstractNumId="280">
    <w:nsid w:val="61C30361"/>
    <w:multiLevelType w:val="hybridMultilevel"/>
    <w:lvl w:ilvl="0">
      <w:lvlJc w:val="left"/>
      <w:lvlText w:val="(%1)"/>
      <w:numFmt w:val="lowerLetter"/>
      <w:start w:val="1"/>
    </w:lvl>
  </w:abstractNum>
  <w:abstractNum w:abstractNumId="281">
    <w:nsid w:val="632099E0"/>
    <w:multiLevelType w:val="hybridMultilevel"/>
    <w:lvl w:ilvl="0">
      <w:lvlJc w:val="left"/>
      <w:lvlText w:val="(%1)"/>
      <w:numFmt w:val="lowerLetter"/>
      <w:start w:val="1"/>
    </w:lvl>
  </w:abstractNum>
  <w:abstractNum w:abstractNumId="282">
    <w:nsid w:val="24639756"/>
    <w:multiLevelType w:val="hybridMultilevel"/>
    <w:lvl w:ilvl="0">
      <w:lvlJc w:val="left"/>
      <w:lvlText w:val="(%1)"/>
      <w:numFmt w:val="lowerLetter"/>
      <w:start w:val="1"/>
    </w:lvl>
  </w:abstractNum>
  <w:abstractNum w:abstractNumId="283">
    <w:nsid w:val="9D30DFD"/>
    <w:multiLevelType w:val="hybridMultilevel"/>
    <w:lvl w:ilvl="0">
      <w:lvlJc w:val="left"/>
      <w:lvlText w:val="(%1)"/>
      <w:numFmt w:val="lowerLetter"/>
      <w:start w:val="1"/>
    </w:lvl>
  </w:abstractNum>
  <w:abstractNum w:abstractNumId="284">
    <w:nsid w:val="70A42016"/>
    <w:multiLevelType w:val="hybridMultilevel"/>
    <w:lvl w:ilvl="0">
      <w:lvlJc w:val="left"/>
      <w:lvlText w:val="(%1)"/>
      <w:numFmt w:val="lowerLetter"/>
      <w:start w:val="2"/>
    </w:lvl>
  </w:abstractNum>
  <w:abstractNum w:abstractNumId="285">
    <w:nsid w:val="161BC243"/>
    <w:multiLevelType w:val="hybridMultilevel"/>
    <w:lvl w:ilvl="0">
      <w:lvlJc w:val="left"/>
      <w:lvlText w:val="(%1)"/>
      <w:numFmt w:val="lowerLetter"/>
      <w:start w:val="1"/>
    </w:lvl>
  </w:abstractNum>
  <w:abstractNum w:abstractNumId="286">
    <w:nsid w:val="16E908C8"/>
    <w:multiLevelType w:val="hybridMultilevel"/>
    <w:lvl w:ilvl="0">
      <w:lvlJc w:val="left"/>
      <w:lvlText w:val="(%1)"/>
      <w:numFmt w:val="lowerLetter"/>
      <w:start w:val="2"/>
    </w:lvl>
  </w:abstractNum>
  <w:abstractNum w:abstractNumId="287">
    <w:nsid w:val="2E0D7671"/>
    <w:multiLevelType w:val="hybridMultilevel"/>
    <w:lvl w:ilvl="0">
      <w:lvlJc w:val="left"/>
      <w:lvlText w:val="(%1)"/>
      <w:numFmt w:val="lowerLetter"/>
      <w:start w:val="1"/>
    </w:lvl>
  </w:abstractNum>
  <w:abstractNum w:abstractNumId="288">
    <w:nsid w:val="38B59EFF"/>
    <w:multiLevelType w:val="hybridMultilevel"/>
    <w:lvl w:ilvl="0">
      <w:lvlJc w:val="left"/>
      <w:lvlText w:val="(%1)"/>
      <w:numFmt w:val="lowerLetter"/>
      <w:start w:val="2"/>
    </w:lvl>
  </w:abstractNum>
  <w:abstractNum w:abstractNumId="289">
    <w:nsid w:val="307995CA"/>
    <w:multiLevelType w:val="hybridMultilevel"/>
    <w:lvl w:ilvl="0">
      <w:lvlJc w:val="left"/>
      <w:lvlText w:val="(%1)"/>
      <w:numFmt w:val="lowerLetter"/>
      <w:start w:val="8"/>
    </w:lvl>
  </w:abstractNum>
  <w:abstractNum w:abstractNumId="290">
    <w:nsid w:val="52E2024D"/>
    <w:multiLevelType w:val="hybridMultilevel"/>
    <w:lvl w:ilvl="0">
      <w:lvlJc w:val="left"/>
      <w:lvlText w:val="(%1)"/>
      <w:numFmt w:val="lowerLetter"/>
      <w:start w:val="1"/>
    </w:lvl>
  </w:abstractNum>
  <w:abstractNum w:abstractNumId="291">
    <w:nsid w:val="CE344B5"/>
    <w:multiLevelType w:val="hybridMultilevel"/>
    <w:lvl w:ilvl="0">
      <w:lvlJc w:val="left"/>
      <w:lvlText w:val="(%1)"/>
      <w:numFmt w:val="lowerLetter"/>
      <w:start w:val="1"/>
    </w:lvl>
  </w:abstractNum>
  <w:abstractNum w:abstractNumId="292">
    <w:nsid w:val="29B0E9A8"/>
    <w:multiLevelType w:val="hybridMultilevel"/>
    <w:lvl w:ilvl="0">
      <w:lvlJc w:val="left"/>
      <w:lvlText w:val="(%1)"/>
      <w:numFmt w:val="lowerLetter"/>
      <w:start w:val="3"/>
    </w:lvl>
  </w:abstractNum>
  <w:abstractNum w:abstractNumId="293">
    <w:nsid w:val="6F49CD8A"/>
    <w:multiLevelType w:val="hybridMultilevel"/>
    <w:lvl w:ilvl="0">
      <w:lvlJc w:val="left"/>
      <w:lvlText w:val="(%1)"/>
      <w:numFmt w:val="lowerLetter"/>
      <w:start w:val="1"/>
    </w:lvl>
  </w:abstractNum>
  <w:abstractNum w:abstractNumId="294">
    <w:nsid w:val="4DC5D907"/>
    <w:multiLevelType w:val="hybridMultilevel"/>
    <w:lvl w:ilvl="0">
      <w:lvlJc w:val="left"/>
      <w:lvlText w:val="(%1)"/>
      <w:numFmt w:val="lowerLetter"/>
      <w:start w:val="1"/>
    </w:lvl>
  </w:abstractNum>
  <w:abstractNum w:abstractNumId="295">
    <w:nsid w:val="D55945E"/>
    <w:multiLevelType w:val="hybridMultilevel"/>
    <w:lvl w:ilvl="0">
      <w:lvlJc w:val="left"/>
      <w:lvlText w:val="%1"/>
      <w:numFmt w:val="upperLetter"/>
      <w:start w:val="1"/>
    </w:lvl>
    <w:lvl w:ilvl="1">
      <w:lvlJc w:val="left"/>
      <w:lvlText w:val="(%2)"/>
      <w:numFmt w:val="lowerLetter"/>
      <w:start w:val="1"/>
    </w:lvl>
  </w:abstractNum>
  <w:abstractNum w:abstractNumId="296">
    <w:nsid w:val="672417E1"/>
    <w:multiLevelType w:val="hybridMultilevel"/>
    <w:lvl w:ilvl="0">
      <w:lvlJc w:val="left"/>
      <w:lvlText w:val="(%1)"/>
      <w:numFmt w:val="upperLetter"/>
      <w:start w:val="4"/>
    </w:lvl>
    <w:lvl w:ilvl="1">
      <w:lvlJc w:val="left"/>
      <w:lvlText w:val="%2"/>
      <w:numFmt w:val="lowerLetter"/>
      <w:start w:val="1"/>
    </w:lvl>
  </w:abstractNum>
  <w:abstractNum w:abstractNumId="297">
    <w:nsid w:val="5FF6CA09"/>
    <w:multiLevelType w:val="hybridMultilevel"/>
    <w:lvl w:ilvl="0">
      <w:lvlJc w:val="left"/>
      <w:lvlText w:val="(%1)"/>
      <w:numFmt w:val="lowerLetter"/>
      <w:start w:val="3"/>
    </w:lvl>
  </w:abstractNum>
  <w:abstractNum w:abstractNumId="298">
    <w:nsid w:val="330B1333"/>
    <w:multiLevelType w:val="hybridMultilevel"/>
    <w:lvl w:ilvl="0">
      <w:lvlJc w:val="left"/>
      <w:lvlText w:val="%1"/>
      <w:numFmt w:val="lowerLetter"/>
      <w:start w:val="1"/>
    </w:lvl>
    <w:lvl w:ilvl="1">
      <w:lvlJc w:val="left"/>
      <w:lvlText w:val="(%2)"/>
      <w:numFmt w:val="lowerLetter"/>
      <w:start w:val="11"/>
    </w:lvl>
  </w:abstractNum>
  <w:abstractNum w:abstractNumId="299">
    <w:nsid w:val="2EF32EA6"/>
    <w:multiLevelType w:val="hybridMultilevel"/>
    <w:lvl w:ilvl="0">
      <w:lvlJc w:val="left"/>
      <w:lvlText w:val="(%1)"/>
      <w:numFmt w:val="lowerLetter"/>
      <w:start w:val="35"/>
    </w:lvl>
    <w:lvl w:ilvl="1">
      <w:lvlJc w:val="left"/>
      <w:lvlText w:val="(%2)"/>
      <w:numFmt w:val="lowerLetter"/>
      <w:start w:val="13"/>
    </w:lvl>
  </w:abstractNum>
  <w:abstractNum w:abstractNumId="300">
    <w:nsid w:val="32766A55"/>
    <w:multiLevelType w:val="hybridMultilevel"/>
    <w:lvl w:ilvl="0">
      <w:lvlJc w:val="left"/>
      <w:lvlText w:val="(%1)"/>
      <w:numFmt w:val="lowerLetter"/>
      <w:start w:val="21"/>
    </w:lvl>
  </w:abstractNum>
  <w:abstractNum w:abstractNumId="301">
    <w:nsid w:val="22D71957"/>
    <w:multiLevelType w:val="hybridMultilevel"/>
    <w:lvl w:ilvl="0">
      <w:lvlJc w:val="left"/>
      <w:lvlText w:val="(%1)"/>
      <w:numFmt w:val="lowerLetter"/>
      <w:start w:val="1"/>
    </w:lvl>
  </w:abstractNum>
  <w:abstractNum w:abstractNumId="302">
    <w:nsid w:val="4CC1263B"/>
    <w:multiLevelType w:val="hybridMultilevel"/>
    <w:lvl w:ilvl="0">
      <w:lvlJc w:val="left"/>
      <w:lvlText w:val="(%1)"/>
      <w:numFmt w:val="lowerLetter"/>
      <w:start w:val="5"/>
    </w:lvl>
  </w:abstractNum>
  <w:abstractNum w:abstractNumId="303">
    <w:nsid w:val="8BBEB1D"/>
    <w:multiLevelType w:val="hybridMultilevel"/>
    <w:lvl w:ilvl="0">
      <w:lvlJc w:val="left"/>
      <w:lvlText w:val="(%1)"/>
      <w:numFmt w:val="lowerLetter"/>
      <w:start w:val="16"/>
    </w:lvl>
  </w:abstractNum>
  <w:abstractNum w:abstractNumId="304">
    <w:nsid w:val="7365F1EE"/>
    <w:multiLevelType w:val="hybridMultilevel"/>
    <w:lvl w:ilvl="0">
      <w:lvlJc w:val="left"/>
      <w:lvlText w:val="(%1)"/>
      <w:numFmt w:val="lowerLetter"/>
      <w:start w:val="1"/>
    </w:lvl>
  </w:abstractNum>
  <w:abstractNum w:abstractNumId="305">
    <w:nsid w:val="37524CF0"/>
    <w:multiLevelType w:val="hybridMultilevel"/>
    <w:lvl w:ilvl="0">
      <w:lvlJc w:val="left"/>
      <w:lvlText w:val="%1"/>
      <w:numFmt w:val="lowerLetter"/>
      <w:start w:val="1"/>
    </w:lvl>
    <w:lvl w:ilvl="1">
      <w:lvlJc w:val="left"/>
      <w:lvlText w:val="(%2)"/>
      <w:numFmt w:val="lowerLetter"/>
      <w:start w:val="8"/>
    </w:lvl>
  </w:abstractNum>
  <w:abstractNum w:abstractNumId="306">
    <w:nsid w:val="70CC332F"/>
    <w:multiLevelType w:val="hybridMultilevel"/>
    <w:lvl w:ilvl="0">
      <w:lvlJc w:val="left"/>
      <w:lvlText w:val="(%1)"/>
      <w:numFmt w:val="lowerLetter"/>
      <w:start w:val="9"/>
    </w:lvl>
    <w:lvl w:ilvl="1">
      <w:lvlJc w:val="left"/>
      <w:lvlText w:val="%2"/>
      <w:numFmt w:val="lowerLetter"/>
      <w:start w:val="1"/>
    </w:lvl>
  </w:abstractNum>
  <w:abstractNum w:abstractNumId="307">
    <w:nsid w:val="5661786E"/>
    <w:multiLevelType w:val="hybridMultilevel"/>
    <w:lvl w:ilvl="0">
      <w:lvlJc w:val="left"/>
      <w:lvlText w:val="(%1)"/>
      <w:numFmt w:val="lowerLetter"/>
      <w:start w:val="1"/>
    </w:lvl>
  </w:abstractNum>
  <w:abstractNum w:abstractNumId="308">
    <w:nsid w:val="3AF6A220"/>
    <w:multiLevelType w:val="hybridMultilevel"/>
    <w:lvl w:ilvl="0">
      <w:lvlJc w:val="left"/>
      <w:lvlText w:val="(%1)"/>
      <w:numFmt w:val="lowerLetter"/>
      <w:start w:val="2"/>
    </w:lvl>
  </w:abstractNum>
  <w:abstractNum w:abstractNumId="309">
    <w:nsid w:val="3C5EA902"/>
    <w:multiLevelType w:val="hybridMultilevel"/>
    <w:lvl w:ilvl="0">
      <w:lvlJc w:val="left"/>
      <w:lvlText w:val="(%1)"/>
      <w:numFmt w:val="lowerLetter"/>
      <w:start w:val="1"/>
    </w:lvl>
  </w:abstractNum>
  <w:abstractNum w:abstractNumId="310">
    <w:nsid w:val="256E6749"/>
    <w:multiLevelType w:val="hybridMultilevel"/>
    <w:lvl w:ilvl="0">
      <w:lvlJc w:val="left"/>
      <w:lvlText w:val="(%1)"/>
      <w:numFmt w:val="lowerRoman"/>
      <w:start w:val="5"/>
    </w:lvl>
  </w:abstractNum>
  <w:abstractNum w:abstractNumId="311">
    <w:nsid w:val="1CB9A581"/>
    <w:multiLevelType w:val="hybridMultilevel"/>
    <w:lvl w:ilvl="0">
      <w:lvlJc w:val="left"/>
      <w:lvlText w:val="(%1)"/>
      <w:numFmt w:val="lowerLetter"/>
      <w:start w:val="1"/>
    </w:lvl>
  </w:abstractNum>
  <w:abstractNum w:abstractNumId="312">
    <w:nsid w:val="1F7F42E2"/>
    <w:multiLevelType w:val="hybridMultilevel"/>
    <w:lvl w:ilvl="0">
      <w:lvlJc w:val="left"/>
      <w:lvlText w:val="(%1)"/>
      <w:numFmt w:val="lowerLetter"/>
      <w:start w:val="1"/>
    </w:lvl>
  </w:abstractNum>
  <w:abstractNum w:abstractNumId="313">
    <w:nsid w:val="49D1FEA0"/>
    <w:multiLevelType w:val="hybridMultilevel"/>
    <w:lvl w:ilvl="0">
      <w:lvlJc w:val="left"/>
      <w:lvlText w:val="(%1)"/>
      <w:numFmt w:val="lowerLetter"/>
      <w:start w:val="1"/>
    </w:lvl>
  </w:abstractNum>
  <w:abstractNum w:abstractNumId="314">
    <w:nsid w:val="268CB37F"/>
    <w:multiLevelType w:val="hybridMultilevel"/>
    <w:lvl w:ilvl="0">
      <w:lvlJc w:val="left"/>
      <w:lvlText w:val="(%1)"/>
      <w:numFmt w:val="lowerLetter"/>
      <w:start w:val="3"/>
    </w:lvl>
  </w:abstractNum>
  <w:abstractNum w:abstractNumId="315">
    <w:nsid w:val="102362F8"/>
    <w:multiLevelType w:val="hybridMultilevel"/>
    <w:lvl w:ilvl="0">
      <w:lvlJc w:val="left"/>
      <w:lvlText w:val="(%1)"/>
      <w:numFmt w:val="lowerLetter"/>
      <w:start w:val="8"/>
    </w:lvl>
  </w:abstractNum>
  <w:abstractNum w:abstractNumId="316">
    <w:nsid w:val="5FEDC0E3"/>
    <w:multiLevelType w:val="hybridMultilevel"/>
    <w:lvl w:ilvl="0">
      <w:lvlJc w:val="left"/>
      <w:lvlText w:val="(%1)"/>
      <w:numFmt w:val="lowerLetter"/>
      <w:start w:val="1"/>
    </w:lvl>
  </w:abstractNum>
  <w:abstractNum w:abstractNumId="317">
    <w:nsid w:val="3D75BC47"/>
    <w:multiLevelType w:val="hybridMultilevel"/>
    <w:lvl w:ilvl="0">
      <w:lvlJc w:val="left"/>
      <w:lvlText w:val="(%1)"/>
      <w:numFmt w:val="lowerLetter"/>
      <w:start w:val="1"/>
    </w:lvl>
  </w:abstractNum>
  <w:abstractNum w:abstractNumId="318">
    <w:nsid w:val="3E30D969"/>
    <w:multiLevelType w:val="hybridMultilevel"/>
    <w:lvl w:ilvl="0">
      <w:lvlJc w:val="left"/>
      <w:lvlText w:val="(%1)"/>
      <w:numFmt w:val="lowerLetter"/>
      <w:start w:val="2"/>
    </w:lvl>
  </w:abstractNum>
  <w:abstractNum w:abstractNumId="319">
    <w:nsid w:val="18A35FE3"/>
    <w:multiLevelType w:val="hybridMultilevel"/>
    <w:lvl w:ilvl="0">
      <w:lvlJc w:val="left"/>
      <w:lvlText w:val="(%1)"/>
      <w:numFmt w:val="lowerLetter"/>
      <w:start w:val="1"/>
    </w:lvl>
    <w:lvl w:ilvl="1">
      <w:lvlJc w:val="left"/>
      <w:lvlText w:val="(%2)"/>
      <w:numFmt w:val="lowerRoman"/>
      <w:start w:val="1"/>
    </w:lvl>
  </w:abstractNum>
  <w:abstractNum w:abstractNumId="320">
    <w:nsid w:val="6DEF5211"/>
    <w:multiLevelType w:val="hybridMultilevel"/>
    <w:lvl w:ilvl="0">
      <w:lvlJc w:val="left"/>
      <w:lvlText w:val="%1"/>
      <w:numFmt w:val="lowerLetter"/>
      <w:start w:val="1"/>
    </w:lvl>
    <w:lvl w:ilvl="1">
      <w:lvlJc w:val="left"/>
      <w:lvlText w:val="(%2)"/>
      <w:numFmt w:val="lowerLetter"/>
      <w:start w:val="61"/>
    </w:lvl>
  </w:abstractNum>
  <w:abstractNum w:abstractNumId="321">
    <w:nsid w:val="1112DBB6"/>
    <w:multiLevelType w:val="hybridMultilevel"/>
    <w:lvl w:ilvl="0">
      <w:lvlJc w:val="left"/>
      <w:lvlText w:val="(%1)"/>
      <w:numFmt w:val="lowerLetter"/>
      <w:start w:val="2"/>
    </w:lvl>
    <w:lvl w:ilvl="1">
      <w:lvlJc w:val="left"/>
      <w:lvlText w:val="%2"/>
      <w:numFmt w:val="lowerLetter"/>
      <w:start w:val="1"/>
    </w:lvl>
  </w:abstractNum>
  <w:abstractNum w:abstractNumId="322">
    <w:nsid w:val="2586A498"/>
    <w:multiLevelType w:val="hybridMultilevel"/>
    <w:lvl w:ilvl="0">
      <w:lvlJc w:val="left"/>
      <w:lvlText w:val="(%1)"/>
      <w:numFmt w:val="lowerLetter"/>
      <w:start w:val="1"/>
    </w:lvl>
  </w:abstractNum>
  <w:abstractNum w:abstractNumId="323">
    <w:nsid w:val="17A03BB9"/>
    <w:multiLevelType w:val="hybridMultilevel"/>
    <w:lvl w:ilvl="0">
      <w:lvlJc w:val="left"/>
      <w:lvlText w:val="(%1)"/>
      <w:numFmt w:val="lowerLetter"/>
      <w:start w:val="4"/>
    </w:lvl>
  </w:abstractNum>
  <w:abstractNum w:abstractNumId="324">
    <w:nsid w:val="5CA941"/>
    <w:multiLevelType w:val="hybridMultilevel"/>
    <w:lvl w:ilvl="0">
      <w:lvlJc w:val="left"/>
      <w:lvlText w:val="(%1)"/>
      <w:numFmt w:val="lowerLetter"/>
      <w:start w:val="1"/>
    </w:lvl>
  </w:abstractNum>
  <w:abstractNum w:abstractNumId="325">
    <w:nsid w:val="734C7D9F"/>
    <w:multiLevelType w:val="hybridMultilevel"/>
    <w:lvl w:ilvl="0">
      <w:lvlJc w:val="left"/>
      <w:lvlText w:val="(%1)"/>
      <w:numFmt w:val="lowerLetter"/>
      <w:start w:val="2"/>
    </w:lvl>
  </w:abstractNum>
  <w:abstractNum w:abstractNumId="326">
    <w:nsid w:val="24F5D018"/>
    <w:multiLevelType w:val="hybridMultilevel"/>
    <w:lvl w:ilvl="0">
      <w:lvlJc w:val="left"/>
      <w:lvlText w:val="(%1)"/>
      <w:numFmt w:val="lowerLetter"/>
      <w:start w:val="1"/>
    </w:lvl>
  </w:abstractNum>
  <w:abstractNum w:abstractNumId="327">
    <w:nsid w:val="6780C122"/>
    <w:multiLevelType w:val="hybridMultilevel"/>
    <w:lvl w:ilvl="0">
      <w:lvlJc w:val="left"/>
      <w:lvlText w:val="(%1)"/>
      <w:numFmt w:val="lowerLetter"/>
      <w:start w:val="1"/>
    </w:lvl>
    <w:lvl w:ilvl="1">
      <w:lvlJc w:val="left"/>
      <w:lvlText w:val="(%2)"/>
      <w:numFmt w:val="lowerRoman"/>
      <w:start w:val="1"/>
    </w:lvl>
  </w:abstractNum>
  <w:abstractNum w:abstractNumId="328">
    <w:nsid w:val="534347A8"/>
    <w:multiLevelType w:val="hybridMultilevel"/>
    <w:lvl w:ilvl="0">
      <w:lvlJc w:val="left"/>
      <w:lvlText w:val="(%1)"/>
      <w:numFmt w:val="lowerLetter"/>
      <w:start w:val="1"/>
    </w:lvl>
  </w:abstractNum>
  <w:abstractNum w:abstractNumId="329">
    <w:nsid w:val="5800E34B"/>
    <w:multiLevelType w:val="hybridMultilevel"/>
    <w:lvl w:ilvl="0">
      <w:lvlJc w:val="left"/>
      <w:lvlText w:val="(%1)"/>
      <w:numFmt w:val="lowerLetter"/>
      <w:start w:val="1"/>
    </w:lvl>
  </w:abstractNum>
  <w:abstractNum w:abstractNumId="330">
    <w:nsid w:val="1673EFC8"/>
    <w:multiLevelType w:val="hybridMultilevel"/>
    <w:lvl w:ilvl="0">
      <w:lvlJc w:val="left"/>
      <w:lvlText w:val="(%1)"/>
      <w:numFmt w:val="lowerLetter"/>
      <w:start w:val="8"/>
    </w:lvl>
  </w:abstractNum>
  <w:abstractNum w:abstractNumId="331">
    <w:nsid w:val="5B9B1FD"/>
    <w:multiLevelType w:val="hybridMultilevel"/>
    <w:lvl w:ilvl="0">
      <w:lvlJc w:val="left"/>
      <w:lvlText w:val="(%1)"/>
      <w:numFmt w:val="lowerLetter"/>
      <w:start w:val="1"/>
    </w:lvl>
    <w:lvl w:ilvl="1">
      <w:lvlJc w:val="left"/>
      <w:lvlText w:val="(%2)"/>
      <w:numFmt w:val="lowerRoman"/>
      <w:start w:val="1"/>
    </w:lvl>
  </w:abstractNum>
  <w:abstractNum w:abstractNumId="332">
    <w:nsid w:val="7AD7FCA2"/>
    <w:multiLevelType w:val="hybridMultilevel"/>
    <w:lvl w:ilvl="0">
      <w:lvlJc w:val="left"/>
      <w:lvlText w:val="(%1)"/>
      <w:numFmt w:val="lowerLetter"/>
      <w:start w:val="2"/>
    </w:lvl>
  </w:abstractNum>
  <w:abstractNum w:abstractNumId="333">
    <w:nsid w:val="63351604"/>
    <w:multiLevelType w:val="hybridMultilevel"/>
    <w:lvl w:ilvl="0">
      <w:lvlJc w:val="left"/>
      <w:lvlText w:val="(%1)"/>
      <w:numFmt w:val="lowerLetter"/>
      <w:start w:val="3"/>
    </w:lvl>
  </w:abstractNum>
  <w:abstractNum w:abstractNumId="334">
    <w:nsid w:val="E759D1A"/>
    <w:multiLevelType w:val="hybridMultilevel"/>
    <w:lvl w:ilvl="0">
      <w:lvlJc w:val="left"/>
      <w:lvlText w:val="(%1)"/>
      <w:numFmt w:val="lowerLetter"/>
      <w:start w:val="5"/>
    </w:lvl>
  </w:abstractNum>
  <w:abstractNum w:abstractNumId="335">
    <w:nsid w:val="6E3DEE90"/>
    <w:multiLevelType w:val="hybridMultilevel"/>
    <w:lvl w:ilvl="0">
      <w:lvlJc w:val="left"/>
      <w:lvlText w:val="(%1)"/>
      <w:numFmt w:val="lowerLetter"/>
      <w:start w:val="1"/>
    </w:lvl>
  </w:abstractNum>
  <w:abstractNum w:abstractNumId="336">
    <w:nsid w:val="1A8762F4"/>
    <w:multiLevelType w:val="hybridMultilevel"/>
    <w:lvl w:ilvl="0">
      <w:lvlJc w:val="left"/>
      <w:lvlText w:val="(%1)"/>
      <w:numFmt w:val="lowerLetter"/>
      <w:start w:val="2"/>
    </w:lvl>
  </w:abstractNum>
  <w:abstractNum w:abstractNumId="337">
    <w:nsid w:val="7F41D049"/>
    <w:multiLevelType w:val="hybridMultilevel"/>
    <w:lvl w:ilvl="0">
      <w:lvlJc w:val="left"/>
      <w:lvlText w:val="(%1)"/>
      <w:numFmt w:val="lowerLetter"/>
      <w:start w:val="3"/>
    </w:lvl>
  </w:abstractNum>
  <w:abstractNum w:abstractNumId="338">
    <w:nsid w:val="449F66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9">
    <w:nsid w:val="557E0515"/>
    <w:multiLevelType w:val="hybridMultilevel"/>
    <w:lvl w:ilvl="0">
      <w:lvlJc w:val="left"/>
      <w:lvlText w:val="(%1)"/>
      <w:numFmt w:val="lowerRoman"/>
      <w:start w:val="2"/>
    </w:lvl>
    <w:lvl w:ilvl="1">
      <w:lvlJc w:val="left"/>
      <w:lvlText w:val="(%2)"/>
      <w:numFmt w:val="upperLetter"/>
      <w:start w:val="1"/>
    </w:lvl>
  </w:abstractNum>
  <w:abstractNum w:abstractNumId="340">
    <w:nsid w:val="3BA0794B"/>
    <w:multiLevelType w:val="hybridMultilevel"/>
    <w:lvl w:ilvl="0">
      <w:lvlJc w:val="left"/>
      <w:lvlText w:val="(%1)"/>
      <w:numFmt w:val="lowerLetter"/>
      <w:start w:val="3"/>
    </w:lvl>
  </w:abstractNum>
  <w:abstractNum w:abstractNumId="341">
    <w:nsid w:val="6A0DCE48"/>
    <w:multiLevelType w:val="hybridMultilevel"/>
    <w:lvl w:ilvl="0">
      <w:lvlJc w:val="left"/>
      <w:lvlText w:val="(%1)"/>
      <w:numFmt w:val="lowerLetter"/>
      <w:start w:val="5"/>
    </w:lvl>
  </w:abstractNum>
  <w:abstractNum w:abstractNumId="342">
    <w:nsid w:val="7237AA96"/>
    <w:multiLevelType w:val="hybridMultilevel"/>
    <w:lvl w:ilvl="0">
      <w:lvlJc w:val="left"/>
      <w:lvlText w:val="(%1)"/>
      <w:numFmt w:val="lowerLetter"/>
      <w:start w:val="6"/>
    </w:lvl>
  </w:abstractNum>
  <w:abstractNum w:abstractNumId="343">
    <w:nsid w:val="5B1FBC2D"/>
    <w:multiLevelType w:val="hybridMultilevel"/>
    <w:lvl w:ilvl="0">
      <w:lvlJc w:val="left"/>
      <w:lvlText w:val="(%1)"/>
      <w:numFmt w:val="lowerLetter"/>
      <w:start w:val="1"/>
    </w:lvl>
  </w:abstractNum>
  <w:abstractNum w:abstractNumId="344">
    <w:nsid w:val="33DFCCE8"/>
    <w:multiLevelType w:val="hybridMultilevel"/>
    <w:lvl w:ilvl="0">
      <w:lvlJc w:val="left"/>
      <w:lvlText w:val="(%1)"/>
      <w:numFmt w:val="upperLetter"/>
      <w:start w:val="1"/>
    </w:lvl>
    <w:lvl w:ilvl="1">
      <w:lvlJc w:val="left"/>
      <w:lvlText w:val="(%2)"/>
      <w:numFmt w:val="lowerLetter"/>
      <w:start w:val="2"/>
    </w:lvl>
  </w:abstractNum>
  <w:abstractNum w:abstractNumId="345">
    <w:nsid w:val="18C45E15"/>
    <w:multiLevelType w:val="hybridMultilevel"/>
    <w:lvl w:ilvl="0">
      <w:lvlJc w:val="left"/>
      <w:lvlText w:val="(%1)"/>
      <w:numFmt w:val="lowerLetter"/>
      <w:start w:val="1"/>
    </w:lvl>
  </w:abstractNum>
  <w:abstractNum w:abstractNumId="346">
    <w:nsid w:val="6B431F25"/>
    <w:multiLevelType w:val="hybridMultilevel"/>
    <w:lvl w:ilvl="0">
      <w:lvlJc w:val="left"/>
      <w:lvlText w:val="(%1)"/>
      <w:numFmt w:val="lowerLetter"/>
      <w:start w:val="3"/>
    </w:lvl>
  </w:abstractNum>
  <w:abstractNum w:abstractNumId="347">
    <w:nsid w:val="13CD8DCB"/>
    <w:multiLevelType w:val="hybridMultilevel"/>
    <w:lvl w:ilvl="0">
      <w:lvlJc w:val="left"/>
      <w:lvlText w:val="(%1)"/>
      <w:numFmt w:val="lowerLetter"/>
      <w:start w:val="1"/>
    </w:lvl>
  </w:abstractNum>
  <w:abstractNum w:abstractNumId="348">
    <w:nsid w:val="563A1A5C"/>
    <w:multiLevelType w:val="hybridMultilevel"/>
    <w:lvl w:ilvl="0">
      <w:lvlJc w:val="left"/>
      <w:lvlText w:val="(%1)"/>
      <w:numFmt w:val="lowerLetter"/>
      <w:start w:val="3"/>
    </w:lvl>
  </w:abstractNum>
  <w:abstractNum w:abstractNumId="349">
    <w:nsid w:val="2973F88F"/>
    <w:multiLevelType w:val="hybridMultilevel"/>
    <w:lvl w:ilvl="0">
      <w:lvlJc w:val="left"/>
      <w:lvlText w:val="(%1)"/>
      <w:numFmt w:val="lowerLetter"/>
      <w:start w:val="2"/>
    </w:lvl>
  </w:abstractNum>
  <w:abstractNum w:abstractNumId="350">
    <w:nsid w:val="2C70EDAE"/>
    <w:multiLevelType w:val="hybridMultilevel"/>
    <w:lvl w:ilvl="0">
      <w:lvlJc w:val="left"/>
      <w:lvlText w:val="(%1)"/>
      <w:numFmt w:val="lowerRoman"/>
      <w:start w:val="2"/>
    </w:lvl>
  </w:abstractNum>
  <w:abstractNum w:abstractNumId="351">
    <w:nsid w:val="44296C6D"/>
    <w:multiLevelType w:val="hybridMultilevel"/>
    <w:lvl w:ilvl="0">
      <w:lvlJc w:val="left"/>
      <w:lvlText w:val="(%1)"/>
      <w:numFmt w:val="lowerLetter"/>
      <w:start w:val="1"/>
    </w:lvl>
  </w:abstractNum>
  <w:abstractNum w:abstractNumId="352">
    <w:nsid w:val="3A86D445"/>
    <w:multiLevelType w:val="hybridMultilevel"/>
    <w:lvl w:ilvl="0">
      <w:lvlJc w:val="left"/>
      <w:lvlText w:val="1"/>
      <w:numFmt w:val="bullet"/>
      <w:start w:val="1"/>
    </w:lvl>
  </w:abstractNum>
  <w:abstractNum w:abstractNumId="353">
    <w:nsid w:val="51F79246"/>
    <w:multiLevelType w:val="hybridMultilevel"/>
    <w:lvl w:ilvl="0">
      <w:lvlJc w:val="left"/>
      <w:lvlText w:val="2"/>
      <w:numFmt w:val="bullet"/>
      <w:start w:val="1"/>
    </w:lvl>
  </w:abstractNum>
  <w:abstractNum w:abstractNumId="354">
    <w:nsid w:val="5BC9A827"/>
    <w:multiLevelType w:val="hybridMultilevel"/>
    <w:lvl w:ilvl="0">
      <w:lvlJc w:val="left"/>
      <w:lvlText w:val="*"/>
      <w:numFmt w:val="bullet"/>
      <w:start w:val="1"/>
    </w:lvl>
  </w:abstractNum>
  <w:abstractNum w:abstractNumId="355">
    <w:nsid w:val="3AE37D86"/>
    <w:multiLevelType w:val="hybridMultilevel"/>
    <w:lvl w:ilvl="0">
      <w:lvlJc w:val="left"/>
      <w:lvlText w:val="3"/>
      <w:numFmt w:val="bullet"/>
      <w:start w:val="1"/>
    </w:lvl>
  </w:abstractNum>
  <w:abstractNum w:abstractNumId="356">
    <w:nsid w:val="45440FE5"/>
    <w:multiLevelType w:val="hybridMultilevel"/>
    <w:lvl w:ilvl="0">
      <w:lvlJc w:val="left"/>
      <w:lvlText w:val="4"/>
      <w:numFmt w:val="bullet"/>
      <w:start w:val="1"/>
    </w:lvl>
  </w:abstractNum>
  <w:abstractNum w:abstractNumId="357">
    <w:nsid w:val="BF783F"/>
    <w:multiLevelType w:val="hybridMultilevel"/>
    <w:lvl w:ilvl="0">
      <w:lvlJc w:val="left"/>
      <w:lvlText w:val="5"/>
      <w:numFmt w:val="bullet"/>
      <w:start w:val="1"/>
    </w:lvl>
  </w:abstractNum>
  <w:abstractNum w:abstractNumId="358">
    <w:nsid w:val="22643EA9"/>
    <w:multiLevelType w:val="hybridMultilevel"/>
    <w:lvl w:ilvl="0">
      <w:lvlJc w:val="left"/>
      <w:lvlText w:val="6"/>
      <w:numFmt w:val="bullet"/>
      <w:start w:val="1"/>
    </w:lvl>
  </w:abstractNum>
  <w:abstractNum w:abstractNumId="359">
    <w:nsid w:val="1887578D"/>
    <w:multiLevelType w:val="hybridMultilevel"/>
    <w:lvl w:ilvl="0">
      <w:lvlJc w:val="left"/>
      <w:lvlText w:val="%1."/>
      <w:numFmt w:val="decimal"/>
      <w:start w:val="1"/>
    </w:lvl>
  </w:abstractNum>
  <w:abstractNum w:abstractNumId="360">
    <w:nsid w:val="58C05B8A"/>
    <w:multiLevelType w:val="hybridMultilevel"/>
    <w:lvl w:ilvl="0">
      <w:lvlJc w:val="left"/>
      <w:lvlText w:val="%1."/>
      <w:numFmt w:val="decimal"/>
      <w:start w:val="2"/>
    </w:lvl>
  </w:abstractNum>
  <w:abstractNum w:abstractNumId="361">
    <w:nsid w:val="38D82E71"/>
    <w:multiLevelType w:val="hybridMultilevel"/>
    <w:lvl w:ilvl="0">
      <w:lvlJc w:val="left"/>
      <w:lvlText w:val="%1."/>
      <w:numFmt w:val="decimal"/>
      <w:start w:val="3"/>
    </w:lvl>
  </w:abstractNum>
  <w:abstractNum w:abstractNumId="362">
    <w:nsid w:val="1E41098A"/>
    <w:multiLevelType w:val="hybridMultilevel"/>
    <w:lvl w:ilvl="0">
      <w:lvlJc w:val="left"/>
      <w:lvlText w:val="%1."/>
      <w:numFmt w:val="decimal"/>
      <w:start w:val="1"/>
    </w:lvl>
  </w:abstractNum>
  <w:abstractNum w:abstractNumId="363">
    <w:nsid w:val="5398582C"/>
    <w:multiLevelType w:val="hybridMultilevel"/>
    <w:lvl w:ilvl="0">
      <w:lvlJc w:val="left"/>
      <w:lvlText w:val="%1."/>
      <w:numFmt w:val="decimal"/>
      <w:start w:val="3"/>
    </w:lvl>
  </w:abstractNum>
  <w:abstractNum w:abstractNumId="364">
    <w:nsid w:val="1C0D4475"/>
    <w:multiLevelType w:val="hybridMultilevel"/>
    <w:lvl w:ilvl="0">
      <w:lvlJc w:val="left"/>
      <w:lvlText w:val="7"/>
      <w:numFmt w:val="bullet"/>
      <w:start w:val="1"/>
    </w:lvl>
  </w:abstractNum>
  <w:abstractNum w:abstractNumId="365">
    <w:nsid w:val="2CB6A6A4"/>
    <w:multiLevelType w:val="hybridMultilevel"/>
    <w:lvl w:ilvl="0">
      <w:lvlJc w:val="left"/>
      <w:lvlText w:val="%1."/>
      <w:numFmt w:val="decimal"/>
      <w:start w:val="5"/>
    </w:lvl>
  </w:abstractNum>
  <w:abstractNum w:abstractNumId="366">
    <w:nsid w:val="41D646BC"/>
    <w:multiLevelType w:val="hybridMultilevel"/>
    <w:lvl w:ilvl="0">
      <w:lvlJc w:val="left"/>
      <w:lvlText w:val="8"/>
      <w:numFmt w:val="bullet"/>
      <w:start w:val="1"/>
    </w:lvl>
  </w:abstractNum>
  <w:abstractNum w:abstractNumId="367">
    <w:nsid w:val="3694A76A"/>
    <w:multiLevelType w:val="hybridMultilevel"/>
    <w:lvl w:ilvl="0">
      <w:lvlJc w:val="left"/>
      <w:lvlText w:val="9"/>
      <w:numFmt w:val="bullet"/>
      <w:start w:val="1"/>
    </w:lvl>
  </w:abstractNum>
  <w:abstractNum w:abstractNumId="368">
    <w:nsid w:val="2BF876EE"/>
    <w:multiLevelType w:val="hybridMultilevel"/>
    <w:lvl w:ilvl="0">
      <w:lvlJc w:val="left"/>
      <w:lvlText w:val="(%1)"/>
      <w:numFmt w:val="upperLetter"/>
      <w:start w:val="9"/>
    </w:lvl>
  </w:abstractNum>
  <w:abstractNum w:abstractNumId="369">
    <w:nsid w:val="675ADBA"/>
    <w:multiLevelType w:val="hybridMultilevel"/>
    <w:lvl w:ilvl="0">
      <w:lvlJc w:val="left"/>
      <w:lvlText w:val="(%1)"/>
      <w:numFmt w:val="lowerLetter"/>
      <w:start w:val="1"/>
    </w:lvl>
  </w:abstractNum>
  <w:abstractNum w:abstractNumId="370">
    <w:nsid w:val="C12AC7F"/>
    <w:multiLevelType w:val="hybridMultilevel"/>
    <w:lvl w:ilvl="0">
      <w:lvlJc w:val="left"/>
      <w:lvlText w:val="(%1)"/>
      <w:numFmt w:val="lowerRoman"/>
      <w:start w:val="1"/>
    </w:lvl>
  </w:abstractNum>
  <w:abstractNum w:abstractNumId="371">
    <w:nsid w:val="6798F039"/>
    <w:multiLevelType w:val="hybridMultilevel"/>
    <w:lvl w:ilvl="0">
      <w:lvlJc w:val="left"/>
      <w:lvlText w:val="(%1)"/>
      <w:numFmt w:val="lowerRoman"/>
      <w:start w:val="4"/>
    </w:lvl>
  </w:abstractNum>
  <w:abstractNum w:abstractNumId="372">
    <w:nsid w:val="70837C02"/>
    <w:multiLevelType w:val="hybridMultilevel"/>
    <w:lvl w:ilvl="0">
      <w:lvlJc w:val="left"/>
      <w:lvlText w:val="(%1)"/>
      <w:numFmt w:val="lowerRoman"/>
      <w:start w:val="5"/>
    </w:lvl>
  </w:abstractNum>
  <w:abstractNum w:abstractNumId="373">
    <w:nsid w:val="7E4A5715"/>
    <w:multiLevelType w:val="hybridMultilevel"/>
    <w:lvl w:ilvl="0">
      <w:lvlJc w:val="left"/>
      <w:lvlText w:val="(%1)"/>
      <w:numFmt w:val="lowerRoman"/>
      <w:start w:val="6"/>
    </w:lvl>
  </w:abstractNum>
  <w:abstractNum w:abstractNumId="374">
    <w:nsid w:val="42B8AC67"/>
    <w:multiLevelType w:val="hybridMultilevel"/>
    <w:lvl w:ilvl="0">
      <w:lvlJc w:val="left"/>
      <w:lvlText w:val="(%1)"/>
      <w:numFmt w:val="lowerRoman"/>
      <w:start w:val="7"/>
    </w:lvl>
  </w:abstractNum>
  <w:abstractNum w:abstractNumId="375">
    <w:nsid w:val="246348EA"/>
    <w:multiLevelType w:val="hybridMultilevel"/>
    <w:lvl w:ilvl="0">
      <w:lvlJc w:val="left"/>
      <w:lvlText w:val="%1"/>
      <w:numFmt w:val="decimal"/>
      <w:start w:val="10"/>
    </w:lvl>
  </w:abstractNum>
  <w:abstractNum w:abstractNumId="376">
    <w:nsid w:val="170EB52B"/>
    <w:multiLevelType w:val="hybridMultilevel"/>
    <w:lvl w:ilvl="0">
      <w:lvlJc w:val="left"/>
      <w:lvlText w:val="(%1)"/>
      <w:numFmt w:val="lowerRoman"/>
      <w:start w:val="8"/>
    </w:lvl>
  </w:abstractNum>
  <w:abstractNum w:abstractNumId="377">
    <w:nsid w:val="2DFBCB8C"/>
    <w:multiLevelType w:val="hybridMultilevel"/>
    <w:lvl w:ilvl="0">
      <w:lvlJc w:val="left"/>
      <w:lvlText w:val="(%1)"/>
      <w:numFmt w:val="lowerRoman"/>
      <w:start w:val="9"/>
    </w:lvl>
  </w:abstractNum>
  <w:abstractNum w:abstractNumId="378">
    <w:nsid w:val="3830D6B6"/>
    <w:multiLevelType w:val="hybridMultilevel"/>
    <w:lvl w:ilvl="0">
      <w:lvlJc w:val="left"/>
      <w:lvlText w:val="(%1)"/>
      <w:numFmt w:val="lowerRoman"/>
      <w:start w:val="11"/>
    </w:lvl>
  </w:abstractNum>
  <w:abstractNum w:abstractNumId="379">
    <w:nsid w:val="6D48CF87"/>
    <w:multiLevelType w:val="hybridMultilevel"/>
    <w:lvl w:ilvl="0">
      <w:lvlJc w:val="left"/>
      <w:lvlText w:val="(%1)"/>
      <w:numFmt w:val="lowerLetter"/>
      <w:start w:val="2"/>
    </w:lvl>
  </w:abstractNum>
  <w:abstractNum w:abstractNumId="380">
    <w:nsid w:val="576FC41B"/>
    <w:multiLevelType w:val="hybridMultilevel"/>
    <w:lvl w:ilvl="0">
      <w:lvlJc w:val="left"/>
      <w:lvlText w:val="(%1)"/>
      <w:numFmt w:val="lowerRoman"/>
      <w:start w:val="2"/>
    </w:lvl>
  </w:abstractNum>
  <w:abstractNum w:abstractNumId="381">
    <w:nsid w:val="64A1C464"/>
    <w:multiLevelType w:val="hybridMultilevel"/>
    <w:lvl w:ilvl="0">
      <w:lvlJc w:val="left"/>
      <w:lvlText w:val="(%1)"/>
      <w:numFmt w:val="upperLetter"/>
      <w:start w:val="1"/>
    </w:lvl>
  </w:abstractNum>
  <w:abstractNum w:abstractNumId="382">
    <w:nsid w:val="31723BF5"/>
    <w:multiLevelType w:val="hybridMultilevel"/>
    <w:lvl w:ilvl="0">
      <w:lvlJc w:val="left"/>
      <w:lvlText w:val="(%1)"/>
      <w:numFmt w:val="upperLetter"/>
      <w:start w:val="2"/>
    </w:lvl>
  </w:abstractNum>
  <w:abstractNum w:abstractNumId="383">
    <w:nsid w:val="11F69861"/>
    <w:multiLevelType w:val="hybridMultilevel"/>
    <w:lvl w:ilvl="0">
      <w:lvlJc w:val="left"/>
      <w:lvlText w:val="(%1)"/>
      <w:numFmt w:val="upperLetter"/>
      <w:start w:val="3"/>
    </w:lvl>
  </w:abstractNum>
  <w:abstractNum w:abstractNumId="384">
    <w:nsid w:val="369956AB"/>
    <w:multiLevelType w:val="hybridMultilevel"/>
    <w:lvl w:ilvl="0">
      <w:lvlJc w:val="left"/>
      <w:lvlText w:val="(%1)"/>
      <w:numFmt w:val="lowerRoman"/>
      <w:start w:val="3"/>
    </w:lvl>
  </w:abstractNum>
  <w:abstractNum w:abstractNumId="385">
    <w:nsid w:val="D3BE41C"/>
    <w:multiLevelType w:val="hybridMultilevel"/>
    <w:lvl w:ilvl="0">
      <w:lvlJc w:val="left"/>
      <w:lvlText w:val="(%1)"/>
      <w:numFmt w:val="lowerRoman"/>
      <w:start w:val="5"/>
    </w:lvl>
  </w:abstractNum>
  <w:abstractNum w:abstractNumId="386">
    <w:nsid w:val="4CDA15E7"/>
    <w:multiLevelType w:val="hybridMultilevel"/>
    <w:lvl w:ilvl="0">
      <w:lvlJc w:val="left"/>
      <w:lvlText w:val="(%1)"/>
      <w:numFmt w:val="lowerRoman"/>
      <w:start w:val="6"/>
    </w:lvl>
  </w:abstractNum>
  <w:abstractNum w:abstractNumId="387">
    <w:nsid w:val="7BDD6690"/>
    <w:multiLevelType w:val="hybridMultilevel"/>
    <w:lvl w:ilvl="0">
      <w:lvlJc w:val="left"/>
      <w:lvlText w:val="(%1)"/>
      <w:numFmt w:val="lowerRoman"/>
      <w:start w:val="7"/>
    </w:lvl>
  </w:abstractNum>
  <w:abstractNum w:abstractNumId="388">
    <w:nsid w:val="DFB5C5B"/>
    <w:multiLevelType w:val="hybridMultilevel"/>
    <w:lvl w:ilvl="0">
      <w:lvlJc w:val="left"/>
      <w:lvlText w:val="(%1)"/>
      <w:numFmt w:val="lowerRoman"/>
      <w:start w:val="8"/>
    </w:lvl>
  </w:abstractNum>
  <w:abstractNum w:abstractNumId="389">
    <w:nsid w:val="6F3E5490"/>
    <w:multiLevelType w:val="hybridMultilevel"/>
    <w:lvl w:ilvl="0">
      <w:lvlJc w:val="left"/>
      <w:lvlText w:val="(%1)"/>
      <w:numFmt w:val="lowerRoman"/>
      <w:start w:val="9"/>
    </w:lvl>
  </w:abstractNum>
  <w:abstractNum w:abstractNumId="390">
    <w:nsid w:val="1464BE1E"/>
    <w:multiLevelType w:val="hybridMultilevel"/>
    <w:lvl w:ilvl="0">
      <w:lvlJc w:val="left"/>
      <w:lvlText w:val="(%1)"/>
      <w:numFmt w:val="lowerRoman"/>
      <w:start w:val="10"/>
    </w:lvl>
  </w:abstractNum>
  <w:abstractNum w:abstractNumId="391">
    <w:nsid w:val="66BBB7E5"/>
    <w:multiLevelType w:val="hybridMultilevel"/>
    <w:lvl w:ilvl="0">
      <w:lvlJc w:val="left"/>
      <w:lvlText w:val="%1"/>
      <w:numFmt w:val="decimal"/>
      <w:start w:val="11"/>
    </w:lvl>
  </w:abstractNum>
  <w:abstractNum w:abstractNumId="392">
    <w:nsid w:val="28168302"/>
    <w:multiLevelType w:val="hybridMultilevel"/>
    <w:lvl w:ilvl="0">
      <w:lvlJc w:val="left"/>
      <w:lvlText w:val="%1"/>
      <w:numFmt w:val="decimal"/>
      <w:start w:val="13"/>
    </w:lvl>
  </w:abstractNum>
  <w:abstractNum w:abstractNumId="393">
    <w:nsid w:val="32A5C7A8"/>
    <w:multiLevelType w:val="hybridMultilevel"/>
    <w:lvl w:ilvl="0">
      <w:lvlJc w:val="left"/>
      <w:lvlText w:val="(%1)"/>
      <w:numFmt w:val="upperLetter"/>
      <w:start w:val="35"/>
    </w:lvl>
  </w:abstractNum>
  <w:abstractNum w:abstractNumId="394">
    <w:nsid w:val="3A541011"/>
    <w:multiLevelType w:val="hybridMultilevel"/>
    <w:lvl w:ilvl="0">
      <w:lvlJc w:val="left"/>
      <w:lvlText w:val="(%1)"/>
      <w:numFmt w:val="lowerLetter"/>
      <w:start w:val="3"/>
    </w:lvl>
  </w:abstractNum>
  <w:abstractNum w:abstractNumId="395">
    <w:nsid w:val="4423C777"/>
    <w:multiLevelType w:val="hybridMultilevel"/>
    <w:lvl w:ilvl="0">
      <w:lvlJc w:val="left"/>
      <w:lvlText w:val="(%1)"/>
      <w:numFmt w:val="lowerRoman"/>
      <w:start w:val="1"/>
    </w:lvl>
  </w:abstractNum>
  <w:abstractNum w:abstractNumId="396">
    <w:nsid w:val="5F5C6E4D"/>
    <w:multiLevelType w:val="hybridMultilevel"/>
    <w:lvl w:ilvl="0">
      <w:lvlJc w:val="left"/>
      <w:lvlText w:val="(%1)"/>
      <w:numFmt w:val="lowerRoman"/>
      <w:start w:val="3"/>
    </w:lvl>
  </w:abstractNum>
  <w:abstractNum w:abstractNumId="397">
    <w:nsid w:val="7C2A56CD"/>
    <w:multiLevelType w:val="hybridMultilevel"/>
    <w:lvl w:ilvl="0">
      <w:lvlJc w:val="left"/>
      <w:lvlText w:val="%1"/>
      <w:numFmt w:val="decimal"/>
      <w:start w:val="14"/>
    </w:lvl>
    <w:lvl w:ilvl="1">
      <w:lvlJc w:val="left"/>
      <w:lvlText w:val="(%2)"/>
      <w:numFmt w:val="upperLetter"/>
      <w:start w:val="1"/>
    </w:lvl>
  </w:abstractNum>
  <w:abstractNum w:abstractNumId="398">
    <w:nsid w:val="7AB86EE1"/>
    <w:multiLevelType w:val="hybridMultilevel"/>
    <w:lvl w:ilvl="0">
      <w:lvlJc w:val="left"/>
      <w:lvlText w:val="(%1)"/>
      <w:numFmt w:val="decimal"/>
      <w:start w:val="3"/>
    </w:lvl>
  </w:abstractNum>
  <w:abstractNum w:abstractNumId="399">
    <w:nsid w:val="B54E53B"/>
    <w:multiLevelType w:val="hybridMultilevel"/>
    <w:lvl w:ilvl="0">
      <w:lvlJc w:val="left"/>
      <w:lvlText w:val="(%1)"/>
      <w:numFmt w:val="upperLetter"/>
      <w:start w:val="61"/>
    </w:lvl>
  </w:abstractNum>
  <w:abstractNum w:abstractNumId="400">
    <w:nsid w:val="2A00487"/>
    <w:multiLevelType w:val="hybridMultilevel"/>
    <w:lvl w:ilvl="0">
      <w:lvlJc w:val="left"/>
      <w:lvlText w:val="(%1)"/>
      <w:numFmt w:val="lowerLetter"/>
      <w:start w:val="1"/>
    </w:lvl>
  </w:abstractNum>
  <w:abstractNum w:abstractNumId="401">
    <w:nsid w:val="6CB1B60"/>
    <w:multiLevelType w:val="hybridMultilevel"/>
    <w:lvl w:ilvl="0">
      <w:lvlJc w:val="left"/>
      <w:lvlText w:val="(%1)"/>
      <w:numFmt w:val="lowerLetter"/>
      <w:start w:val="2"/>
    </w:lvl>
  </w:abstractNum>
  <w:abstractNum w:abstractNumId="402">
    <w:nsid w:val="72EDD574"/>
    <w:multiLevelType w:val="hybridMultilevel"/>
    <w:lvl w:ilvl="0">
      <w:lvlJc w:val="left"/>
      <w:lvlText w:val="(%1)"/>
      <w:numFmt w:val="lowerLetter"/>
      <w:start w:val="3"/>
    </w:lvl>
  </w:abstractNum>
  <w:abstractNum w:abstractNumId="403">
    <w:nsid w:val="7323808A"/>
    <w:multiLevelType w:val="hybridMultilevel"/>
    <w:lvl w:ilvl="0">
      <w:lvlJc w:val="left"/>
      <w:lvlText w:val="(%1)"/>
      <w:numFmt w:val="lowerLetter"/>
      <w:start w:val="4"/>
    </w:lvl>
  </w:abstractNum>
  <w:abstractNum w:abstractNumId="404">
    <w:nsid w:val="5157276"/>
    <w:multiLevelType w:val="hybridMultilevel"/>
    <w:lvl w:ilvl="0">
      <w:lvlJc w:val="left"/>
      <w:lvlText w:val="(%1)"/>
      <w:numFmt w:val="lowerLetter"/>
      <w:start w:val="5"/>
    </w:lvl>
  </w:abstractNum>
  <w:abstractNum w:abstractNumId="405">
    <w:nsid w:val="35A681DB"/>
    <w:multiLevelType w:val="hybridMultilevel"/>
    <w:lvl w:ilvl="0">
      <w:lvlJc w:val="left"/>
      <w:lvlText w:val="(%1)"/>
      <w:numFmt w:val="lowerLetter"/>
      <w:start w:val="6"/>
    </w:lvl>
  </w:abstractNum>
  <w:abstractNum w:abstractNumId="406">
    <w:nsid w:val="1786C974"/>
    <w:multiLevelType w:val="hybridMultilevel"/>
    <w:lvl w:ilvl="0">
      <w:lvlJc w:val="left"/>
      <w:lvlText w:val="(%1)"/>
      <w:numFmt w:val="lowerLetter"/>
      <w:start w:val="7"/>
    </w:lvl>
  </w:abstractNum>
  <w:abstractNum w:abstractNumId="407">
    <w:nsid w:val="1C2427A1"/>
    <w:multiLevelType w:val="hybridMultilevel"/>
    <w:lvl w:ilvl="0">
      <w:lvlJc w:val="left"/>
      <w:lvlText w:val="(%1)"/>
      <w:numFmt w:val="lowerLetter"/>
      <w:start w:val="8"/>
    </w:lvl>
  </w:abstractNum>
  <w:abstractNum w:abstractNumId="408">
    <w:nsid w:val="63A24D68"/>
    <w:multiLevelType w:val="hybridMultilevel"/>
    <w:lvl w:ilvl="0">
      <w:lvlJc w:val="left"/>
      <w:lvlText w:val="%1."/>
      <w:numFmt w:val="decimal"/>
      <w:start w:val="1"/>
    </w:lvl>
    <w:lvl w:ilvl="1">
      <w:lvlJc w:val="left"/>
      <w:lvlText w:val="(%2)"/>
      <w:numFmt w:val="lowerLetter"/>
      <w:start w:val="1"/>
    </w:lvl>
  </w:abstractNum>
  <w:abstractNum w:abstractNumId="409">
    <w:nsid w:val="4FB7A02A"/>
    <w:multiLevelType w:val="hybridMultilevel"/>
    <w:lvl w:ilvl="0">
      <w:lvlJc w:val="left"/>
      <w:lvlText w:val="%1"/>
      <w:numFmt w:val="lowerLetter"/>
      <w:start w:val="1"/>
    </w:lvl>
    <w:lvl w:ilvl="1">
      <w:lvlJc w:val="left"/>
      <w:lvlText w:val="(%2)"/>
      <w:numFmt w:val="lowerLetter"/>
      <w:start w:val="2"/>
    </w:lvl>
  </w:abstractNum>
  <w:abstractNum w:abstractNumId="410">
    <w:nsid w:val="96CF728"/>
    <w:multiLevelType w:val="hybridMultilevel"/>
    <w:lvl w:ilvl="0">
      <w:lvlJc w:val="left"/>
      <w:lvlText w:val="(%1)"/>
      <w:numFmt w:val="lowerLetter"/>
      <w:start w:val="61"/>
    </w:lvl>
    <w:lvl w:ilvl="1">
      <w:lvlJc w:val="left"/>
      <w:lvlText w:val="(%2)"/>
      <w:numFmt w:val="lowerLetter"/>
      <w:start w:val="3"/>
    </w:lvl>
  </w:abstractNum>
  <w:abstractNum w:abstractNumId="411">
    <w:nsid w:val="3B121183"/>
    <w:multiLevelType w:val="hybridMultilevel"/>
    <w:lvl w:ilvl="0">
      <w:lvlJc w:val="left"/>
      <w:lvlText w:val="%1."/>
      <w:numFmt w:val="decimal"/>
      <w:start w:val="4"/>
    </w:lvl>
  </w:abstractNum>
  <w:abstractNum w:abstractNumId="412">
    <w:nsid w:val="3459648F"/>
    <w:multiLevelType w:val="hybridMultilevel"/>
    <w:lvl w:ilvl="0">
      <w:lvlJc w:val="left"/>
      <w:lvlText w:val="☐"/>
      <w:numFmt w:val="bullet"/>
      <w:start w:val="1"/>
    </w:lvl>
  </w:abstractNum>
  <w:abstractNum w:abstractNumId="413">
    <w:nsid w:val="3ADF331D"/>
    <w:multiLevelType w:val="hybridMultilevel"/>
    <w:lvl w:ilvl="0">
      <w:lvlJc w:val="left"/>
      <w:lvlText w:val="%1."/>
      <w:numFmt w:val="decimal"/>
      <w:start w:val="2"/>
    </w:lvl>
  </w:abstractNum>
  <w:abstractNum w:abstractNumId="414">
    <w:nsid w:val="4D08A9E4"/>
    <w:multiLevelType w:val="hybridMultilevel"/>
    <w:lvl w:ilvl="0">
      <w:lvlJc w:val="left"/>
      <w:lvlText w:val="%1"/>
      <w:numFmt w:val="decimal"/>
      <w:start w:val="15"/>
    </w:lvl>
  </w:abstractNum>
  <w:abstractNum w:abstractNumId="415">
    <w:nsid w:val="6AF2BB3A"/>
    <w:multiLevelType w:val="hybridMultilevel"/>
    <w:lvl w:ilvl="0">
      <w:lvlJc w:val="left"/>
      <w:lvlText w:val="☐"/>
      <w:numFmt w:val="bullet"/>
      <w:start w:val="1"/>
    </w:lvl>
    <w:lvl w:ilvl="1">
      <w:lvlJc w:val="left"/>
      <w:lvlText w:val="☐"/>
      <w:numFmt w:val="bullet"/>
      <w:start w:val="1"/>
    </w:lvl>
  </w:abstractNum>
  <w:abstractNum w:abstractNumId="416">
    <w:nsid w:val="481B1739"/>
    <w:multiLevelType w:val="hybridMultilevel"/>
    <w:lvl w:ilvl="0">
      <w:lvlJc w:val="left"/>
      <w:lvlText w:val="%1."/>
      <w:numFmt w:val="decimal"/>
      <w:start w:val="1"/>
    </w:lvl>
  </w:abstractNum>
  <w:abstractNum w:abstractNumId="417">
    <w:nsid w:val="19E2BFCC"/>
    <w:multiLevelType w:val="hybridMultilevel"/>
    <w:lvl w:ilvl="0">
      <w:lvlJc w:val="left"/>
      <w:lvlText w:val="%1."/>
      <w:numFmt w:val="decimal"/>
      <w:start w:val="2"/>
    </w:lvl>
  </w:abstractNum>
  <w:abstractNum w:abstractNumId="418">
    <w:nsid w:val="66D021CA"/>
    <w:multiLevelType w:val="hybridMultilevel"/>
    <w:lvl w:ilvl="0">
      <w:lvlJc w:val="left"/>
      <w:lvlText w:val="%1."/>
      <w:numFmt w:val="decimal"/>
      <w:start w:val="2"/>
    </w:lvl>
  </w:abstractNum>
  <w:abstractNum w:abstractNumId="419">
    <w:nsid w:val="56167394"/>
    <w:multiLevelType w:val="hybridMultilevel"/>
    <w:lvl w:ilvl="0">
      <w:lvlJc w:val="left"/>
      <w:lvlText w:val="%1."/>
      <w:numFmt w:val="decimal"/>
      <w:start w:val="1"/>
    </w:lvl>
    <w:lvl w:ilvl="1">
      <w:lvlJc w:val="left"/>
      <w:lvlText w:val="(%2)"/>
      <w:numFmt w:val="lowerLetter"/>
      <w:start w:val="1"/>
    </w:lvl>
  </w:abstractNum>
  <w:abstractNum w:abstractNumId="420">
    <w:nsid w:val="921145C"/>
    <w:multiLevelType w:val="hybridMultilevel"/>
    <w:lvl w:ilvl="0">
      <w:lvlJc w:val="left"/>
      <w:lvlText w:val="(%1)"/>
      <w:numFmt w:val="lowerLetter"/>
      <w:start w:val="3"/>
    </w:lvl>
  </w:abstractNum>
  <w:abstractNum w:abstractNumId="421">
    <w:nsid w:val="7B34DFE8"/>
    <w:multiLevelType w:val="hybridMultilevel"/>
    <w:lvl w:ilvl="0">
      <w:lvlJc w:val="left"/>
      <w:lvlText w:val="(%1)"/>
      <w:numFmt w:val="upperLetter"/>
      <w:start w:val="1"/>
    </w:lvl>
  </w:abstractNum>
  <w:abstractNum w:abstractNumId="422">
    <w:nsid w:val="3CD22B79"/>
    <w:multiLevelType w:val="hybridMultilevel"/>
    <w:lvl w:ilvl="0">
      <w:lvlJc w:val="left"/>
      <w:lvlText w:val="%1."/>
      <w:numFmt w:val="decimal"/>
      <w:start w:val="2"/>
    </w:lvl>
  </w:abstractNum>
  <w:abstractNum w:abstractNumId="423">
    <w:nsid w:val="3137975E"/>
    <w:multiLevelType w:val="hybridMultilevel"/>
    <w:lvl w:ilvl="0">
      <w:lvlJc w:val="left"/>
      <w:lvlText w:val="%1."/>
      <w:numFmt w:val="decimal"/>
      <w:start w:val="3"/>
    </w:lvl>
    <w:lvl w:ilvl="1">
      <w:lvlJc w:val="left"/>
      <w:lvlText w:val="(%2)"/>
      <w:numFmt w:val="lowerLetter"/>
      <w:start w:val="1"/>
    </w:lvl>
  </w:abstractNum>
  <w:abstractNum w:abstractNumId="424">
    <w:nsid w:val="2DDAA791"/>
    <w:multiLevelType w:val="hybridMultilevel"/>
    <w:lvl w:ilvl="0">
      <w:lvlJc w:val="left"/>
      <w:lvlText w:val="%1"/>
      <w:numFmt w:val="lowerLetter"/>
      <w:start w:val="1"/>
    </w:lvl>
    <w:lvl w:ilvl="1">
      <w:lvlJc w:val="left"/>
      <w:lvlText w:val="(%2)"/>
      <w:numFmt w:val="lowerLetter"/>
      <w:start w:val="3"/>
    </w:lvl>
  </w:abstractNum>
  <w:abstractNum w:abstractNumId="425">
    <w:nsid w:val="77263B8A"/>
    <w:multiLevelType w:val="hybridMultilevel"/>
    <w:lvl w:ilvl="0">
      <w:lvlJc w:val="left"/>
      <w:lvlText w:val="(%1)"/>
      <w:numFmt w:val="lowerLetter"/>
      <w:start w:val="61"/>
    </w:lvl>
    <w:lvl w:ilvl="1">
      <w:lvlJc w:val="left"/>
      <w:lvlText w:val="(%2)"/>
      <w:numFmt w:val="lowerLetter"/>
      <w:start w:val="5"/>
    </w:lvl>
  </w:abstractNum>
  <w:abstractNum w:abstractNumId="426">
    <w:nsid w:val="755B5ED6"/>
    <w:multiLevelType w:val="hybridMultilevel"/>
    <w:lvl w:ilvl="0">
      <w:lvlJc w:val="left"/>
      <w:lvlText w:val="(%1)"/>
      <w:numFmt w:val="lowerLetter"/>
      <w:start w:val="9"/>
    </w:lvl>
    <w:lvl w:ilvl="1">
      <w:lvlJc w:val="left"/>
      <w:lvlText w:val="(%2)"/>
      <w:numFmt w:val="lowerRoman"/>
      <w:start w:val="1"/>
    </w:lvl>
  </w:abstractNum>
  <w:abstractNum w:abstractNumId="427">
    <w:nsid w:val="D3715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28">
    <w:nsid w:val="735092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9">
    <w:nsid w:val="7013CDB7"/>
    <w:multiLevelType w:val="hybridMultilevel"/>
    <w:lvl w:ilvl="0">
      <w:lvlJc w:val="left"/>
      <w:lvlText w:val="(%1)"/>
      <w:numFmt w:val="upperLetter"/>
      <w:start w:val="2"/>
    </w:lvl>
    <w:lvl w:ilvl="1">
      <w:lvlJc w:val="left"/>
      <w:lvlText w:val="(%2)"/>
      <w:numFmt w:val="lowerLetter"/>
      <w:start w:val="3"/>
    </w:lvl>
  </w:abstractNum>
  <w:abstractNum w:abstractNumId="430">
    <w:nsid w:val="188BFB19"/>
    <w:multiLevelType w:val="hybridMultilevel"/>
    <w:lvl w:ilvl="0">
      <w:lvlJc w:val="left"/>
      <w:lvlText w:val="(%1)"/>
      <w:numFmt w:val="lowerLetter"/>
      <w:start w:val="6"/>
    </w:lvl>
    <w:lvl w:ilvl="1">
      <w:lvlJc w:val="left"/>
      <w:lvlText w:val="(%2)"/>
      <w:numFmt w:val="lowerRoman"/>
      <w:start w:val="1"/>
    </w:lvl>
  </w:abstractNum>
  <w:abstractNum w:abstractNumId="431">
    <w:nsid w:val="75F096DF"/>
    <w:multiLevelType w:val="hybridMultilevel"/>
    <w:lvl w:ilvl="0">
      <w:lvlJc w:val="left"/>
      <w:lvlText w:val="(%1)"/>
      <w:numFmt w:val="lowerRoman"/>
      <w:start w:val="4"/>
    </w:lvl>
  </w:abstractNum>
  <w:abstractNum w:abstractNumId="432">
    <w:nsid w:val="76DEE918"/>
    <w:multiLevelType w:val="hybridMultilevel"/>
    <w:lvl w:ilvl="0">
      <w:lvlJc w:val="left"/>
      <w:lvlText w:val="%1."/>
      <w:numFmt w:val="decimal"/>
      <w:start w:val="5"/>
    </w:lvl>
  </w:abstractNum>
  <w:abstractNum w:abstractNumId="433">
    <w:nsid w:val="B79D08D"/>
    <w:multiLevelType w:val="hybridMultilevel"/>
    <w:lvl w:ilvl="0">
      <w:lvlJc w:val="left"/>
      <w:lvlText w:val="%1."/>
      <w:numFmt w:val="decimal"/>
      <w:start w:val="7"/>
    </w:lvl>
    <w:lvl w:ilvl="1">
      <w:lvlJc w:val="left"/>
      <w:lvlText w:val="(%2)"/>
      <w:numFmt w:val="lowerLetter"/>
      <w:start w:val="1"/>
    </w:lvl>
  </w:abstractNum>
  <w:abstractNum w:abstractNumId="434">
    <w:nsid w:val="69141769"/>
    <w:multiLevelType w:val="hybridMultilevel"/>
    <w:lvl w:ilvl="0">
      <w:lvlJc w:val="left"/>
      <w:lvlText w:val="(%1)"/>
      <w:numFmt w:val="upperLetter"/>
      <w:start w:val="1"/>
    </w:lvl>
    <w:lvl w:ilvl="1">
      <w:lvlJc w:val="left"/>
      <w:lvlText w:val="(%2)"/>
      <w:numFmt w:val="lowerLetter"/>
      <w:start w:val="2"/>
    </w:lvl>
  </w:abstractNum>
  <w:abstractNum w:abstractNumId="435">
    <w:nsid w:val="7BF45B8E"/>
    <w:multiLevelType w:val="hybridMultilevel"/>
    <w:lvl w:ilvl="0">
      <w:lvlJc w:val="left"/>
      <w:lvlText w:val="(%1)"/>
      <w:numFmt w:val="lowerLetter"/>
      <w:start w:val="3"/>
    </w:lvl>
  </w:abstractNum>
  <w:abstractNum w:abstractNumId="436">
    <w:nsid w:val="4120526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37">
    <w:nsid w:val="9AE0D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8">
    <w:nsid w:val="1818832F"/>
    <w:multiLevelType w:val="hybridMultilevel"/>
    <w:lvl w:ilvl="0">
      <w:lvlJc w:val="left"/>
      <w:lvlText w:val="(%1)"/>
      <w:numFmt w:val="lowerRoman"/>
      <w:start w:val="9"/>
    </w:lvl>
  </w:abstractNum>
  <w:abstractNum w:abstractNumId="439">
    <w:nsid w:val="24C29FD1"/>
    <w:multiLevelType w:val="hybridMultilevel"/>
    <w:lvl w:ilvl="0">
      <w:lvlJc w:val="left"/>
      <w:lvlText w:val="(%1)"/>
      <w:numFmt w:val="lowerLetter"/>
      <w:start w:val="2"/>
    </w:lvl>
  </w:abstractNum>
  <w:abstractNum w:abstractNumId="440">
    <w:nsid w:val="50528108"/>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41">
    <w:nsid w:val="21857A57"/>
    <w:multiLevelType w:val="hybridMultilevel"/>
    <w:lvl w:ilvl="0">
      <w:lvlJc w:val="left"/>
      <w:lvlText w:val="%1"/>
      <w:numFmt w:val="decimal"/>
      <w:start w:val="1"/>
    </w:lvl>
    <w:lvl w:ilvl="1">
      <w:lvlJc w:val="left"/>
      <w:lvlText w:val="(%2)"/>
      <w:numFmt w:val="lowerLetter"/>
      <w:start w:val="6"/>
    </w:lvl>
  </w:abstractNum>
  <w:abstractNum w:abstractNumId="442">
    <w:nsid w:val="5FD4B154"/>
    <w:multiLevelType w:val="hybridMultilevel"/>
    <w:lvl w:ilvl="0">
      <w:lvlJc w:val="left"/>
      <w:lvlText w:val="%1."/>
      <w:numFmt w:val="decimal"/>
      <w:start w:val="9"/>
    </w:lvl>
    <w:lvl w:ilvl="1">
      <w:lvlJc w:val="left"/>
      <w:lvlText w:val="(%2)"/>
      <w:numFmt w:val="lowerLetter"/>
      <w:start w:val="1"/>
    </w:lvl>
  </w:abstractNum>
  <w:abstractNum w:abstractNumId="443">
    <w:nsid w:val="4ABE597"/>
    <w:multiLevelType w:val="hybridMultilevel"/>
    <w:lvl w:ilvl="0">
      <w:lvlJc w:val="left"/>
      <w:lvlText w:val="%1."/>
      <w:numFmt w:val="decimal"/>
      <w:start w:val="14"/>
    </w:lvl>
  </w:abstractNum>
  <w:abstractNum w:abstractNumId="444">
    <w:nsid w:val="5C64AD75"/>
    <w:multiLevelType w:val="hybridMultilevel"/>
    <w:lvl w:ilvl="0">
      <w:lvlJc w:val="left"/>
      <w:lvlText w:val="%1."/>
      <w:numFmt w:val="decimal"/>
      <w:start w:val="22"/>
    </w:lvl>
  </w:abstractNum>
  <w:abstractNum w:abstractNumId="445">
    <w:nsid w:val="2CDD5B39"/>
    <w:multiLevelType w:val="hybridMultilevel"/>
    <w:lvl w:ilvl="0">
      <w:lvlJc w:val="left"/>
      <w:lvlText w:val="1"/>
      <w:numFmt w:val="bullet"/>
      <w:start w:val="1"/>
    </w:lvl>
  </w:abstractNum>
  <w:abstractNum w:abstractNumId="446">
    <w:nsid w:val="6F9EA0D1"/>
    <w:multiLevelType w:val="hybridMultilevel"/>
    <w:lvl w:ilvl="0">
      <w:lvlJc w:val="left"/>
      <w:lvlText w:val="%1."/>
      <w:numFmt w:val="decimal"/>
      <w:start w:val="1"/>
    </w:lvl>
  </w:abstractNum>
  <w:abstractNum w:abstractNumId="447">
    <w:nsid w:val="247FC4AE"/>
    <w:multiLevelType w:val="hybridMultilevel"/>
    <w:lvl w:ilvl="0">
      <w:lvlJc w:val="left"/>
      <w:lvlText w:val="%1)"/>
      <w:numFmt w:val="decimal"/>
      <w:start w:val="12"/>
    </w:lvl>
  </w:abstractNum>
  <w:abstractNum w:abstractNumId="448">
    <w:nsid w:val="46C01B05"/>
    <w:multiLevelType w:val="hybridMultilevel"/>
    <w:lvl w:ilvl="0">
      <w:lvlJc w:val="left"/>
      <w:lvlText w:val="%1."/>
      <w:numFmt w:val="decimal"/>
      <w:start w:val="1"/>
    </w:lvl>
  </w:abstractNum>
  <w:abstractNum w:abstractNumId="449">
    <w:nsid w:val="566EC29B"/>
    <w:multiLevelType w:val="hybridMultilevel"/>
    <w:lvl w:ilvl="0">
      <w:lvlJc w:val="left"/>
      <w:lvlText w:val="[***]"/>
      <w:numFmt w:val="bullet"/>
      <w:start w:val="1"/>
    </w:lvl>
  </w:abstractNum>
  <w:abstractNum w:abstractNumId="450">
    <w:nsid w:val="7A963843"/>
    <w:multiLevelType w:val="hybridMultilevel"/>
    <w:lvl w:ilvl="0">
      <w:lvlJc w:val="left"/>
      <w:lvlText w:val="%1."/>
      <w:numFmt w:val="decimal"/>
      <w:start w:val="1"/>
    </w:lvl>
  </w:abstractNum>
  <w:abstractNum w:abstractNumId="451">
    <w:nsid w:val="4FE12F61"/>
    <w:multiLevelType w:val="hybridMultilevel"/>
    <w:lvl w:ilvl="0">
      <w:lvlJc w:val="left"/>
      <w:lvlText w:val="%1."/>
      <w:numFmt w:val="decimal"/>
      <w:start w:val="1"/>
    </w:lvl>
  </w:abstractNum>
  <w:abstractNum w:abstractNumId="452">
    <w:nsid w:val="51A3A284"/>
    <w:multiLevelType w:val="hybridMultilevel"/>
    <w:lvl w:ilvl="0">
      <w:lvlJc w:val="left"/>
      <w:lvlText w:val="[***]"/>
      <w:numFmt w:val="bullet"/>
      <w:start w:val="1"/>
    </w:lvl>
  </w:abstractNum>
  <w:abstractNum w:abstractNumId="453">
    <w:nsid w:val="376863BC"/>
    <w:multiLevelType w:val="hybridMultilevel"/>
    <w:lvl w:ilvl="0">
      <w:lvlJc w:val="left"/>
      <w:lvlText w:val="%1."/>
      <w:numFmt w:val="decimal"/>
    </w:lvl>
    <w:lvl w:ilvl="1">
      <w:lvlJc w:val="left"/>
      <w:lvlText w:val="•"/>
      <w:numFmt w:val="bullet"/>
      <w:start w:val="1"/>
    </w:lvl>
  </w:abstractNum>
  <w:abstractNum w:abstractNumId="454">
    <w:nsid w:val="118C6C0"/>
    <w:multiLevelType w:val="hybridMultilevel"/>
    <w:lvl w:ilvl="0">
      <w:lvlJc w:val="left"/>
      <w:lvlText w:val="[***]"/>
      <w:numFmt w:val="bullet"/>
      <w:start w:val="1"/>
    </w:lvl>
  </w:abstractNum>
  <w:abstractNum w:abstractNumId="455">
    <w:nsid w:val="7F7E4A1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56">
    <w:nsid w:val="2E8E9F47"/>
    <w:multiLevelType w:val="hybridMultilevel"/>
    <w:lvl w:ilvl="0">
      <w:lvlJc w:val="left"/>
      <w:lvlText w:val="·"/>
      <w:numFmt w:val="bullet"/>
      <w:start w:val="1"/>
    </w:lvl>
  </w:abstractNum>
  <w:abstractNum w:abstractNumId="457">
    <w:nsid w:val="76742596"/>
    <w:multiLevelType w:val="hybridMultilevel"/>
    <w:lvl w:ilvl="0">
      <w:lvlJc w:val="left"/>
      <w:lvlText w:val="·"/>
      <w:numFmt w:val="bullet"/>
      <w:start w:val="1"/>
    </w:lvl>
  </w:abstractNum>
  <w:abstractNum w:abstractNumId="458">
    <w:nsid w:val="CB55FF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59">
    <w:nsid w:val="21DF319E"/>
    <w:multiLevelType w:val="hybridMultilevel"/>
    <w:lvl w:ilvl="0">
      <w:lvlJc w:val="left"/>
      <w:lvlText w:val="·"/>
      <w:numFmt w:val="bullet"/>
      <w:start w:val="1"/>
    </w:lvl>
    <w:lvl w:ilvl="1">
      <w:lvlJc w:val="left"/>
      <w:lvlText w:val="·"/>
      <w:numFmt w:val="bullet"/>
      <w:start w:val="1"/>
    </w:lvl>
  </w:abstractNum>
  <w:abstractNum w:abstractNumId="460">
    <w:nsid w:val="6687F34D"/>
    <w:multiLevelType w:val="hybridMultilevel"/>
    <w:lvl w:ilvl="0">
      <w:lvlJc w:val="left"/>
      <w:lvlText w:val="·"/>
      <w:numFmt w:val="bullet"/>
      <w:start w:val="1"/>
    </w:lvl>
  </w:abstractNum>
  <w:abstractNum w:abstractNumId="461">
    <w:nsid w:val="25415B0C"/>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462">
    <w:nsid w:val="17CFC87D"/>
    <w:multiLevelType w:val="hybridMultilevel"/>
    <w:lvl w:ilvl="0">
      <w:lvlJc w:val="left"/>
      <w:lvlText w:val="·"/>
      <w:numFmt w:val="bullet"/>
      <w:start w:val="1"/>
    </w:lvl>
  </w:abstractNum>
  <w:abstractNum w:abstractNumId="463">
    <w:nsid w:val="5D66DC65"/>
    <w:multiLevelType w:val="hybridMultilevel"/>
    <w:lvl w:ilvl="0">
      <w:lvlJc w:val="left"/>
      <w:lvlText w:val="·"/>
      <w:numFmt w:val="bullet"/>
      <w:start w:val="1"/>
    </w:lvl>
  </w:abstractNum>
  <w:abstractNum w:abstractNumId="464">
    <w:nsid w:val="30BB2B99"/>
    <w:multiLevelType w:val="hybridMultilevel"/>
    <w:lvl w:ilvl="0">
      <w:lvlJc w:val="left"/>
      <w:lvlText w:val="·"/>
      <w:numFmt w:val="bullet"/>
      <w:start w:val="1"/>
    </w:lvl>
  </w:abstractNum>
  <w:abstractNum w:abstractNumId="465">
    <w:nsid w:val="E3DFE6"/>
    <w:multiLevelType w:val="hybridMultilevel"/>
    <w:lvl w:ilvl="0">
      <w:lvlJc w:val="left"/>
      <w:lvlText w:val="·"/>
      <w:numFmt w:val="bullet"/>
      <w:start w:val="1"/>
    </w:lvl>
    <w:lvl w:ilvl="1">
      <w:lvlJc w:val="left"/>
      <w:lvlText w:val="o"/>
      <w:numFmt w:val="bullet"/>
      <w:start w:val="1"/>
    </w:lvl>
  </w:abstractNum>
  <w:abstractNum w:abstractNumId="466">
    <w:nsid w:val="595B37F3"/>
    <w:multiLevelType w:val="hybridMultilevel"/>
    <w:lvl w:ilvl="0">
      <w:lvlJc w:val="left"/>
      <w:lvlText w:val="·"/>
      <w:numFmt w:val="bullet"/>
      <w:start w:val="1"/>
    </w:lvl>
  </w:abstractNum>
  <w:abstractNum w:abstractNumId="467">
    <w:nsid w:val="71DB7E02"/>
    <w:multiLevelType w:val="hybridMultilevel"/>
    <w:lvl w:ilvl="0">
      <w:lvlJc w:val="left"/>
      <w:lvlText w:val="·"/>
      <w:numFmt w:val="bullet"/>
      <w:start w:val="1"/>
    </w:lvl>
  </w:abstractNum>
  <w:abstractNum w:abstractNumId="468">
    <w:nsid w:val="17EC0C4"/>
    <w:multiLevelType w:val="hybridMultilevel"/>
    <w:lvl w:ilvl="0">
      <w:lvlJc w:val="left"/>
      <w:lvlText w:val="·"/>
      <w:numFmt w:val="bullet"/>
      <w:start w:val="1"/>
    </w:lvl>
  </w:abstractNum>
  <w:abstractNum w:abstractNumId="469">
    <w:nsid w:val="7173BB22"/>
    <w:multiLevelType w:val="hybridMultilevel"/>
    <w:lvl w:ilvl="0">
      <w:lvlJc w:val="left"/>
      <w:lvlText w:val="·"/>
      <w:numFmt w:val="bullet"/>
      <w:start w:val="1"/>
    </w:lvl>
  </w:abstractNum>
  <w:abstractNum w:abstractNumId="470">
    <w:nsid w:val="169E1DD3"/>
    <w:multiLevelType w:val="hybridMultilevel"/>
    <w:lvl w:ilvl="0">
      <w:lvlJc w:val="left"/>
      <w:lvlText w:val="%1."/>
      <w:numFmt w:val="decimal"/>
      <w:start w:val="1"/>
    </w:lvl>
  </w:abstractNum>
  <w:abstractNum w:abstractNumId="471">
    <w:nsid w:val="51D141CC"/>
    <w:multiLevelType w:val="hybridMultilevel"/>
    <w:lvl w:ilvl="0">
      <w:lvlJc w:val="left"/>
      <w:lvlText w:val="%1."/>
      <w:numFmt w:val="lowerLetter"/>
      <w:start w:val="1"/>
    </w:lvl>
  </w:abstractNum>
  <w:abstractNum w:abstractNumId="472">
    <w:nsid w:val="12F9357A"/>
    <w:multiLevelType w:val="hybridMultilevel"/>
    <w:lvl w:ilvl="0">
      <w:lvlJc w:val="left"/>
      <w:lvlText w:val="%1."/>
      <w:numFmt w:val="lowerLetter"/>
      <w:start w:val="5"/>
    </w:lvl>
  </w:abstractNum>
  <w:abstractNum w:abstractNumId="473">
    <w:nsid w:val="7672CF28"/>
    <w:multiLevelType w:val="hybridMultilevel"/>
    <w:lvl w:ilvl="0">
      <w:lvlJc w:val="left"/>
      <w:lvlText w:val="%1."/>
      <w:numFmt w:val="lowerLetter"/>
      <w:start w:val="1"/>
    </w:lvl>
  </w:abstractNum>
  <w:abstractNum w:abstractNumId="474">
    <w:nsid w:val="567D2763"/>
    <w:multiLevelType w:val="hybridMultilevel"/>
    <w:lvl w:ilvl="0">
      <w:lvlJc w:val="left"/>
      <w:lvlText w:val="%1."/>
      <w:numFmt w:val="lowerLetter"/>
      <w:start w:val="1"/>
    </w:lvl>
    <w:lvl w:ilvl="1">
      <w:lvlJc w:val="left"/>
      <w:lvlText w:val="(%2)"/>
      <w:numFmt w:val="decimal"/>
      <w:start w:val="1"/>
    </w:lvl>
  </w:abstractNum>
  <w:abstractNum w:abstractNumId="475">
    <w:nsid w:val="6F5DE2EF"/>
    <w:multiLevelType w:val="hybridMultilevel"/>
    <w:lvl w:ilvl="0">
      <w:lvlJc w:val="left"/>
      <w:lvlText w:val="%1."/>
      <w:numFmt w:val="decimal"/>
      <w:start w:val="2"/>
    </w:lvl>
  </w:abstractNum>
  <w:abstractNum w:abstractNumId="476">
    <w:nsid w:val="23502A61"/>
    <w:multiLevelType w:val="hybridMultilevel"/>
    <w:lvl w:ilvl="0">
      <w:lvlJc w:val="left"/>
      <w:lvlText w:val="%1."/>
      <w:numFmt w:val="decimal"/>
      <w:start w:val="1"/>
    </w:lvl>
    <w:lvl w:ilvl="1">
      <w:lvlJc w:val="left"/>
      <w:lvlText w:val="%2."/>
      <w:numFmt w:val="lowerLetter"/>
      <w:start w:val="1"/>
    </w:lvl>
  </w:abstractNum>
  <w:abstractNum w:abstractNumId="477">
    <w:nsid w:val="461BC834"/>
    <w:multiLevelType w:val="hybridMultilevel"/>
    <w:lvl w:ilvl="0">
      <w:lvlJc w:val="left"/>
      <w:lvlText w:val="%1."/>
      <w:numFmt w:val="decimal"/>
      <w:start w:val="4"/>
    </w:lvl>
  </w:abstractNum>
  <w:abstractNum w:abstractNumId="478">
    <w:nsid w:val="13DDA79D"/>
    <w:multiLevelType w:val="hybridMultilevel"/>
    <w:lvl w:ilvl="0">
      <w:lvlJc w:val="left"/>
      <w:lvlText w:val="[***]"/>
      <w:numFmt w:val="bullet"/>
      <w:start w:val="1"/>
    </w:lvl>
  </w:abstractNum>
  <w:abstractNum w:abstractNumId="479">
    <w:nsid w:val="6A104566"/>
    <w:multiLevelType w:val="hybridMultilevel"/>
    <w:lvl w:ilvl="0">
      <w:lvlJc w:val="left"/>
      <w:lvlText w:val="[***]"/>
      <w:numFmt w:val="bullet"/>
      <w:start w:val="1"/>
    </w:lvl>
  </w:abstractNum>
  <w:abstractNum w:abstractNumId="480">
    <w:nsid w:val="1C8A8ACF"/>
    <w:multiLevelType w:val="hybridMultilevel"/>
    <w:lvl w:ilvl="0">
      <w:lvlJc w:val="left"/>
      <w:lvlText w:val="[***]"/>
      <w:numFmt w:val="bullet"/>
      <w:start w:val="1"/>
    </w:lvl>
  </w:abstractNum>
  <w:abstractNum w:abstractNumId="481">
    <w:nsid w:val="E73DFE0"/>
    <w:multiLevelType w:val="hybridMultilevel"/>
    <w:lvl w:ilvl="0">
      <w:lvlJc w:val="left"/>
      <w:lvlText w:val="[***]"/>
      <w:numFmt w:val="bullet"/>
      <w:start w:val="1"/>
    </w:lvl>
  </w:abstractNum>
  <w:abstractNum w:abstractNumId="482">
    <w:nsid w:val="39F174C7"/>
    <w:multiLevelType w:val="hybridMultilevel"/>
    <w:lvl w:ilvl="0">
      <w:lvlJc w:val="left"/>
      <w:lvlText w:val="[***]"/>
      <w:numFmt w:val="bullet"/>
      <w:start w:val="1"/>
    </w:lvl>
  </w:abstractNum>
  <w:abstractNum w:abstractNumId="483">
    <w:nsid w:val="6E2E2D53"/>
    <w:multiLevelType w:val="hybridMultilevel"/>
    <w:lvl w:ilvl="0">
      <w:lvlJc w:val="left"/>
      <w:lvlText w:val="[***]"/>
      <w:numFmt w:val="bullet"/>
      <w:start w:val="1"/>
    </w:lvl>
  </w:abstractNum>
  <w:abstractNum w:abstractNumId="484">
    <w:nsid w:val="45DC439D"/>
    <w:multiLevelType w:val="hybridMultilevel"/>
    <w:lvl w:ilvl="0">
      <w:lvlJc w:val="left"/>
      <w:lvlText w:val="[***]"/>
      <w:numFmt w:val="bullet"/>
      <w:start w:val="1"/>
    </w:lvl>
  </w:abstractNum>
  <w:abstractNum w:abstractNumId="485">
    <w:nsid w:val="3B0A3B87"/>
    <w:multiLevelType w:val="hybridMultilevel"/>
    <w:lvl w:ilvl="0">
      <w:lvlJc w:val="left"/>
      <w:lvlText w:val="[***]"/>
      <w:numFmt w:val="bullet"/>
      <w:start w:val="1"/>
    </w:lvl>
  </w:abstractNum>
  <w:abstractNum w:abstractNumId="486">
    <w:nsid w:val="6DAC7768"/>
    <w:multiLevelType w:val="hybridMultilevel"/>
    <w:lvl w:ilvl="0">
      <w:lvlJc w:val="left"/>
      <w:lvlText w:val="[***]"/>
      <w:numFmt w:val="bullet"/>
      <w:start w:val="1"/>
    </w:lvl>
  </w:abstractNum>
  <w:abstractNum w:abstractNumId="487">
    <w:nsid w:val="746AE2E4"/>
    <w:multiLevelType w:val="hybridMultilevel"/>
    <w:lvl w:ilvl="0">
      <w:lvlJc w:val="left"/>
      <w:lvlText w:val="[***]"/>
      <w:numFmt w:val="bullet"/>
      <w:start w:val="1"/>
    </w:lvl>
  </w:abstractNum>
  <w:abstractNum w:abstractNumId="488">
    <w:nsid w:val="317E611D"/>
    <w:multiLevelType w:val="hybridMultilevel"/>
    <w:lvl w:ilvl="0">
      <w:lvlJc w:val="left"/>
      <w:lvlText w:val="[***]"/>
      <w:numFmt w:val="bullet"/>
      <w:start w:val="1"/>
    </w:lvl>
  </w:abstractNum>
  <w:abstractNum w:abstractNumId="489">
    <w:nsid w:val="7A61D75B"/>
    <w:multiLevelType w:val="hybridMultilevel"/>
    <w:lvl w:ilvl="0">
      <w:lvlJc w:val="left"/>
      <w:lvlText w:val="[***]"/>
      <w:numFmt w:val="bullet"/>
      <w:start w:val="1"/>
    </w:lvl>
  </w:abstractNum>
  <w:abstractNum w:abstractNumId="490">
    <w:nsid w:val="164A1482"/>
    <w:multiLevelType w:val="hybridMultilevel"/>
    <w:lvl w:ilvl="0">
      <w:lvlJc w:val="left"/>
      <w:lvlText w:val="[***]"/>
      <w:numFmt w:val="bullet"/>
      <w:start w:val="1"/>
    </w:lvl>
  </w:abstractNum>
  <w:abstractNum w:abstractNumId="491">
    <w:nsid w:val="1806546B"/>
    <w:multiLevelType w:val="hybridMultilevel"/>
    <w:lvl w:ilvl="0">
      <w:lvlJc w:val="left"/>
      <w:lvlText w:val="[***]"/>
      <w:numFmt w:val="bullet"/>
      <w:start w:val="1"/>
    </w:lvl>
  </w:abstractNum>
  <w:abstractNum w:abstractNumId="492">
    <w:nsid w:val="1FA33267"/>
    <w:multiLevelType w:val="hybridMultilevel"/>
    <w:lvl w:ilvl="0">
      <w:lvlJc w:val="left"/>
      <w:lvlText w:val="A"/>
      <w:numFmt w:val="bullet"/>
      <w:start w:val="1"/>
    </w:lvl>
  </w:abstractNum>
  <w:abstractNum w:abstractNumId="493">
    <w:nsid w:val="2E19DD00"/>
    <w:multiLevelType w:val="hybridMultilevel"/>
    <w:lvl w:ilvl="0">
      <w:lvlJc w:val="left"/>
      <w:lvlText w:val="[***]"/>
      <w:numFmt w:val="bullet"/>
      <w:start w:val="1"/>
    </w:lvl>
  </w:abstractNum>
  <w:abstractNum w:abstractNumId="494">
    <w:nsid w:val="756D30D0"/>
    <w:multiLevelType w:val="hybridMultilevel"/>
    <w:lvl w:ilvl="0">
      <w:lvlJc w:val="left"/>
      <w:lvlText w:val="[***]"/>
      <w:numFmt w:val="bullet"/>
      <w:start w:val="1"/>
    </w:lvl>
  </w:abstractNum>
  <w:abstractNum w:abstractNumId="495">
    <w:nsid w:val="505E5E01"/>
    <w:multiLevelType w:val="hybridMultilevel"/>
    <w:lvl w:ilvl="0">
      <w:lvlJc w:val="left"/>
      <w:lvlText w:val="[***]"/>
      <w:numFmt w:val="bullet"/>
      <w:start w:val="1"/>
    </w:lvl>
  </w:abstractNum>
  <w:abstractNum w:abstractNumId="496">
    <w:nsid w:val="2EFDBCE6"/>
    <w:multiLevelType w:val="hybridMultilevel"/>
    <w:lvl w:ilvl="0">
      <w:lvlJc w:val="left"/>
      <w:lvlText w:val="[***]"/>
      <w:numFmt w:val="bullet"/>
      <w:start w:val="1"/>
    </w:lvl>
  </w:abstractNum>
  <w:abstractNum w:abstractNumId="497">
    <w:nsid w:val="4EC868C4"/>
    <w:multiLevelType w:val="hybridMultilevel"/>
    <w:lvl w:ilvl="0">
      <w:lvlJc w:val="left"/>
      <w:lvlText w:val="·"/>
      <w:numFmt w:val="bullet"/>
      <w:start w:val="1"/>
    </w:lvl>
  </w:abstractNum>
  <w:abstractNum w:abstractNumId="498">
    <w:nsid w:val="4239DC03"/>
    <w:multiLevelType w:val="hybridMultilevel"/>
    <w:lvl w:ilvl="0">
      <w:lvlJc w:val="left"/>
      <w:lvlText w:val="[***]"/>
      <w:numFmt w:val="bullet"/>
      <w:start w:val="1"/>
    </w:lvl>
  </w:abstractNum>
  <w:abstractNum w:abstractNumId="499">
    <w:nsid w:val="307C7DAA"/>
    <w:multiLevelType w:val="hybridMultilevel"/>
    <w:lvl w:ilvl="0">
      <w:lvlJc w:val="left"/>
      <w:lvlText w:val="[***]"/>
      <w:numFmt w:val="bullet"/>
      <w:start w:val="1"/>
    </w:lvl>
  </w:abstractNum>
  <w:abstractNum w:abstractNumId="500">
    <w:nsid w:val="403C23E6"/>
    <w:multiLevelType w:val="hybridMultilevel"/>
    <w:lvl w:ilvl="0">
      <w:lvlJc w:val="left"/>
      <w:lvlText w:val="[***]"/>
      <w:numFmt w:val="bullet"/>
      <w:start w:val="1"/>
    </w:lvl>
  </w:abstractNum>
  <w:abstractNum w:abstractNumId="501">
    <w:nsid w:val="58D7F9D7"/>
    <w:multiLevelType w:val="hybridMultilevel"/>
    <w:lvl w:ilvl="0">
      <w:lvlJc w:val="left"/>
      <w:lvlText w:val="[***]"/>
      <w:numFmt w:val="bullet"/>
      <w:start w:val="1"/>
    </w:lvl>
  </w:abstractNum>
  <w:abstractNum w:abstractNumId="502">
    <w:nsid w:val="24DBF76"/>
    <w:multiLevelType w:val="hybridMultilevel"/>
    <w:lvl w:ilvl="0">
      <w:lvlJc w:val="left"/>
      <w:lvlText w:val="[***]"/>
      <w:numFmt w:val="bullet"/>
      <w:start w:val="1"/>
    </w:lvl>
  </w:abstractNum>
  <w:abstractNum w:abstractNumId="503">
    <w:nsid w:val="53355960"/>
    <w:multiLevelType w:val="hybridMultilevel"/>
    <w:lvl w:ilvl="0">
      <w:lvlJc w:val="left"/>
      <w:lvlText w:val="(%1)"/>
      <w:numFmt w:val="decimal"/>
      <w:start w:val="1"/>
    </w:lvl>
  </w:abstractNum>
  <w:abstractNum w:abstractNumId="504">
    <w:nsid w:val="4F4AC8FF"/>
    <w:multiLevelType w:val="hybridMultilevel"/>
    <w:lvl w:ilvl="0">
      <w:lvlJc w:val="left"/>
      <w:lvlText w:val="(%1)"/>
      <w:numFmt w:val="upperLetter"/>
      <w:start w:val="1"/>
    </w:lvl>
  </w:abstractNum>
  <w:abstractNum w:abstractNumId="505">
    <w:nsid w:val="58CAE6D9"/>
    <w:multiLevelType w:val="hybridMultilevel"/>
    <w:lvl w:ilvl="0">
      <w:lvlJc w:val="left"/>
      <w:lvlText w:val="%1."/>
      <w:numFmt w:val="decimal"/>
      <w:start w:val="1"/>
    </w:lvl>
  </w:abstractNum>
  <w:abstractNum w:abstractNumId="506">
    <w:nsid w:val="42933C4F"/>
    <w:multiLevelType w:val="hybridMultilevel"/>
    <w:lvl w:ilvl="0">
      <w:lvlJc w:val="left"/>
      <w:lvlText w:val="(%1)"/>
      <w:numFmt w:val="lowerLetter"/>
      <w:start w:val="1"/>
    </w:lvl>
    <w:lvl w:ilvl="1">
      <w:lvlJc w:val="left"/>
      <w:lvlText w:val="-"/>
      <w:numFmt w:val="bullet"/>
      <w:start w:val="1"/>
    </w:lvl>
  </w:abstractNum>
  <w:abstractNum w:abstractNumId="507">
    <w:nsid w:val="729AF360"/>
    <w:multiLevelType w:val="hybridMultilevel"/>
    <w:lvl w:ilvl="0">
      <w:lvlJc w:val="left"/>
      <w:lvlText w:val="(%1)"/>
      <w:numFmt w:val="lowerLetter"/>
      <w:start w:val="2"/>
    </w:lvl>
  </w:abstractNum>
  <w:abstractNum w:abstractNumId="508">
    <w:nsid w:val="1EE6AF0D"/>
    <w:multiLevelType w:val="hybridMultilevel"/>
    <w:lvl w:ilvl="0">
      <w:lvlJc w:val="left"/>
      <w:lvlText w:val="(%1)"/>
      <w:numFmt w:val="lowerLetter"/>
      <w:start w:val="1"/>
    </w:lvl>
  </w:abstractNum>
  <w:abstractNum w:abstractNumId="509">
    <w:nsid w:val="5670E3ED"/>
    <w:multiLevelType w:val="hybridMultilevel"/>
    <w:lvl w:ilvl="0">
      <w:lvlJc w:val="left"/>
      <w:lvlText w:val="(%1)"/>
      <w:numFmt w:val="lowerLetter"/>
      <w:start w:val="10"/>
    </w:lvl>
    <w:lvl w:ilvl="1">
      <w:lvlJc w:val="left"/>
      <w:lvlText w:val="-"/>
      <w:numFmt w:val="bullet"/>
      <w:start w:val="1"/>
    </w:lvl>
  </w:abstractNum>
  <w:abstractNum w:abstractNumId="510">
    <w:nsid w:val="5CAB38C6"/>
    <w:multiLevelType w:val="hybridMultilevel"/>
    <w:lvl w:ilvl="0">
      <w:lvlJc w:val="left"/>
      <w:lvlText w:val="(%1)"/>
      <w:numFmt w:val="lowerLetter"/>
      <w:start w:val="1"/>
    </w:lvl>
  </w:abstractNum>
  <w:abstractNum w:abstractNumId="511">
    <w:nsid w:val="3B7139DD"/>
    <w:multiLevelType w:val="hybridMultilevel"/>
    <w:lvl w:ilvl="0">
      <w:lvlJc w:val="left"/>
      <w:lvlText w:val="(%1)"/>
      <w:numFmt w:val="lowerLetter"/>
      <w:start w:val="1"/>
    </w:lvl>
    <w:lvl w:ilvl="1">
      <w:lvlJc w:val="left"/>
      <w:lvlText w:val="-"/>
      <w:numFmt w:val="bullet"/>
      <w:start w:val="1"/>
    </w:lvl>
  </w:abstractNum>
  <w:abstractNum w:abstractNumId="512">
    <w:nsid w:val="64E4C3CD"/>
    <w:multiLevelType w:val="hybridMultilevel"/>
    <w:lvl w:ilvl="0">
      <w:lvlJc w:val="left"/>
      <w:lvlText w:val="(%1)"/>
      <w:numFmt w:val="lowerLetter"/>
      <w:start w:val="3"/>
    </w:lvl>
  </w:abstractNum>
  <w:abstractNum w:abstractNumId="513">
    <w:nsid w:val="169CAD8D"/>
    <w:multiLevelType w:val="hybridMultilevel"/>
    <w:lvl w:ilvl="0">
      <w:lvlJc w:val="left"/>
      <w:lvlText w:val="(%1)"/>
      <w:numFmt w:val="lowerLetter"/>
      <w:start w:val="1"/>
    </w:lvl>
  </w:abstractNum>
  <w:abstractNum w:abstractNumId="514">
    <w:nsid w:val="299F6730"/>
    <w:multiLevelType w:val="hybridMultilevel"/>
    <w:lvl w:ilvl="0">
      <w:lvlJc w:val="left"/>
      <w:lvlText w:val="(%1)"/>
      <w:numFmt w:val="lowerRoman"/>
      <w:start w:val="10"/>
    </w:lvl>
    <w:lvl w:ilvl="1">
      <w:lvlJc w:val="left"/>
      <w:lvlText w:val="-"/>
      <w:numFmt w:val="bullet"/>
      <w:start w:val="1"/>
    </w:lvl>
  </w:abstractNum>
  <w:abstractNum w:abstractNumId="515">
    <w:nsid w:val="2AC1076A"/>
    <w:multiLevelType w:val="hybridMultilevel"/>
    <w:lvl w:ilvl="0">
      <w:lvlJc w:val="left"/>
      <w:lvlText w:val="(%1)"/>
      <w:numFmt w:val="lowerLetter"/>
      <w:start w:val="1"/>
    </w:lvl>
    <w:lvl w:ilvl="1">
      <w:lvlJc w:val="left"/>
      <w:lvlText w:val="(%2)"/>
      <w:numFmt w:val="lowerRoman"/>
      <w:start w:val="1"/>
    </w:lvl>
  </w:abstractNum>
  <w:abstractNum w:abstractNumId="516">
    <w:nsid w:val="51A6E915"/>
    <w:multiLevelType w:val="hybridMultilevel"/>
    <w:lvl w:ilvl="0">
      <w:lvlJc w:val="left"/>
      <w:lvlText w:val="(%1)"/>
      <w:numFmt w:val="lowerLetter"/>
      <w:start w:val="1"/>
    </w:lvl>
  </w:abstractNum>
  <w:abstractNum w:abstractNumId="517">
    <w:nsid w:val="174BDE99"/>
    <w:multiLevelType w:val="hybridMultilevel"/>
    <w:lvl w:ilvl="0">
      <w:lvlJc w:val="left"/>
      <w:lvlText w:val="(%1)"/>
      <w:numFmt w:val="lowerLetter"/>
      <w:start w:val="1"/>
    </w:lvl>
  </w:abstractNum>
  <w:abstractNum w:abstractNumId="518">
    <w:nsid w:val="1F2BEA4E"/>
    <w:multiLevelType w:val="hybridMultilevel"/>
    <w:lvl w:ilvl="0">
      <w:lvlJc w:val="left"/>
      <w:lvlText w:val="(%1)"/>
      <w:numFmt w:val="lowerLetter"/>
      <w:start w:val="1"/>
    </w:lvl>
  </w:abstractNum>
  <w:abstractNum w:abstractNumId="519">
    <w:nsid w:val="3254A32"/>
    <w:multiLevelType w:val="hybridMultilevel"/>
    <w:lvl w:ilvl="0">
      <w:lvlJc w:val="left"/>
      <w:lvlText w:val="%1)"/>
      <w:numFmt w:val="lowerLetter"/>
      <w:start w:val="1"/>
    </w:lvl>
  </w:abstractNum>
  <w:abstractNum w:abstractNumId="520">
    <w:nsid w:val="11ADB5F4"/>
    <w:multiLevelType w:val="hybridMultilevel"/>
    <w:lvl w:ilvl="0">
      <w:lvlJc w:val="left"/>
      <w:lvlText w:val="%1)"/>
      <w:numFmt w:val="lowerLetter"/>
      <w:start w:val="1"/>
    </w:lvl>
    <w:lvl w:ilvl="1">
      <w:lvlJc w:val="left"/>
      <w:lvlText w:val="(%2)"/>
      <w:numFmt w:val="lowerRoman"/>
      <w:start w:val="1"/>
    </w:lvl>
  </w:abstractNum>
  <w:abstractNum w:abstractNumId="521">
    <w:nsid w:val="3575FED1"/>
    <w:multiLevelType w:val="hybridMultilevel"/>
    <w:lvl w:ilvl="0">
      <w:lvlJc w:val="left"/>
      <w:lvlText w:val="%1."/>
      <w:numFmt w:val="decimal"/>
      <w:start w:val="2"/>
    </w:lvl>
  </w:abstractNum>
  <w:abstractNum w:abstractNumId="522">
    <w:nsid w:val="1B2B9E9D"/>
    <w:multiLevelType w:val="hybridMultilevel"/>
    <w:lvl w:ilvl="0">
      <w:lvlJc w:val="left"/>
      <w:lvlText w:val="%1."/>
      <w:numFmt w:val="decimal"/>
      <w:start w:val="3"/>
    </w:lvl>
  </w:abstractNum>
  <w:abstractNum w:abstractNumId="523">
    <w:nsid w:val="3150E85C"/>
    <w:multiLevelType w:val="hybridMultilevel"/>
    <w:lvl w:ilvl="0">
      <w:lvlJc w:val="left"/>
      <w:lvlText w:val="%1)"/>
      <w:numFmt w:val="lowerLetter"/>
      <w:start w:val="1"/>
    </w:lvl>
  </w:abstractNum>
  <w:abstractNum w:abstractNumId="524">
    <w:nsid w:val="638FDBD1"/>
    <w:multiLevelType w:val="hybridMultilevel"/>
    <w:lvl w:ilvl="0">
      <w:lvlJc w:val="left"/>
      <w:lvlText w:val="%1)"/>
      <w:numFmt w:val="lowerLetter"/>
      <w:start w:val="1"/>
    </w:lvl>
  </w:abstractNum>
  <w:abstractNum w:abstractNumId="525">
    <w:nsid w:val="1098CF6E"/>
    <w:multiLevelType w:val="hybridMultilevel"/>
    <w:lvl w:ilvl="0">
      <w:lvlJc w:val="left"/>
      <w:lvlText w:val="%1)"/>
      <w:numFmt w:val="lowerLetter"/>
      <w:start w:val="1"/>
    </w:lvl>
  </w:abstractNum>
  <w:abstractNum w:abstractNumId="526">
    <w:nsid w:val="1AF465D"/>
    <w:multiLevelType w:val="hybridMultilevel"/>
    <w:lvl w:ilvl="0">
      <w:lvlJc w:val="left"/>
      <w:lvlText w:val="%1)"/>
      <w:numFmt w:val="lowerLetter"/>
      <w:start w:val="1"/>
    </w:lvl>
  </w:abstractNum>
  <w:abstractNum w:abstractNumId="527">
    <w:nsid w:val="128D98B7"/>
    <w:multiLevelType w:val="hybridMultilevel"/>
    <w:lvl w:ilvl="0">
      <w:lvlJc w:val="left"/>
      <w:lvlText w:val="%1)"/>
      <w:numFmt w:val="lowerLetter"/>
      <w:start w:val="1"/>
    </w:lvl>
  </w:abstractNum>
  <w:abstractNum w:abstractNumId="528">
    <w:nsid w:val="5F613832"/>
    <w:multiLevelType w:val="hybridMultilevel"/>
    <w:lvl w:ilvl="0">
      <w:lvlJc w:val="left"/>
      <w:lvlText w:val="%1)"/>
      <w:numFmt w:val="lowerLetter"/>
      <w:start w:val="1"/>
    </w:lvl>
  </w:abstractNum>
  <w:abstractNum w:abstractNumId="529">
    <w:nsid w:val="43E92260"/>
    <w:multiLevelType w:val="hybridMultilevel"/>
    <w:lvl w:ilvl="0">
      <w:lvlJc w:val="left"/>
      <w:lvlText w:val="%1."/>
      <w:numFmt w:val="decimal"/>
      <w:start w:val="4"/>
    </w:lvl>
  </w:abstractNum>
  <w:abstractNum w:abstractNumId="530">
    <w:nsid w:val="430A1662"/>
    <w:multiLevelType w:val="hybridMultilevel"/>
    <w:lvl w:ilvl="0">
      <w:lvlJc w:val="left"/>
      <w:lvlText w:val="%1."/>
      <w:numFmt w:val="decimal"/>
      <w:start w:val="5"/>
    </w:lvl>
  </w:abstractNum>
  <w:abstractNum w:abstractNumId="531">
    <w:nsid w:val="1F9D5C18"/>
    <w:multiLevelType w:val="hybridMultilevel"/>
    <w:lvl w:ilvl="0">
      <w:lvlJc w:val="left"/>
      <w:lvlText w:val="%1."/>
      <w:numFmt w:val="decimal"/>
      <w:start w:val="6"/>
    </w:lvl>
  </w:abstractNum>
  <w:abstractNum w:abstractNumId="532">
    <w:nsid w:val="1CC11C37"/>
    <w:multiLevelType w:val="hybridMultilevel"/>
    <w:lvl w:ilvl="0">
      <w:lvlJc w:val="left"/>
      <w:lvlText w:val="%1)"/>
      <w:numFmt w:val="lowerLetter"/>
      <w:start w:val="1"/>
    </w:lvl>
    <w:lvl w:ilvl="1">
      <w:lvlJc w:val="left"/>
      <w:lvlText w:val="-"/>
      <w:numFmt w:val="bullet"/>
      <w:start w:val="1"/>
    </w:lvl>
  </w:abstractNum>
  <w:abstractNum w:abstractNumId="533">
    <w:nsid w:val="4557D5D8"/>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534">
    <w:nsid w:val="72D2B579"/>
    <w:multiLevelType w:val="hybridMultilevel"/>
    <w:lvl w:ilvl="0">
      <w:lvlJc w:val="left"/>
      <w:lvlText w:val="%1"/>
      <w:numFmt w:val="lowerLetter"/>
      <w:start w:val="1"/>
    </w:lvl>
    <w:lvl w:ilvl="1">
      <w:lvlJc w:val="left"/>
      <w:lvlText w:val="(%2)"/>
      <w:numFmt w:val="lowerRoman"/>
      <w:start w:val="2"/>
    </w:lvl>
  </w:abstractNum>
  <w:abstractNum w:abstractNumId="535">
    <w:nsid w:val="6C0BE536"/>
    <w:multiLevelType w:val="hybridMultilevel"/>
    <w:lvl w:ilvl="0">
      <w:lvlJc w:val="left"/>
      <w:lvlText w:val="%1)"/>
      <w:numFmt w:val="lowerLetter"/>
      <w:start w:val="16"/>
    </w:lvl>
    <w:lvl w:ilvl="1">
      <w:lvlJc w:val="left"/>
      <w:lvlText w:val="%2"/>
      <w:numFmt w:val="lowerRoman"/>
      <w:start w:val="1"/>
    </w:lvl>
  </w:abstractNum>
  <w:abstractNum w:abstractNumId="536">
    <w:nsid w:val="1E22BCB2"/>
    <w:multiLevelType w:val="hybridMultilevel"/>
    <w:lvl w:ilvl="0">
      <w:lvlJc w:val="left"/>
      <w:lvlText w:val="%1)"/>
      <w:numFmt w:val="lowerLetter"/>
      <w:start w:val="27"/>
    </w:lvl>
  </w:abstractNum>
  <w:abstractNum w:abstractNumId="537">
    <w:nsid w:val="3565F1C8"/>
    <w:multiLevelType w:val="hybridMultilevel"/>
    <w:lvl w:ilvl="0">
      <w:lvlJc w:val="left"/>
      <w:lvlText w:val="%1)"/>
      <w:numFmt w:val="lowerLetter"/>
      <w:start w:val="1"/>
    </w:lvl>
  </w:abstractNum>
  <w:abstractNum w:abstractNumId="538">
    <w:nsid w:val="5EA6D896"/>
    <w:multiLevelType w:val="hybridMultilevel"/>
    <w:lvl w:ilvl="0">
      <w:lvlJc w:val="left"/>
      <w:lvlText w:val="%1)"/>
      <w:numFmt w:val="lowerLetter"/>
      <w:start w:val="1"/>
    </w:lvl>
    <w:lvl w:ilvl="1">
      <w:lvlJc w:val="left"/>
      <w:lvlText w:val="-"/>
      <w:numFmt w:val="bullet"/>
      <w:start w:val="1"/>
    </w:lvl>
  </w:abstractNum>
  <w:abstractNum w:abstractNumId="539">
    <w:nsid w:val="3D096BBF"/>
    <w:multiLevelType w:val="hybridMultilevel"/>
    <w:lvl w:ilvl="0">
      <w:lvlJc w:val="left"/>
      <w:lvlText w:val="%1)"/>
      <w:numFmt w:val="lowerLetter"/>
      <w:start w:val="1"/>
    </w:lvl>
  </w:abstractNum>
  <w:abstractNum w:abstractNumId="540">
    <w:nsid w:val="BD6D5B5"/>
    <w:multiLevelType w:val="hybridMultilevel"/>
    <w:lvl w:ilvl="0">
      <w:lvlJc w:val="left"/>
      <w:lvlText w:val="(%1)"/>
      <w:numFmt w:val="lowerRoman"/>
      <w:start w:val="1"/>
    </w:lvl>
    <w:lvl w:ilvl="1">
      <w:lvlJc w:val="left"/>
      <w:lvlText w:val="-"/>
      <w:numFmt w:val="bullet"/>
      <w:start w:val="1"/>
    </w:lvl>
  </w:abstractNum>
  <w:abstractNum w:abstractNumId="541">
    <w:nsid w:val="3B52115C"/>
    <w:multiLevelType w:val="hybridMultilevel"/>
    <w:lvl w:ilvl="0">
      <w:lvlJc w:val="left"/>
      <w:lvlText w:val="(%1)"/>
      <w:numFmt w:val="lowerRoman"/>
      <w:start w:val="3"/>
    </w:lvl>
  </w:abstractNum>
  <w:abstractNum w:abstractNumId="542">
    <w:nsid w:val="787AA59C"/>
    <w:multiLevelType w:val="hybridMultilevel"/>
    <w:lvl w:ilvl="0">
      <w:lvlJc w:val="left"/>
      <w:lvlText w:val="%1)"/>
      <w:numFmt w:val="lowerLetter"/>
      <w:start w:val="1"/>
    </w:lvl>
  </w:abstractNum>
  <w:abstractNum w:abstractNumId="543">
    <w:nsid w:val="70BB9983"/>
    <w:multiLevelType w:val="hybridMultilevel"/>
    <w:lvl w:ilvl="0">
      <w:lvlJc w:val="left"/>
      <w:lvlText w:val="%1)"/>
      <w:numFmt w:val="lowerLetter"/>
      <w:start w:val="1"/>
    </w:lvl>
  </w:abstractNum>
  <w:abstractNum w:abstractNumId="544">
    <w:nsid w:val="51EEBEEA"/>
    <w:multiLevelType w:val="hybridMultilevel"/>
    <w:lvl w:ilvl="0">
      <w:lvlJc w:val="left"/>
      <w:lvlText w:val="%1)"/>
      <w:numFmt w:val="lowerLetter"/>
      <w:start w:val="1"/>
    </w:lvl>
  </w:abstractNum>
  <w:abstractNum w:abstractNumId="545">
    <w:nsid w:val="221A0CCD"/>
    <w:multiLevelType w:val="hybridMultilevel"/>
    <w:lvl w:ilvl="0">
      <w:lvlJc w:val="left"/>
      <w:lvlText w:val="%1)"/>
      <w:numFmt w:val="lowerLetter"/>
      <w:start w:val="1"/>
    </w:lvl>
  </w:abstractNum>
  <w:abstractNum w:abstractNumId="546">
    <w:nsid w:val="1B7CA0ED"/>
    <w:multiLevelType w:val="hybridMultilevel"/>
    <w:lvl w:ilvl="0">
      <w:lvlJc w:val="left"/>
      <w:lvlText w:val="%1."/>
      <w:numFmt w:val="decimal"/>
      <w:start w:val="7"/>
    </w:lvl>
  </w:abstractNum>
  <w:abstractNum w:abstractNumId="547">
    <w:nsid w:val="2395A7F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8">
    <w:nsid w:val="3965EB66"/>
    <w:multiLevelType w:val="hybridMultilevel"/>
    <w:lvl w:ilvl="0">
      <w:lvlJc w:val="left"/>
      <w:lvlText w:val="%1"/>
      <w:numFmt w:val="lowerLetter"/>
      <w:start w:val="1"/>
    </w:lvl>
    <w:lvl w:ilvl="1">
      <w:lvlJc w:val="left"/>
      <w:lvlText w:val="(%2)"/>
      <w:numFmt w:val="lowerRoman"/>
      <w:start w:val="3"/>
    </w:lvl>
  </w:abstractNum>
  <w:abstractNum w:abstractNumId="549">
    <w:nsid w:val="3AA88B3C"/>
    <w:multiLevelType w:val="hybridMultilevel"/>
    <w:lvl w:ilvl="0">
      <w:lvlJc w:val="left"/>
      <w:lvlText w:val="%1)"/>
      <w:numFmt w:val="lowerLetter"/>
      <w:start w:val="3"/>
    </w:lvl>
    <w:lvl w:ilvl="1">
      <w:lvlJc w:val="left"/>
      <w:lvlText w:val="%2"/>
      <w:numFmt w:val="lowerRoman"/>
      <w:start w:val="1"/>
    </w:lvl>
  </w:abstractNum>
  <w:abstractNum w:abstractNumId="550">
    <w:nsid w:val="26BAF231"/>
    <w:multiLevelType w:val="hybridMultilevel"/>
    <w:lvl w:ilvl="0">
      <w:lvlJc w:val="left"/>
      <w:lvlText w:val="%1)"/>
      <w:numFmt w:val="lowerLetter"/>
      <w:start w:val="1"/>
    </w:lvl>
  </w:abstractNum>
  <w:abstractNum w:abstractNumId="551">
    <w:nsid w:val="4B13A15A"/>
    <w:multiLevelType w:val="hybridMultilevel"/>
    <w:lvl w:ilvl="0">
      <w:lvlJc w:val="left"/>
      <w:lvlText w:val="%1."/>
      <w:numFmt w:val="decimal"/>
      <w:start w:val="8"/>
    </w:lvl>
  </w:abstractNum>
  <w:abstractNum w:abstractNumId="552">
    <w:nsid w:val="701E8A0D"/>
    <w:multiLevelType w:val="hybridMultilevel"/>
    <w:lvl w:ilvl="0">
      <w:lvlJc w:val="left"/>
      <w:lvlText w:val="%1)"/>
      <w:numFmt w:val="lowerLetter"/>
      <w:start w:val="1"/>
    </w:lvl>
  </w:abstractNum>
  <w:abstractNum w:abstractNumId="553">
    <w:nsid w:val="41E690CF"/>
    <w:multiLevelType w:val="hybridMultilevel"/>
    <w:lvl w:ilvl="0">
      <w:lvlJc w:val="left"/>
      <w:lvlText w:val="%1)"/>
      <w:numFmt w:val="lowerLetter"/>
      <w:start w:val="1"/>
    </w:lvl>
  </w:abstractNum>
  <w:abstractNum w:abstractNumId="554">
    <w:nsid w:val="7C6489B6"/>
    <w:multiLevelType w:val="hybridMultilevel"/>
    <w:lvl w:ilvl="0">
      <w:lvlJc w:val="left"/>
      <w:lvlText w:val="%1)"/>
      <w:numFmt w:val="lowerLetter"/>
      <w:start w:val="1"/>
    </w:lvl>
    <w:lvl w:ilvl="1">
      <w:lvlJc w:val="left"/>
      <w:lvlText w:val="(%2)"/>
      <w:numFmt w:val="lowerRoman"/>
      <w:start w:val="1"/>
    </w:lvl>
  </w:abstractNum>
  <w:abstractNum w:abstractNumId="555">
    <w:nsid w:val="53AE65D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56">
    <w:nsid w:val="527F603D"/>
    <w:multiLevelType w:val="hybridMultilevel"/>
    <w:lvl w:ilvl="0">
      <w:lvlJc w:val="left"/>
      <w:lvlText w:val="%1)"/>
      <w:numFmt w:val="lowerLetter"/>
      <w:start w:val="3"/>
    </w:lvl>
  </w:abstractNum>
  <w:abstractNum w:abstractNumId="557">
    <w:nsid w:val="7E13D013"/>
    <w:multiLevelType w:val="hybridMultilevel"/>
    <w:lvl w:ilvl="0">
      <w:lvlJc w:val="left"/>
      <w:lvlText w:val="%1)"/>
      <w:numFmt w:val="lowerLetter"/>
      <w:start w:val="1"/>
    </w:lvl>
  </w:abstractNum>
  <w:abstractNum w:abstractNumId="558">
    <w:nsid w:val="663BFE95"/>
    <w:multiLevelType w:val="hybridMultilevel"/>
    <w:lvl w:ilvl="0">
      <w:lvlJc w:val="left"/>
      <w:lvlText w:val="%1."/>
      <w:numFmt w:val="decimal"/>
      <w:start w:val="9"/>
    </w:lvl>
  </w:abstractNum>
  <w:abstractNum w:abstractNumId="559">
    <w:nsid w:val="31E0986F"/>
    <w:multiLevelType w:val="hybridMultilevel"/>
    <w:lvl w:ilvl="0">
      <w:lvlJc w:val="left"/>
      <w:lvlText w:val="%1."/>
      <w:numFmt w:val="lowerRoman"/>
      <w:start w:val="1"/>
    </w:lvl>
    <w:lvl w:ilvl="1">
      <w:lvlJc w:val="left"/>
      <w:lvlText w:val="-"/>
      <w:numFmt w:val="bullet"/>
      <w:start w:val="1"/>
    </w:lvl>
  </w:abstractNum>
  <w:abstractNum w:abstractNumId="560">
    <w:nsid w:val="41FCF274"/>
    <w:multiLevelType w:val="hybridMultilevel"/>
    <w:lvl w:ilvl="0">
      <w:lvlJc w:val="left"/>
      <w:lvlText w:val="%1."/>
      <w:numFmt w:val="lowerRoman"/>
      <w:start w:val="3"/>
    </w:lvl>
  </w:abstractNum>
  <w:abstractNum w:abstractNumId="561">
    <w:nsid w:val="294614F7"/>
    <w:multiLevelType w:val="hybridMultilevel"/>
    <w:lvl w:ilvl="0">
      <w:lvlJc w:val="left"/>
      <w:lvlText w:val="%1)"/>
      <w:numFmt w:val="lowerLetter"/>
      <w:start w:val="1"/>
    </w:lvl>
  </w:abstractNum>
  <w:abstractNum w:abstractNumId="562">
    <w:nsid w:val="517DF487"/>
    <w:multiLevelType w:val="hybridMultilevel"/>
    <w:lvl w:ilvl="0">
      <w:lvlJc w:val="left"/>
      <w:lvlText w:val="%1)"/>
      <w:numFmt w:val="lowerLetter"/>
      <w:start w:val="1"/>
    </w:lvl>
  </w:abstractNum>
  <w:abstractNum w:abstractNumId="563">
    <w:nsid w:val="5EBE0EAB"/>
    <w:multiLevelType w:val="hybridMultilevel"/>
    <w:lvl w:ilvl="0">
      <w:lvlJc w:val="left"/>
      <w:lvlText w:val="%1."/>
      <w:numFmt w:val="decimal"/>
      <w:start w:val="10"/>
    </w:lvl>
  </w:abstractNum>
  <w:abstractNum w:abstractNumId="564">
    <w:nsid w:val="6E9DEAD0"/>
    <w:multiLevelType w:val="hybridMultilevel"/>
    <w:lvl w:ilvl="0">
      <w:lvlJc w:val="left"/>
      <w:lvlText w:val="%1)"/>
      <w:numFmt w:val="lowerLetter"/>
      <w:start w:val="1"/>
    </w:lvl>
    <w:lvl w:ilvl="1">
      <w:lvlJc w:val="left"/>
      <w:lvlText w:val="(%2)"/>
      <w:numFmt w:val="lowerRoman"/>
      <w:start w:val="1"/>
    </w:lvl>
  </w:abstractNum>
  <w:abstractNum w:abstractNumId="565">
    <w:nsid w:val="4450AA0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66">
    <w:nsid w:val="4AC9F3E2"/>
    <w:multiLevelType w:val="hybridMultilevel"/>
    <w:lvl w:ilvl="0">
      <w:lvlJc w:val="left"/>
      <w:lvlText w:val="%1)"/>
      <w:numFmt w:val="lowerLetter"/>
      <w:start w:val="5"/>
    </w:lvl>
  </w:abstractNum>
  <w:abstractNum w:abstractNumId="567">
    <w:nsid w:val="CC0A782"/>
    <w:multiLevelType w:val="hybridMultilevel"/>
    <w:lvl w:ilvl="0">
      <w:lvlJc w:val="left"/>
      <w:lvlText w:val="%1)"/>
      <w:numFmt w:val="lowerLetter"/>
      <w:start w:val="1"/>
    </w:lvl>
  </w:abstractNum>
  <w:abstractNum w:abstractNumId="568">
    <w:nsid w:val="79B69BC9"/>
    <w:multiLevelType w:val="hybridMultilevel"/>
    <w:lvl w:ilvl="0">
      <w:lvlJc w:val="left"/>
      <w:lvlText w:val="(%1)"/>
      <w:numFmt w:val="decimal"/>
      <w:start w:val="15"/>
    </w:lvl>
  </w:abstractNum>
  <w:abstractNum w:abstractNumId="569">
    <w:nsid w:val="2970CC78"/>
    <w:multiLevelType w:val="hybridMultilevel"/>
    <w:lvl w:ilvl="0">
      <w:lvlJc w:val="left"/>
      <w:lvlText w:val="%1)"/>
      <w:numFmt w:val="lowerLetter"/>
      <w:start w:val="1"/>
    </w:lvl>
  </w:abstractNum>
  <w:abstractNum w:abstractNumId="570">
    <w:nsid w:val="49CA1341"/>
    <w:multiLevelType w:val="hybridMultilevel"/>
    <w:lvl w:ilvl="0">
      <w:lvlJc w:val="left"/>
      <w:lvlText w:val="%1)"/>
      <w:numFmt w:val="lowerLetter"/>
      <w:start w:val="1"/>
    </w:lvl>
  </w:abstractNum>
  <w:abstractNum w:abstractNumId="571">
    <w:nsid w:val="58D717E"/>
    <w:multiLevelType w:val="hybridMultilevel"/>
    <w:lvl w:ilvl="0">
      <w:lvlJc w:val="left"/>
      <w:lvlText w:val="(%1)"/>
      <w:numFmt w:val="decimal"/>
      <w:start w:val="5"/>
    </w:lvl>
    <w:lvl w:ilvl="1">
      <w:lvlJc w:val="left"/>
      <w:lvlText w:val="-"/>
      <w:numFmt w:val="bullet"/>
      <w:start w:val="1"/>
    </w:lvl>
  </w:abstractNum>
  <w:abstractNum w:abstractNumId="572">
    <w:nsid w:val="64C2DDD5"/>
    <w:multiLevelType w:val="hybridMultilevel"/>
    <w:lvl w:ilvl="0">
      <w:lvlJc w:val="left"/>
      <w:lvlText w:val="%1."/>
      <w:numFmt w:val="decimal"/>
      <w:start w:val="11"/>
    </w:lvl>
  </w:abstractNum>
  <w:abstractNum w:abstractNumId="573">
    <w:nsid w:val="4244B8DE"/>
    <w:multiLevelType w:val="hybridMultilevel"/>
    <w:lvl w:ilvl="0">
      <w:lvlJc w:val="left"/>
      <w:lvlText w:val="(%1)"/>
      <w:numFmt w:val="lowerRoman"/>
      <w:start w:val="5"/>
    </w:lvl>
  </w:abstractNum>
  <w:abstractNum w:abstractNumId="574">
    <w:nsid w:val="76490B01"/>
    <w:multiLevelType w:val="hybridMultilevel"/>
    <w:lvl w:ilvl="0">
      <w:lvlJc w:val="left"/>
      <w:lvlText w:val="%1)"/>
      <w:numFmt w:val="lowerLetter"/>
      <w:start w:val="1"/>
    </w:lvl>
  </w:abstractNum>
  <w:abstractNum w:abstractNumId="575">
    <w:nsid w:val="36B19CBF"/>
    <w:multiLevelType w:val="hybridMultilevel"/>
    <w:lvl w:ilvl="0">
      <w:lvlJc w:val="left"/>
      <w:lvlText w:val="%1)"/>
      <w:numFmt w:val="lowerLetter"/>
      <w:start w:val="1"/>
    </w:lvl>
    <w:lvl w:ilvl="1">
      <w:lvlJc w:val="left"/>
      <w:lvlText w:val="-"/>
      <w:numFmt w:val="bullet"/>
      <w:start w:val="1"/>
    </w:lvl>
  </w:abstractNum>
  <w:abstractNum w:abstractNumId="576">
    <w:nsid w:val="645EC5AB"/>
    <w:multiLevelType w:val="hybridMultilevel"/>
    <w:lvl w:ilvl="0">
      <w:lvlJc w:val="left"/>
      <w:lvlText w:val="%1)"/>
      <w:numFmt w:val="lowerLetter"/>
      <w:start w:val="2"/>
    </w:lvl>
  </w:abstractNum>
  <w:abstractNum w:abstractNumId="577">
    <w:nsid w:val="11C5ABEF"/>
    <w:multiLevelType w:val="hybridMultilevel"/>
    <w:lvl w:ilvl="0">
      <w:lvlJc w:val="left"/>
      <w:lvlText w:val="%1)"/>
      <w:numFmt w:val="lowerLetter"/>
      <w:start w:val="8"/>
    </w:lvl>
  </w:abstractNum>
  <w:abstractNum w:abstractNumId="578">
    <w:nsid w:val="5A4744BE"/>
    <w:multiLevelType w:val="hybridMultilevel"/>
    <w:lvl w:ilvl="0">
      <w:lvlJc w:val="left"/>
      <w:lvlText w:val="%1."/>
      <w:numFmt w:val="decimal"/>
      <w:start w:val="12"/>
    </w:lvl>
  </w:abstractNum>
  <w:abstractNum w:abstractNumId="579">
    <w:nsid w:val="1DC4B111"/>
    <w:multiLevelType w:val="hybridMultilevel"/>
    <w:lvl w:ilvl="0">
      <w:lvlJc w:val="left"/>
      <w:lvlText w:val="%1."/>
      <w:numFmt w:val="decimal"/>
      <w:start w:val="14"/>
    </w:lvl>
  </w:abstractNum>
  <w:abstractNum w:abstractNumId="580">
    <w:nsid w:val="4C6E372B"/>
    <w:multiLevelType w:val="hybridMultilevel"/>
    <w:lvl w:ilvl="0">
      <w:lvlJc w:val="left"/>
      <w:lvlText w:val="%1."/>
      <w:numFmt w:val="decimal"/>
      <w:start w:val="1"/>
    </w:lvl>
  </w:abstractNum>
  <w:abstractNum w:abstractNumId="581">
    <w:nsid w:val="10236EF"/>
    <w:multiLevelType w:val="hybridMultilevel"/>
    <w:lvl w:ilvl="0">
      <w:lvlJc w:val="left"/>
      <w:lvlText w:val="%1."/>
      <w:numFmt w:val="decimal"/>
      <w:start w:val="2"/>
    </w:lvl>
  </w:abstractNum>
  <w:abstractNum w:abstractNumId="582">
    <w:nsid w:val="68D8526B"/>
    <w:multiLevelType w:val="hybridMultilevel"/>
    <w:lvl w:ilvl="0">
      <w:lvlJc w:val="left"/>
      <w:lvlText w:val="(%1)"/>
      <w:numFmt w:val="lowerLetter"/>
      <w:start w:val="1"/>
    </w:lvl>
  </w:abstractNum>
  <w:abstractNum w:abstractNumId="583">
    <w:nsid w:val="3C8CC13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84">
    <w:nsid w:val="42E8C7BE"/>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585">
    <w:nsid w:val="653CDC22"/>
    <w:multiLevelType w:val="hybridMultilevel"/>
    <w:lvl w:ilvl="0">
      <w:lvlJc w:val="left"/>
      <w:lvlText w:val="(%1)"/>
      <w:numFmt w:val="lowerLetter"/>
      <w:start w:val="4"/>
    </w:lvl>
  </w:abstractNum>
  <w:abstractNum w:abstractNumId="586">
    <w:nsid w:val="103B2716"/>
    <w:multiLevelType w:val="hybridMultilevel"/>
    <w:lvl w:ilvl="0">
      <w:lvlJc w:val="left"/>
      <w:lvlText w:val="%1."/>
      <w:numFmt w:val="decimal"/>
      <w:start w:val="3"/>
    </w:lvl>
  </w:abstractNum>
  <w:abstractNum w:abstractNumId="587">
    <w:nsid w:val="156827FB"/>
    <w:multiLevelType w:val="hybridMultilevel"/>
    <w:lvl w:ilvl="0">
      <w:lvlJc w:val="left"/>
      <w:lvlText w:val="(%1)"/>
      <w:numFmt w:val="lowerLetter"/>
      <w:start w:val="1"/>
    </w:lvl>
  </w:abstractNum>
  <w:abstractNum w:abstractNumId="588">
    <w:nsid w:val="6350AC35"/>
    <w:multiLevelType w:val="hybridMultilevel"/>
    <w:lvl w:ilvl="0">
      <w:lvlJc w:val="left"/>
      <w:lvlText w:val="%1."/>
      <w:numFmt w:val="decimal"/>
      <w:start w:val="5"/>
    </w:lvl>
  </w:abstractNum>
  <w:abstractNum w:abstractNumId="589">
    <w:nsid w:val="767725AB"/>
    <w:multiLevelType w:val="hybridMultilevel"/>
    <w:lvl w:ilvl="0">
      <w:lvlJc w:val="left"/>
      <w:lvlText w:val="(%1)"/>
      <w:numFmt w:val="lowerLetter"/>
      <w:start w:val="1"/>
    </w:lvl>
  </w:abstractNum>
  <w:abstractNum w:abstractNumId="590">
    <w:nsid w:val="4748C06A"/>
    <w:multiLevelType w:val="hybridMultilevel"/>
    <w:lvl w:ilvl="0">
      <w:lvlJc w:val="left"/>
      <w:lvlText w:val="%1."/>
      <w:numFmt w:val="decimal"/>
      <w:start w:val="6"/>
    </w:lvl>
  </w:abstractNum>
  <w:abstractNum w:abstractNumId="591">
    <w:nsid w:val="254D9EA9"/>
    <w:multiLevelType w:val="hybridMultilevel"/>
    <w:lvl w:ilvl="0">
      <w:lvlJc w:val="left"/>
      <w:lvlText w:val="(%1)"/>
      <w:numFmt w:val="lowerLetter"/>
      <w:start w:val="1"/>
    </w:lvl>
    <w:lvl w:ilvl="1">
      <w:lvlJc w:val="left"/>
      <w:lvlText w:val="-"/>
      <w:numFmt w:val="bullet"/>
      <w:start w:val="1"/>
    </w:lvl>
  </w:abstractNum>
  <w:abstractNum w:abstractNumId="592">
    <w:nsid w:val="1FBD3AA3"/>
    <w:multiLevelType w:val="hybridMultilevel"/>
    <w:lvl w:ilvl="0">
      <w:lvlJc w:val="left"/>
      <w:lvlText w:val="(%1)"/>
      <w:numFmt w:val="lowerLetter"/>
      <w:start w:val="3"/>
    </w:lvl>
  </w:abstractNum>
  <w:abstractNum w:abstractNumId="593">
    <w:nsid w:val="18C6B4F2"/>
    <w:multiLevelType w:val="hybridMultilevel"/>
    <w:lvl w:ilvl="0">
      <w:lvlJc w:val="left"/>
      <w:lvlText w:val="(%1)"/>
      <w:numFmt w:val="lowerLetter"/>
      <w:start w:val="1"/>
    </w:lvl>
  </w:abstractNum>
  <w:abstractNum w:abstractNumId="594">
    <w:nsid w:val="40BAD55"/>
    <w:multiLevelType w:val="hybridMultilevel"/>
    <w:lvl w:ilvl="0">
      <w:lvlJc w:val="left"/>
      <w:lvlText w:val="%1."/>
      <w:numFmt w:val="decimal"/>
      <w:start w:val="7"/>
    </w:lvl>
  </w:abstractNum>
  <w:abstractNum w:abstractNumId="595">
    <w:nsid w:val="E5B2573"/>
    <w:multiLevelType w:val="hybridMultilevel"/>
    <w:lvl w:ilvl="0">
      <w:lvlJc w:val="left"/>
      <w:lvlText w:val="%1."/>
      <w:numFmt w:val="decimal"/>
      <w:start w:val="8"/>
    </w:lvl>
    <w:lvl w:ilvl="1">
      <w:lvlJc w:val="left"/>
      <w:lvlText w:val="(%2)"/>
      <w:numFmt w:val="lowerLetter"/>
      <w:start w:val="1"/>
    </w:lvl>
  </w:abstractNum>
  <w:abstractNum w:abstractNumId="596">
    <w:nsid w:val="5D175EF2"/>
    <w:multiLevelType w:val="hybridMultilevel"/>
    <w:lvl w:ilvl="0">
      <w:lvlJc w:val="left"/>
      <w:lvlText w:val="%1."/>
      <w:numFmt w:val="decimal"/>
      <w:start w:val="11"/>
    </w:lvl>
  </w:abstractNum>
  <w:abstractNum w:abstractNumId="597">
    <w:nsid w:val="4ED5A137"/>
    <w:multiLevelType w:val="hybridMultilevel"/>
    <w:lvl w:ilvl="0">
      <w:lvlJc w:val="left"/>
      <w:lvlText w:val="(%1)"/>
      <w:numFmt w:val="lowerLetter"/>
      <w:start w:val="1"/>
    </w:lvl>
  </w:abstractNum>
  <w:abstractNum w:abstractNumId="598">
    <w:nsid w:val="1B1BCCF5"/>
    <w:multiLevelType w:val="hybridMultilevel"/>
    <w:lvl w:ilvl="0">
      <w:lvlJc w:val="left"/>
      <w:lvlText w:val="(%1)"/>
      <w:numFmt w:val="lowerLetter"/>
      <w:start w:val="1"/>
    </w:lvl>
    <w:lvl w:ilvl="1">
      <w:lvlJc w:val="left"/>
      <w:lvlText w:val="(%2)"/>
      <w:numFmt w:val="lowerLetter"/>
      <w:start w:val="2"/>
    </w:lvl>
  </w:abstractNum>
  <w:abstractNum w:abstractNumId="599">
    <w:nsid w:val="56CDFABB"/>
    <w:multiLevelType w:val="hybridMultilevel"/>
    <w:lvl w:ilvl="0">
      <w:lvlJc w:val="left"/>
      <w:lvlText w:val="%1"/>
      <w:numFmt w:val="decimal"/>
      <w:start w:val="1"/>
    </w:lvl>
    <w:lvl w:ilvl="1">
      <w:lvlJc w:val="left"/>
      <w:lvlText w:val="(%2)"/>
      <w:numFmt w:val="lowerLetter"/>
      <w:start w:val="3"/>
    </w:lvl>
  </w:abstractNum>
  <w:abstractNum w:abstractNumId="600">
    <w:nsid w:val="78466DAF"/>
    <w:multiLevelType w:val="hybridMultilevel"/>
    <w:lvl w:ilvl="0">
      <w:lvlJc w:val="left"/>
      <w:lvlText w:val="%1."/>
      <w:numFmt w:val="decimal"/>
      <w:start w:val="12"/>
    </w:lvl>
    <w:lvl w:ilvl="1">
      <w:lvlJc w:val="left"/>
      <w:lvlText w:val="%2"/>
      <w:numFmt w:val="lowerLetter"/>
      <w:start w:val="1"/>
    </w:lvl>
  </w:abstractNum>
  <w:abstractNum w:abstractNumId="601">
    <w:nsid w:val="64E5E03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02">
    <w:nsid w:val="5C5B6C3A"/>
    <w:multiLevelType w:val="hybridMultilevel"/>
    <w:lvl w:ilvl="0">
      <w:lvlJc w:val="left"/>
      <w:lvlText w:val="(%1)"/>
      <w:numFmt w:val="lowerLetter"/>
      <w:start w:val="15"/>
    </w:lvl>
    <w:lvl w:ilvl="1">
      <w:lvlJc w:val="left"/>
      <w:lvlText w:val="(%2)"/>
      <w:numFmt w:val="lowerRoman"/>
      <w:start w:val="1"/>
    </w:lvl>
  </w:abstractNum>
  <w:abstractNum w:abstractNumId="603">
    <w:nsid w:val="5D094B84"/>
    <w:multiLevelType w:val="hybridMultilevel"/>
    <w:lvl w:ilvl="0">
      <w:lvlJc w:val="left"/>
      <w:lvlText w:val="(%1)"/>
      <w:numFmt w:val="lowerLetter"/>
      <w:start w:val="1"/>
    </w:lvl>
    <w:lvl w:ilvl="1">
      <w:lvlJc w:val="left"/>
      <w:lvlText w:val="-"/>
      <w:numFmt w:val="bullet"/>
      <w:start w:val="1"/>
    </w:lvl>
  </w:abstractNum>
  <w:abstractNum w:abstractNumId="604">
    <w:nsid w:val="272A9914"/>
    <w:multiLevelType w:val="hybridMultilevel"/>
    <w:lvl w:ilvl="0">
      <w:lvlJc w:val="left"/>
      <w:lvlText w:val="(%1)"/>
      <w:numFmt w:val="lowerLetter"/>
      <w:start w:val="2"/>
    </w:lvl>
    <w:lvl w:ilvl="1">
      <w:lvlJc w:val="left"/>
      <w:lvlText w:val="-"/>
      <w:numFmt w:val="bullet"/>
      <w:start w:val="1"/>
    </w:lvl>
  </w:abstractNum>
  <w:abstractNum w:abstractNumId="605">
    <w:nsid w:val="52A4773B"/>
    <w:multiLevelType w:val="hybridMultilevel"/>
    <w:lvl w:ilvl="0">
      <w:lvlJc w:val="left"/>
      <w:lvlText w:val="(%1)"/>
      <w:numFmt w:val="lowerLetter"/>
      <w:start w:val="5"/>
    </w:lvl>
    <w:lvl w:ilvl="1">
      <w:lvlJc w:val="left"/>
      <w:lvlText w:val="-"/>
      <w:numFmt w:val="bullet"/>
      <w:start w:val="1"/>
    </w:lvl>
  </w:abstractNum>
  <w:abstractNum w:abstractNumId="606">
    <w:nsid w:val="13BAE843"/>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607">
    <w:nsid w:val="B895E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08">
    <w:nsid w:val="646A232A"/>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609">
    <w:nsid w:val="6E022D0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10">
    <w:nsid w:val="294E0FD0"/>
    <w:multiLevelType w:val="hybridMultilevel"/>
    <w:lvl w:ilvl="0">
      <w:lvlJc w:val="left"/>
      <w:lvlText w:val="(%1)"/>
      <w:numFmt w:val="lowerLetter"/>
      <w:start w:val="1"/>
    </w:lvl>
    <w:lvl w:ilvl="1">
      <w:lvlJc w:val="left"/>
      <w:lvlText w:val="-"/>
      <w:numFmt w:val="bullet"/>
      <w:start w:val="1"/>
    </w:lvl>
  </w:abstractNum>
  <w:abstractNum w:abstractNumId="611">
    <w:nsid w:val="30D85A55"/>
    <w:multiLevelType w:val="hybridMultilevel"/>
    <w:lvl w:ilvl="0">
      <w:lvlJc w:val="left"/>
      <w:lvlText w:val="(%1)"/>
      <w:numFmt w:val="lowerLetter"/>
      <w:start w:val="4"/>
    </w:lvl>
    <w:lvl w:ilvl="1">
      <w:lvlJc w:val="left"/>
      <w:lvlText w:val="-"/>
      <w:numFmt w:val="bullet"/>
      <w:start w:val="1"/>
    </w:lvl>
  </w:abstractNum>
  <w:abstractNum w:abstractNumId="612">
    <w:nsid w:val="6F0463F1"/>
    <w:multiLevelType w:val="hybridMultilevel"/>
    <w:lvl w:ilvl="0">
      <w:lvlJc w:val="left"/>
      <w:lvlText w:val="(%1)"/>
      <w:numFmt w:val="lowerLetter"/>
      <w:start w:val="17"/>
    </w:lvl>
  </w:abstractNum>
  <w:abstractNum w:abstractNumId="613">
    <w:nsid w:val="1226623C"/>
    <w:multiLevelType w:val="hybridMultilevel"/>
    <w:lvl w:ilvl="0">
      <w:lvlJc w:val="left"/>
      <w:lvlText w:val="%1."/>
      <w:numFmt w:val="decimal"/>
      <w:start w:val="14"/>
    </w:lvl>
  </w:abstractNum>
  <w:abstractNum w:abstractNumId="614">
    <w:nsid w:val="6D651B8D"/>
    <w:multiLevelType w:val="hybridMultilevel"/>
    <w:lvl w:ilvl="0">
      <w:lvlJc w:val="left"/>
      <w:lvlText w:val="(%1)"/>
      <w:numFmt w:val="lowerLetter"/>
      <w:start w:val="1"/>
    </w:lvl>
  </w:abstractNum>
  <w:abstractNum w:abstractNumId="615">
    <w:nsid w:val="31ED2BAF"/>
    <w:multiLevelType w:val="hybridMultilevel"/>
    <w:lvl w:ilvl="0">
      <w:lvlJc w:val="left"/>
      <w:lvlText w:val="%1."/>
      <w:numFmt w:val="decimal"/>
      <w:start w:val="15"/>
    </w:lvl>
  </w:abstractNum>
  <w:abstractNum w:abstractNumId="616">
    <w:nsid w:val="77633E5E"/>
    <w:multiLevelType w:val="hybridMultilevel"/>
    <w:lvl w:ilvl="0">
      <w:lvlJc w:val="left"/>
      <w:lvlText w:val="(%1)"/>
      <w:numFmt w:val="lowerLetter"/>
      <w:start w:val="1"/>
    </w:lvl>
  </w:abstractNum>
  <w:abstractNum w:abstractNumId="617">
    <w:nsid w:val="7DA042A3"/>
    <w:multiLevelType w:val="hybridMultilevel"/>
    <w:lvl w:ilvl="0">
      <w:lvlJc w:val="left"/>
      <w:lvlText w:val="%1."/>
      <w:numFmt w:val="decimal"/>
      <w:start w:val="16"/>
    </w:lvl>
  </w:abstractNum>
  <w:abstractNum w:abstractNumId="618">
    <w:nsid w:val="475553AB"/>
    <w:multiLevelType w:val="hybridMultilevel"/>
    <w:lvl w:ilvl="0">
      <w:lvlJc w:val="left"/>
      <w:lvlText w:val="(%1)"/>
      <w:numFmt w:val="lowerLetter"/>
      <w:start w:val="1"/>
    </w:lvl>
  </w:abstractNum>
  <w:abstractNum w:abstractNumId="619">
    <w:nsid w:val="5AB3EA93"/>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0"/>
    </w:lvl>
    <w:lvl w:ilvl="3">
      <w:lvlJc w:val="left"/>
      <w:lvlText w:val="-"/>
      <w:numFmt w:val="bullet"/>
      <w:start w:val="1"/>
    </w:lvl>
  </w:abstractNum>
  <w:abstractNum w:abstractNumId="620">
    <w:nsid w:val="7417684F"/>
    <w:multiLevelType w:val="hybridMultilevel"/>
    <w:lvl w:ilvl="0">
      <w:lvlJc w:val="left"/>
      <w:lvlText w:val="%1"/>
      <w:numFmt w:val="decimal"/>
      <w:start w:val="1"/>
    </w:lvl>
    <w:lvl w:ilvl="1">
      <w:lvlJc w:val="left"/>
      <w:lvlText w:val="(%2)"/>
      <w:numFmt w:val="lowerLetter"/>
      <w:start w:val="6"/>
    </w:lvl>
  </w:abstractNum>
  <w:abstractNum w:abstractNumId="621">
    <w:nsid w:val="E9E1415"/>
    <w:multiLevelType w:val="hybridMultilevel"/>
    <w:lvl w:ilvl="0">
      <w:lvlJc w:val="left"/>
      <w:lvlText w:val="%1."/>
      <w:numFmt w:val="decimal"/>
      <w:start w:val="18"/>
    </w:lvl>
    <w:lvl w:ilvl="1">
      <w:lvlJc w:val="left"/>
      <w:lvlText w:val="%2"/>
      <w:numFmt w:val="lowerLetter"/>
      <w:start w:val="1"/>
    </w:lvl>
  </w:abstractNum>
  <w:abstractNum w:abstractNumId="622">
    <w:nsid w:val="1893D"/>
    <w:multiLevelType w:val="hybridMultilevel"/>
    <w:lvl w:ilvl="0">
      <w:lvlJc w:val="left"/>
      <w:lvlText w:val="(%1)"/>
      <w:numFmt w:val="lowerLetter"/>
      <w:start w:val="1"/>
    </w:lvl>
  </w:abstractNum>
  <w:abstractNum w:abstractNumId="623">
    <w:nsid w:val="13D4A2F2"/>
    <w:multiLevelType w:val="hybridMultilevel"/>
    <w:lvl w:ilvl="0">
      <w:lvlJc w:val="left"/>
      <w:lvlText w:val="(%1)"/>
      <w:numFmt w:val="lowerLetter"/>
      <w:start w:val="1"/>
    </w:lvl>
  </w:abstractNum>
  <w:abstractNum w:abstractNumId="624">
    <w:nsid w:val="2764C907"/>
    <w:multiLevelType w:val="hybridMultilevel"/>
    <w:lvl w:ilvl="0">
      <w:lvlJc w:val="left"/>
      <w:lvlText w:val="(%1)"/>
      <w:numFmt w:val="lowerLetter"/>
      <w:start w:val="1"/>
    </w:lvl>
  </w:abstractNum>
  <w:abstractNum w:abstractNumId="625">
    <w:nsid w:val="40D3692"/>
    <w:multiLevelType w:val="hybridMultilevel"/>
    <w:lvl w:ilvl="0">
      <w:lvlJc w:val="left"/>
      <w:lvlText w:val="%1."/>
      <w:numFmt w:val="decimal"/>
      <w:start w:val="19"/>
    </w:lvl>
  </w:abstractNum>
  <w:abstractNum w:abstractNumId="626">
    <w:nsid w:val="222FC865"/>
    <w:multiLevelType w:val="hybridMultilevel"/>
    <w:lvl w:ilvl="0">
      <w:lvlJc w:val="left"/>
      <w:lvlText w:val="(%1)"/>
      <w:numFmt w:val="lowerLetter"/>
      <w:start w:val="1"/>
    </w:lvl>
  </w:abstractNum>
  <w:abstractNum w:abstractNumId="627">
    <w:nsid w:val="47C27FA"/>
    <w:multiLevelType w:val="hybridMultilevel"/>
    <w:lvl w:ilvl="0">
      <w:lvlJc w:val="left"/>
      <w:lvlText w:val="%1."/>
      <w:numFmt w:val="decimal"/>
      <w:start w:val="20"/>
    </w:lvl>
  </w:abstractNum>
  <w:abstractNum w:abstractNumId="628">
    <w:nsid w:val="52E2D7C9"/>
    <w:multiLevelType w:val="hybridMultilevel"/>
    <w:lvl w:ilvl="0">
      <w:lvlJc w:val="left"/>
      <w:lvlText w:val="(%1)"/>
      <w:numFmt w:val="lowerLetter"/>
      <w:start w:val="1"/>
    </w:lvl>
    <w:lvl w:ilvl="1">
      <w:lvlJc w:val="left"/>
      <w:lvlText w:val="-"/>
      <w:numFmt w:val="bullet"/>
      <w:start w:val="1"/>
    </w:lvl>
  </w:abstractNum>
  <w:abstractNum w:abstractNumId="629">
    <w:nsid w:val="3D4B955A"/>
    <w:multiLevelType w:val="hybridMultilevel"/>
    <w:lvl w:ilvl="0">
      <w:lvlJc w:val="left"/>
      <w:lvlText w:val="%1."/>
      <w:numFmt w:val="decimal"/>
      <w:start w:val="21"/>
    </w:lvl>
  </w:abstractNum>
  <w:abstractNum w:abstractNumId="630">
    <w:nsid w:val="5B4A22B5"/>
    <w:multiLevelType w:val="hybridMultilevel"/>
    <w:lvl w:ilvl="0">
      <w:lvlJc w:val="left"/>
      <w:lvlText w:val="%1."/>
      <w:numFmt w:val="decimal"/>
      <w:start w:val="23"/>
    </w:lvl>
  </w:abstractNum>
  <w:abstractNum w:abstractNumId="631">
    <w:nsid w:val="4B294578"/>
    <w:multiLevelType w:val="hybridMultilevel"/>
    <w:lvl w:ilvl="0">
      <w:lvlJc w:val="left"/>
      <w:lvlText w:val="%1."/>
      <w:numFmt w:val="decimal"/>
      <w:start w:val="24"/>
    </w:lvl>
  </w:abstractNum>
  <w:abstractNum w:abstractNumId="632">
    <w:nsid w:val="22317590"/>
    <w:multiLevelType w:val="hybridMultilevel"/>
    <w:lvl w:ilvl="0">
      <w:lvlJc w:val="left"/>
      <w:lvlText w:val="(%1)"/>
      <w:numFmt w:val="lowerLetter"/>
      <w:start w:val="1"/>
    </w:lvl>
  </w:abstractNum>
  <w:abstractNum w:abstractNumId="633">
    <w:nsid w:val="37A58EEF"/>
    <w:multiLevelType w:val="hybridMultilevel"/>
    <w:lvl w:ilvl="0">
      <w:lvlJc w:val="left"/>
      <w:lvlText w:val="%1."/>
      <w:numFmt w:val="decimal"/>
      <w:start w:val="25"/>
    </w:lvl>
  </w:abstractNum>
  <w:abstractNum w:abstractNumId="634">
    <w:nsid w:val="283290FD"/>
    <w:multiLevelType w:val="hybridMultilevel"/>
    <w:lvl w:ilvl="0">
      <w:lvlJc w:val="left"/>
      <w:lvlText w:val="%1."/>
      <w:numFmt w:val="decimal"/>
      <w:start w:val="26"/>
    </w:lvl>
    <w:lvl w:ilvl="1">
      <w:lvlJc w:val="left"/>
      <w:lvlText w:val="(%2)"/>
      <w:numFmt w:val="lowerLetter"/>
      <w:start w:val="1"/>
    </w:lvl>
  </w:abstractNum>
  <w:abstractNum w:abstractNumId="635">
    <w:nsid w:val="495C0EA5"/>
    <w:multiLevelType w:val="hybridMultilevel"/>
    <w:lvl w:ilvl="0">
      <w:lvlJc w:val="left"/>
      <w:lvlText w:val="%1"/>
      <w:numFmt w:val="decimal"/>
      <w:start w:val="1"/>
    </w:lvl>
    <w:lvl w:ilvl="1">
      <w:lvlJc w:val="left"/>
      <w:lvlText w:val="(%2)"/>
      <w:numFmt w:val="lowerRoman"/>
      <w:start w:val="1"/>
    </w:lvl>
  </w:abstractNum>
  <w:abstractNum w:abstractNumId="636">
    <w:nsid w:val="A4A062B"/>
    <w:multiLevelType w:val="hybridMultilevel"/>
    <w:lvl w:ilvl="0">
      <w:lvlJc w:val="left"/>
      <w:lvlText w:val="%1."/>
      <w:numFmt w:val="decimal"/>
      <w:start w:val="27"/>
    </w:lvl>
    <w:lvl w:ilvl="1">
      <w:lvlJc w:val="left"/>
      <w:lvlText w:val="%2"/>
      <w:numFmt w:val="lowerRoman"/>
      <w:start w:val="1"/>
    </w:lvl>
  </w:abstractNum>
  <w:abstractNum w:abstractNumId="637">
    <w:nsid w:val="3BED7940"/>
    <w:multiLevelType w:val="hybridMultilevel"/>
    <w:lvl w:ilvl="0">
      <w:lvlJc w:val="left"/>
      <w:lvlText w:val="(%1)"/>
      <w:numFmt w:val="lowerLetter"/>
      <w:start w:val="1"/>
    </w:lvl>
  </w:abstractNum>
  <w:abstractNum w:abstractNumId="638">
    <w:nsid w:val="54E56D64"/>
    <w:multiLevelType w:val="hybridMultilevel"/>
    <w:lvl w:ilvl="0">
      <w:lvlJc w:val="left"/>
      <w:lvlText w:val="%1."/>
      <w:numFmt w:val="decimal"/>
      <w:start w:val="28"/>
    </w:lvl>
  </w:abstractNum>
  <w:abstractNum w:abstractNumId="639">
    <w:nsid w:val="6EB42955"/>
    <w:multiLevelType w:val="hybridMultilevel"/>
    <w:lvl w:ilvl="0">
      <w:lvlJc w:val="left"/>
      <w:lvlText w:val="%1."/>
      <w:numFmt w:val="decimal"/>
      <w:start w:val="33"/>
    </w:lvl>
    <w:lvl w:ilvl="1">
      <w:lvlJc w:val="left"/>
      <w:lvlText w:val="(%2)"/>
      <w:numFmt w:val="lowerLetter"/>
      <w:start w:val="1"/>
    </w:lvl>
    <w:lvl w:ilvl="2">
      <w:lvlJc w:val="left"/>
      <w:lvlText w:val="-"/>
      <w:numFmt w:val="bullet"/>
      <w:start w:val="1"/>
    </w:lvl>
  </w:abstractNum>
  <w:abstractNum w:abstractNumId="640">
    <w:nsid w:val="29EFA642"/>
    <w:multiLevelType w:val="hybridMultilevel"/>
    <w:lvl w:ilvl="0">
      <w:lvlJc w:val="left"/>
      <w:lvlText w:val="%1."/>
      <w:numFmt w:val="decimal"/>
      <w:start w:val="34"/>
    </w:lvl>
  </w:abstractNum>
  <w:abstractNum w:abstractNumId="641">
    <w:nsid w:val="7E337D35"/>
    <w:multiLevelType w:val="hybridMultilevel"/>
    <w:lvl w:ilvl="0">
      <w:lvlJc w:val="left"/>
      <w:lvlText w:val="(%1)"/>
      <w:numFmt w:val="lowerLetter"/>
      <w:start w:val="1"/>
    </w:lvl>
  </w:abstractNum>
  <w:abstractNum w:abstractNumId="642">
    <w:nsid w:val="1F8C83AB"/>
    <w:multiLevelType w:val="hybridMultilevel"/>
    <w:lvl w:ilvl="0">
      <w:lvlJc w:val="left"/>
      <w:lvlText w:val="%1."/>
      <w:numFmt w:val="decimal"/>
      <w:start w:val="35"/>
    </w:lvl>
    <w:lvl w:ilvl="1">
      <w:lvlJc w:val="left"/>
      <w:lvlText w:val="-"/>
      <w:numFmt w:val="bullet"/>
      <w:start w:val="1"/>
    </w:lvl>
  </w:abstractNum>
  <w:abstractNum w:abstractNumId="643">
    <w:nsid w:val="18F40A33"/>
    <w:multiLevelType w:val="hybridMultilevel"/>
    <w:lvl w:ilvl="0">
      <w:lvlJc w:val="left"/>
      <w:lvlText w:val="%1."/>
      <w:numFmt w:val="decimal"/>
      <w:start w:val="1"/>
    </w:lvl>
    <w:lvl w:ilvl="1">
      <w:lvlJc w:val="left"/>
      <w:lvlText w:val="(%2)"/>
      <w:numFmt w:val="lowerLetter"/>
      <w:start w:val="1"/>
    </w:lvl>
  </w:abstractNum>
  <w:abstractNum w:abstractNumId="644">
    <w:nsid w:val="1059DF71"/>
    <w:multiLevelType w:val="hybridMultilevel"/>
    <w:lvl w:ilvl="0">
      <w:lvlJc w:val="left"/>
      <w:lvlText w:val="%1."/>
      <w:numFmt w:val="decimal"/>
      <w:start w:val="4"/>
    </w:lvl>
    <w:lvl w:ilvl="1">
      <w:lvlJc w:val="left"/>
      <w:lvlText w:val="-"/>
      <w:numFmt w:val="bullet"/>
      <w:start w:val="1"/>
    </w:lvl>
  </w:abstractNum>
  <w:abstractNum w:abstractNumId="645">
    <w:nsid w:val="CF19F38"/>
    <w:multiLevelType w:val="hybridMultilevel"/>
    <w:lvl w:ilvl="0">
      <w:lvlJc w:val="left"/>
      <w:lvlText w:val="%1."/>
      <w:numFmt w:val="decimal"/>
      <w:start w:val="5"/>
    </w:lvl>
    <w:lvl w:ilvl="1">
      <w:lvlJc w:val="left"/>
      <w:lvlText w:val="-"/>
      <w:numFmt w:val="bullet"/>
      <w:start w:val="1"/>
    </w:lvl>
  </w:abstractNum>
  <w:abstractNum w:abstractNumId="646">
    <w:nsid w:val="4AE135E2"/>
    <w:multiLevelType w:val="hybridMultilevel"/>
    <w:lvl w:ilvl="0">
      <w:lvlJc w:val="left"/>
      <w:lvlText w:val="%1."/>
      <w:numFmt w:val="decimal"/>
      <w:start w:val="1"/>
    </w:lvl>
    <w:lvl w:ilvl="1">
      <w:lvlJc w:val="left"/>
      <w:lvlText w:val="%2)"/>
      <w:numFmt w:val="lowerLetter"/>
      <w:start w:val="1"/>
    </w:lvl>
  </w:abstractNum>
  <w:abstractNum w:abstractNumId="647">
    <w:nsid w:val="7BD1DC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jpe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jpeg"/><Relationship Id="rId515" Type="http://schemas.openxmlformats.org/officeDocument/2006/relationships/image" Target="media/image506.png"/><Relationship Id="rId516" Type="http://schemas.openxmlformats.org/officeDocument/2006/relationships/image" Target="media/image507.jpe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jpeg"/><Relationship Id="rId531" Type="http://schemas.openxmlformats.org/officeDocument/2006/relationships/image" Target="media/image522.png"/><Relationship Id="rId532" Type="http://schemas.openxmlformats.org/officeDocument/2006/relationships/image" Target="media/image523.jpe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jpeg"/><Relationship Id="rId537" Type="http://schemas.openxmlformats.org/officeDocument/2006/relationships/image" Target="media/image528.png"/><Relationship Id="rId538" Type="http://schemas.openxmlformats.org/officeDocument/2006/relationships/image" Target="media/image529.jpe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jpe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jpe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jpeg"/><Relationship Id="rId556" Type="http://schemas.openxmlformats.org/officeDocument/2006/relationships/image" Target="media/image547.jpe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jpeg"/><Relationship Id="rId561" Type="http://schemas.openxmlformats.org/officeDocument/2006/relationships/image" Target="media/image552.png"/><Relationship Id="rId562" Type="http://schemas.openxmlformats.org/officeDocument/2006/relationships/image" Target="media/image553.jpe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jpeg"/><Relationship Id="rId568" Type="http://schemas.openxmlformats.org/officeDocument/2006/relationships/image" Target="media/image559.png"/><Relationship Id="rId569" Type="http://schemas.openxmlformats.org/officeDocument/2006/relationships/image" Target="media/image560.jpeg"/><Relationship Id="rId570" Type="http://schemas.openxmlformats.org/officeDocument/2006/relationships/image" Target="media/image561.png"/><Relationship Id="rId571" Type="http://schemas.openxmlformats.org/officeDocument/2006/relationships/image" Target="media/image562.jpe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jpeg"/><Relationship Id="rId576" Type="http://schemas.openxmlformats.org/officeDocument/2006/relationships/image" Target="media/image567.jpe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jpe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jpeg"/><Relationship Id="rId583" Type="http://schemas.openxmlformats.org/officeDocument/2006/relationships/image" Target="media/image574.png"/><Relationship Id="rId584" Type="http://schemas.openxmlformats.org/officeDocument/2006/relationships/image" Target="media/image575.jpe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58" Type="http://schemas.openxmlformats.org/officeDocument/2006/relationships/hyperlink" Target="http://www.sec.gov/Archives/edgar/data/1368622/000095015007000008/a28119exv3w1.htm" TargetMode="External"/><Relationship Id="rId59"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2021-03-10T05:36:13Z</dcterms:created>
  <dcterms:modified xsi:type="dcterms:W3CDTF">2021-03-10T05:36:13Z</dcterms:modified>
</cp:coreProperties>
</file>