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660" w:right="1500" w:hanging="652"/>
        <w:spacing w:after="0" w:line="501"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July 31, 2010</w:t>
      </w: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to</w:t>
            </w:r>
          </w:p>
        </w:tc>
      </w:tr>
      <w:tr>
        <w:trPr>
          <w:trHeight w:val="20"/>
        </w:trPr>
        <w:tc>
          <w:tcPr>
            <w:tcW w:w="23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53"/>
        </w:trPr>
        <w:tc>
          <w:tcPr>
            <w:tcW w:w="2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00" w:type="dxa"/>
            <w:vAlign w:val="bottom"/>
            <w:gridSpan w:val="3"/>
          </w:tcPr>
          <w:p>
            <w:pPr>
              <w:ind w:left="40"/>
              <w:spacing w:after="0"/>
              <w:rPr>
                <w:sz w:val="20"/>
                <w:szCs w:val="20"/>
                <w:color w:val="auto"/>
              </w:rPr>
            </w:pPr>
            <w:r>
              <w:rPr>
                <w:rFonts w:ascii="Arial" w:cs="Arial" w:eastAsia="Arial" w:hAnsi="Arial"/>
                <w:sz w:val="18"/>
                <w:szCs w:val="18"/>
                <w:b w:val="1"/>
                <w:bCs w:val="1"/>
                <w:color w:val="auto"/>
                <w:w w:val="90"/>
              </w:rPr>
              <w:t>Commission File Number: 001-33261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AEROVIRONMENT,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4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1"/>
              </w:rPr>
              <w:t>Delaware</w:t>
            </w:r>
          </w:p>
        </w:tc>
        <w:tc>
          <w:tcPr>
            <w:tcW w:w="3800" w:type="dxa"/>
            <w:vAlign w:val="bottom"/>
          </w:tcPr>
          <w:p>
            <w:pPr>
              <w:jc w:val="right"/>
              <w:ind w:right="790"/>
              <w:spacing w:after="0"/>
              <w:rPr>
                <w:sz w:val="20"/>
                <w:szCs w:val="20"/>
                <w:color w:val="auto"/>
              </w:rPr>
            </w:pPr>
            <w:r>
              <w:rPr>
                <w:rFonts w:ascii="Arial" w:cs="Arial" w:eastAsia="Arial" w:hAnsi="Arial"/>
                <w:sz w:val="18"/>
                <w:szCs w:val="18"/>
                <w:b w:val="1"/>
                <w:bCs w:val="1"/>
                <w:color w:val="auto"/>
              </w:rPr>
              <w:t>95-2705790</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1"/>
              </w:rPr>
              <w:t>181 W. Huntington Drive, Suite 202</w:t>
            </w:r>
          </w:p>
        </w:tc>
        <w:tc>
          <w:tcPr>
            <w:tcW w:w="3800" w:type="dxa"/>
            <w:vAlign w:val="bottom"/>
          </w:tcPr>
          <w:p>
            <w:pPr>
              <w:spacing w:after="0"/>
              <w:rPr>
                <w:sz w:val="24"/>
                <w:szCs w:val="24"/>
                <w:color w:val="auto"/>
              </w:rPr>
            </w:pPr>
          </w:p>
        </w:tc>
      </w:tr>
      <w:tr>
        <w:trPr>
          <w:trHeight w:val="220"/>
        </w:trPr>
        <w:tc>
          <w:tcPr>
            <w:tcW w:w="54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4"/>
              </w:rPr>
              <w:t>Monrovia, California</w:t>
            </w:r>
          </w:p>
        </w:tc>
        <w:tc>
          <w:tcPr>
            <w:tcW w:w="3800" w:type="dxa"/>
            <w:vAlign w:val="bottom"/>
          </w:tcPr>
          <w:p>
            <w:pPr>
              <w:jc w:val="right"/>
              <w:ind w:right="990"/>
              <w:spacing w:after="0"/>
              <w:rPr>
                <w:sz w:val="20"/>
                <w:szCs w:val="20"/>
                <w:color w:val="auto"/>
              </w:rPr>
            </w:pPr>
            <w:r>
              <w:rPr>
                <w:rFonts w:ascii="Arial" w:cs="Arial" w:eastAsia="Arial" w:hAnsi="Arial"/>
                <w:sz w:val="18"/>
                <w:szCs w:val="18"/>
                <w:b w:val="1"/>
                <w:bCs w:val="1"/>
                <w:color w:val="auto"/>
              </w:rPr>
              <w:t>91016</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(626) 357-9983</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0" w:gutter="0" w:footer="0" w:header="0"/>
        </w:sectPr>
      </w:pP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o  Large 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160"/>
        <w:spacing w:after="0"/>
        <w:rPr>
          <w:sz w:val="20"/>
          <w:szCs w:val="20"/>
          <w:color w:val="auto"/>
        </w:rPr>
      </w:pPr>
      <w:r>
        <w:rPr>
          <w:rFonts w:ascii="Arial" w:cs="Arial" w:eastAsia="Arial" w:hAnsi="Arial"/>
          <w:sz w:val="17"/>
          <w:szCs w:val="17"/>
          <w:color w:val="auto"/>
        </w:rPr>
        <w:t>o Non-accelerated filer</w:t>
      </w:r>
    </w:p>
    <w:p>
      <w:pPr>
        <w:spacing w:after="0" w:line="35" w:lineRule="exact"/>
        <w:rPr>
          <w:sz w:val="24"/>
          <w:szCs w:val="24"/>
          <w:color w:val="auto"/>
        </w:rPr>
      </w:pPr>
    </w:p>
    <w:p>
      <w:pPr>
        <w:jc w:val="center"/>
        <w:ind w:right="160"/>
        <w:spacing w:after="0"/>
        <w:rPr>
          <w:sz w:val="20"/>
          <w:szCs w:val="20"/>
          <w:color w:val="auto"/>
        </w:rPr>
      </w:pPr>
      <w:r>
        <w:rPr>
          <w:rFonts w:ascii="Arial" w:cs="Arial" w:eastAsia="Arial" w:hAnsi="Arial"/>
          <w:sz w:val="16"/>
          <w:szCs w:val="16"/>
          <w:color w:val="auto"/>
        </w:rPr>
        <w:t>(Do not check if smaller</w:t>
      </w:r>
    </w:p>
    <w:p>
      <w:pPr>
        <w:spacing w:after="0" w:line="32" w:lineRule="exact"/>
        <w:rPr>
          <w:sz w:val="24"/>
          <w:szCs w:val="24"/>
          <w:color w:val="auto"/>
        </w:rPr>
      </w:pPr>
    </w:p>
    <w:p>
      <w:pPr>
        <w:jc w:val="center"/>
        <w:ind w:right="160"/>
        <w:spacing w:after="0"/>
        <w:rPr>
          <w:sz w:val="20"/>
          <w:szCs w:val="20"/>
          <w:color w:val="auto"/>
        </w:rPr>
      </w:pPr>
      <w:r>
        <w:rPr>
          <w:rFonts w:ascii="Arial" w:cs="Arial" w:eastAsia="Arial" w:hAnsi="Arial"/>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o  Smaller reporting company</w:t>
      </w:r>
    </w:p>
    <w:p>
      <w:pPr>
        <w:spacing w:after="0" w:line="647" w:lineRule="exact"/>
        <w:rPr>
          <w:sz w:val="24"/>
          <w:szCs w:val="24"/>
          <w:color w:val="auto"/>
        </w:rPr>
      </w:pPr>
    </w:p>
    <w:p>
      <w:pPr>
        <w:sectPr>
          <w:pgSz w:w="11900" w:h="16838" w:orient="portrait"/>
          <w:cols w:equalWidth="0" w:num="5">
            <w:col w:w="2820" w:space="720"/>
            <w:col w:w="160" w:space="140"/>
            <w:col w:w="1720" w:space="720"/>
            <w:col w:w="1900" w:space="720"/>
            <w:col w:w="2440"/>
          </w:cols>
          <w:pgMar w:left="240" w:top="233" w:right="319" w:bottom="0" w:gutter="0" w:footer="0" w:header="0"/>
          <w:type w:val="continuous"/>
        </w:sect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August 27, 2010, the number of shares outstanding of the registrant’s common stock, $0.0001 par value, was 21,782,913.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4"/>
          <w:szCs w:val="24"/>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FINANCIAL INFORMATION</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9050"/>
                    </a:xfrm>
                    <a:prstGeom prst="rect">
                      <a:avLst/>
                    </a:prstGeom>
                    <a:noFill/>
                  </pic:spPr>
                </pic:pic>
              </a:graphicData>
            </a:graphic>
          </wp:anchor>
        </w:drawing>
      </w:r>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00" w:type="dxa"/>
            <w:vAlign w:val="bottom"/>
            <w:tcBorders>
              <w:bottom w:val="single" w:sz="8" w:color="0000EE"/>
            </w:tcBorders>
            <w:shd w:val="clear" w:color="auto" w:fill="CCEEFF"/>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Item 1.</w:t>
              </w:r>
            </w:hyperlink>
          </w:p>
        </w:tc>
        <w:tc>
          <w:tcPr>
            <w:tcW w:w="820" w:type="dxa"/>
            <w:vAlign w:val="bottom"/>
            <w:tcBorders>
              <w:bottom w:val="single" w:sz="8" w:color="CCEEFF"/>
            </w:tcBorders>
            <w:gridSpan w:val="4"/>
            <w:shd w:val="clear" w:color="auto" w:fill="CCEEFF"/>
          </w:tcPr>
          <w:p>
            <w:pPr>
              <w:spacing w:after="0"/>
              <w:rPr>
                <w:sz w:val="19"/>
                <w:szCs w:val="19"/>
                <w:color w:val="auto"/>
              </w:rPr>
            </w:pPr>
          </w:p>
        </w:tc>
        <w:tc>
          <w:tcPr>
            <w:tcW w:w="1560" w:type="dxa"/>
            <w:vAlign w:val="bottom"/>
            <w:tcBorders>
              <w:bottom w:val="single" w:sz="8" w:color="0000EE"/>
            </w:tcBorders>
            <w:gridSpan w:val="10"/>
            <w:shd w:val="clear" w:color="auto" w:fill="CCEEFF"/>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Financial Statements:</w:t>
              </w:r>
            </w:hyperlink>
          </w:p>
        </w:tc>
        <w:tc>
          <w:tcPr>
            <w:tcW w:w="5160" w:type="dxa"/>
            <w:vAlign w:val="bottom"/>
            <w:tcBorders>
              <w:bottom w:val="single" w:sz="8" w:color="CCEEFF"/>
            </w:tcBorders>
            <w:gridSpan w:val="7"/>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720" w:type="dxa"/>
            <w:vAlign w:val="bottom"/>
            <w:gridSpan w:val="17"/>
          </w:tcPr>
          <w:p>
            <w:pPr>
              <w:ind w:left="180"/>
              <w:spacing w:after="0" w:line="176" w:lineRule="exact"/>
              <w:rPr>
                <w:rFonts w:ascii="Arial" w:cs="Arial" w:eastAsia="Arial" w:hAnsi="Arial"/>
                <w:sz w:val="18"/>
                <w:szCs w:val="18"/>
                <w:color w:val="0000EE"/>
              </w:rPr>
            </w:pPr>
            <w:hyperlink w:anchor="page2">
              <w:r>
                <w:rPr>
                  <w:rFonts w:ascii="Arial" w:cs="Arial" w:eastAsia="Arial" w:hAnsi="Arial"/>
                  <w:sz w:val="18"/>
                  <w:szCs w:val="18"/>
                  <w:color w:val="0000EE"/>
                </w:rPr>
                <w:t>Consolidated Balance Sheets as of July 31, 2010 (Unaudited) and April 30, 2010</w:t>
              </w:r>
            </w:hyperlink>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10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Statements of Operations for the three months ended July 31, 2010 (Unaudited) and August 1, 2009 (Unaudited)</w:t>
              </w:r>
            </w:hyperlink>
          </w:p>
        </w:tc>
        <w:tc>
          <w:tcPr>
            <w:tcW w:w="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20" w:type="dxa"/>
            <w:vAlign w:val="bottom"/>
            <w:gridSpan w:val="22"/>
          </w:tcPr>
          <w:p>
            <w:pPr>
              <w:ind w:left="180"/>
              <w:spacing w:after="0" w:line="176"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Consolidated Statements of Cash Flows for the three months ended July 31, 2010 (Unaudited) and August 1, 2009</w:t>
              </w:r>
            </w:hyperlink>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540" w:type="dxa"/>
            <w:vAlign w:val="bottom"/>
            <w:tcBorders>
              <w:top w:val="single" w:sz="8" w:color="0000EE"/>
            </w:tcBorders>
            <w:gridSpan w:val="16"/>
          </w:tcPr>
          <w:p>
            <w:pPr>
              <w:ind w:left="18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w:t>
              </w:r>
            </w:hyperlink>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540" w:type="dxa"/>
            <w:vAlign w:val="bottom"/>
            <w:gridSpan w:val="16"/>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Notes to Consolidated Financial Statements (Unaudited)</w:t>
              </w:r>
            </w:hyperlink>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9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20" w:type="dxa"/>
            <w:vAlign w:val="bottom"/>
            <w:gridSpan w:val="5"/>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Item 2.</w:t>
              </w:r>
            </w:hyperlink>
          </w:p>
        </w:tc>
        <w:tc>
          <w:tcPr>
            <w:tcW w:w="6720" w:type="dxa"/>
            <w:vAlign w:val="bottom"/>
            <w:gridSpan w:val="17"/>
          </w:tcPr>
          <w:p>
            <w:pPr>
              <w:spacing w:after="0" w:line="176" w:lineRule="exact"/>
              <w:rPr>
                <w:rFonts w:ascii="Arial" w:cs="Arial" w:eastAsia="Arial" w:hAnsi="Arial"/>
                <w:sz w:val="18"/>
                <w:szCs w:val="18"/>
                <w:color w:val="0000EE"/>
                <w:w w:val="94"/>
              </w:rPr>
            </w:pPr>
            <w:hyperlink w:anchor="page9">
              <w:r>
                <w:rPr>
                  <w:rFonts w:ascii="Arial" w:cs="Arial" w:eastAsia="Arial" w:hAnsi="Arial"/>
                  <w:sz w:val="18"/>
                  <w:szCs w:val="18"/>
                  <w:color w:val="0000EE"/>
                  <w:w w:val="94"/>
                </w:rPr>
                <w:t>Management’s Discussion and Analysis of Financial Condition and Results of Operations</w:t>
              </w:r>
            </w:hyperlink>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13</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Item 3.</w:t>
              </w:r>
            </w:hyperlink>
          </w:p>
        </w:tc>
        <w:tc>
          <w:tcPr>
            <w:tcW w:w="820" w:type="dxa"/>
            <w:vAlign w:val="bottom"/>
            <w:gridSpan w:val="4"/>
            <w:shd w:val="clear" w:color="auto" w:fill="CCEEFF"/>
          </w:tcPr>
          <w:p>
            <w:pPr>
              <w:spacing w:after="0"/>
              <w:rPr>
                <w:sz w:val="17"/>
                <w:szCs w:val="17"/>
                <w:color w:val="auto"/>
              </w:rPr>
            </w:pPr>
          </w:p>
        </w:tc>
        <w:tc>
          <w:tcPr>
            <w:tcW w:w="6720" w:type="dxa"/>
            <w:vAlign w:val="bottom"/>
            <w:gridSpan w:val="17"/>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Quantitative and Qualitative Disclosures About Market Risk</w:t>
              </w:r>
            </w:hyperlink>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Item 4.</w:t>
              </w:r>
            </w:hyperlink>
          </w:p>
        </w:tc>
        <w:tc>
          <w:tcPr>
            <w:tcW w:w="820" w:type="dxa"/>
            <w:vAlign w:val="bottom"/>
            <w:tcBorders>
              <w:top w:val="single" w:sz="8" w:color="CCEEFF"/>
            </w:tcBorders>
            <w:gridSpan w:val="4"/>
          </w:tcPr>
          <w:p>
            <w:pPr>
              <w:spacing w:after="0"/>
              <w:rPr>
                <w:sz w:val="15"/>
                <w:szCs w:val="15"/>
                <w:color w:val="auto"/>
              </w:rPr>
            </w:pPr>
          </w:p>
        </w:tc>
        <w:tc>
          <w:tcPr>
            <w:tcW w:w="436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Controls and Procedures</w:t>
              </w:r>
            </w:hyperlink>
          </w:p>
        </w:tc>
        <w:tc>
          <w:tcPr>
            <w:tcW w:w="2360" w:type="dxa"/>
            <w:vAlign w:val="bottom"/>
            <w:tcBorders>
              <w:top w:val="single" w:sz="8" w:color="CCEEFF"/>
            </w:tcBorders>
            <w:gridSpan w:val="3"/>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40" w:type="dxa"/>
            <w:vAlign w:val="bottom"/>
            <w:gridSpan w:val="22"/>
          </w:tcPr>
          <w:p>
            <w:pPr>
              <w:spacing w:after="0" w:line="17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PART II. OTHER INFORMATION</w:t>
              </w:r>
            </w:hyperlink>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20" w:type="dxa"/>
            <w:vAlign w:val="bottom"/>
            <w:gridSpan w:val="5"/>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Item 1.</w:t>
              </w:r>
            </w:hyperlink>
          </w:p>
        </w:tc>
        <w:tc>
          <w:tcPr>
            <w:tcW w:w="6720" w:type="dxa"/>
            <w:vAlign w:val="bottom"/>
            <w:gridSpan w:val="17"/>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Legal Proceedings</w:t>
              </w:r>
            </w:hyperlink>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18</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20" w:type="dxa"/>
            <w:vAlign w:val="bottom"/>
            <w:gridSpan w:val="5"/>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Item 1A.</w:t>
              </w:r>
            </w:hyperlink>
          </w:p>
        </w:tc>
        <w:tc>
          <w:tcPr>
            <w:tcW w:w="6720" w:type="dxa"/>
            <w:vAlign w:val="bottom"/>
            <w:gridSpan w:val="17"/>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Item 2.</w:t>
              </w:r>
            </w:hyperlink>
          </w:p>
        </w:tc>
        <w:tc>
          <w:tcPr>
            <w:tcW w:w="700" w:type="dxa"/>
            <w:vAlign w:val="bottom"/>
            <w:gridSpan w:val="3"/>
          </w:tcPr>
          <w:p>
            <w:pPr>
              <w:spacing w:after="0"/>
              <w:rPr>
                <w:sz w:val="15"/>
                <w:szCs w:val="15"/>
                <w:color w:val="auto"/>
              </w:rPr>
            </w:pPr>
          </w:p>
        </w:tc>
        <w:tc>
          <w:tcPr>
            <w:tcW w:w="6720" w:type="dxa"/>
            <w:vAlign w:val="bottom"/>
            <w:gridSpan w:val="17"/>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Unregistered Sales of Equity Securities and Use of Proceeds</w:t>
              </w:r>
            </w:hyperlink>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18</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Item 3.</w:t>
              </w:r>
            </w:hyperlink>
          </w:p>
        </w:tc>
        <w:tc>
          <w:tcPr>
            <w:tcW w:w="820" w:type="dxa"/>
            <w:vAlign w:val="bottom"/>
            <w:gridSpan w:val="4"/>
            <w:shd w:val="clear" w:color="auto" w:fill="CCEEFF"/>
          </w:tcPr>
          <w:p>
            <w:pPr>
              <w:spacing w:after="0"/>
              <w:rPr>
                <w:sz w:val="17"/>
                <w:szCs w:val="17"/>
                <w:color w:val="auto"/>
              </w:rPr>
            </w:pPr>
          </w:p>
        </w:tc>
        <w:tc>
          <w:tcPr>
            <w:tcW w:w="6720" w:type="dxa"/>
            <w:vAlign w:val="bottom"/>
            <w:gridSpan w:val="17"/>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Defaults Upon Senior Securities</w:t>
              </w:r>
            </w:hyperlink>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Item 4.</w:t>
              </w:r>
            </w:hyperlink>
          </w:p>
        </w:tc>
        <w:tc>
          <w:tcPr>
            <w:tcW w:w="820" w:type="dxa"/>
            <w:vAlign w:val="bottom"/>
            <w:tcBorders>
              <w:top w:val="single" w:sz="8" w:color="CCEEFF"/>
            </w:tcBorders>
            <w:gridSpan w:val="4"/>
          </w:tcPr>
          <w:p>
            <w:pPr>
              <w:spacing w:after="0"/>
              <w:rPr>
                <w:sz w:val="15"/>
                <w:szCs w:val="15"/>
                <w:color w:val="auto"/>
              </w:rPr>
            </w:pPr>
          </w:p>
        </w:tc>
        <w:tc>
          <w:tcPr>
            <w:tcW w:w="232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Reserved</w:t>
              </w:r>
            </w:hyperlink>
          </w:p>
        </w:tc>
        <w:tc>
          <w:tcPr>
            <w:tcW w:w="4400" w:type="dxa"/>
            <w:vAlign w:val="bottom"/>
            <w:tcBorders>
              <w:top w:val="single" w:sz="8" w:color="CCEEFF"/>
            </w:tcBorders>
            <w:gridSpan w:val="5"/>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Item 5.</w:t>
              </w:r>
            </w:hyperlink>
          </w:p>
        </w:tc>
        <w:tc>
          <w:tcPr>
            <w:tcW w:w="820" w:type="dxa"/>
            <w:vAlign w:val="bottom"/>
            <w:tcBorders>
              <w:bottom w:val="single" w:sz="8" w:color="CCEEFF"/>
            </w:tcBorders>
            <w:gridSpan w:val="4"/>
            <w:shd w:val="clear" w:color="auto" w:fill="CCEEFF"/>
          </w:tcPr>
          <w:p>
            <w:pPr>
              <w:spacing w:after="0"/>
              <w:rPr>
                <w:sz w:val="17"/>
                <w:szCs w:val="17"/>
                <w:color w:val="auto"/>
              </w:rPr>
            </w:pPr>
          </w:p>
        </w:tc>
        <w:tc>
          <w:tcPr>
            <w:tcW w:w="13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Other Information</w:t>
              </w:r>
            </w:hyperlink>
          </w:p>
        </w:tc>
        <w:tc>
          <w:tcPr>
            <w:tcW w:w="5400" w:type="dxa"/>
            <w:vAlign w:val="bottom"/>
            <w:tcBorders>
              <w:bottom w:val="single" w:sz="8" w:color="CCEEFF"/>
            </w:tcBorders>
            <w:gridSpan w:val="10"/>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gridSpan w:val="5"/>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Item 6.</w:t>
              </w:r>
            </w:hyperlink>
          </w:p>
        </w:tc>
        <w:tc>
          <w:tcPr>
            <w:tcW w:w="6720" w:type="dxa"/>
            <w:vAlign w:val="bottom"/>
            <w:gridSpan w:val="17"/>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Exhibits</w:t>
              </w:r>
            </w:hyperlink>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20" w:type="dxa"/>
            <w:vAlign w:val="bottom"/>
            <w:gridSpan w:val="5"/>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Signatures</w:t>
              </w:r>
            </w:hyperlink>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Exhibit Index</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gridSpan w:val="15"/>
          </w:tcPr>
          <w:p>
            <w:pPr>
              <w:jc w:val="center"/>
              <w:ind w:left="2650"/>
              <w:spacing w:after="0"/>
              <w:rPr>
                <w:sz w:val="20"/>
                <w:szCs w:val="20"/>
                <w:color w:val="auto"/>
              </w:rPr>
            </w:pPr>
            <w:r>
              <w:rPr>
                <w:rFonts w:ascii="Arial" w:cs="Arial" w:eastAsia="Arial" w:hAnsi="Arial"/>
                <w:sz w:val="18"/>
                <w:szCs w:val="18"/>
                <w:color w:val="auto"/>
                <w:w w:val="99"/>
              </w:rPr>
              <w:t>2</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40" w:type="dxa"/>
            <w:vAlign w:val="bottom"/>
            <w:gridSpan w:val="6"/>
          </w:tcPr>
          <w:p>
            <w:pPr>
              <w:spacing w:after="0"/>
              <w:rPr>
                <w:rFonts w:ascii="Arial" w:cs="Arial" w:eastAsia="Arial" w:hAnsi="Arial"/>
                <w:sz w:val="18"/>
                <w:szCs w:val="18"/>
                <w:color w:val="0000EE"/>
                <w:w w:val="92"/>
              </w:rPr>
            </w:pPr>
            <w:hyperlink w:anchor="page1">
              <w:r>
                <w:rPr>
                  <w:rFonts w:ascii="Arial" w:cs="Arial" w:eastAsia="Arial" w:hAnsi="Arial"/>
                  <w:sz w:val="18"/>
                  <w:szCs w:val="18"/>
                  <w:color w:val="0000EE"/>
                  <w:w w:val="92"/>
                </w:rPr>
                <w:t>Table of Contents</w:t>
              </w:r>
            </w:hyperlink>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rPr>
              <w:t>PART I. FINANCIAL INFORMATION</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60" w:type="dxa"/>
            <w:vAlign w:val="bottom"/>
            <w:gridSpan w:val="23"/>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AeroVironment, Inc.</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7"/>
              </w:rPr>
              <w:t>Consolidated Balance Sheets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(In thousands except share and per share data)</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0"/>
              </w:rPr>
              <w:t>July 31,</w:t>
            </w:r>
          </w:p>
        </w:tc>
        <w:tc>
          <w:tcPr>
            <w:tcW w:w="220" w:type="dxa"/>
            <w:vAlign w:val="bottom"/>
          </w:tcPr>
          <w:p>
            <w:pPr>
              <w:spacing w:after="0"/>
              <w:rPr>
                <w:sz w:val="24"/>
                <w:szCs w:val="24"/>
                <w:color w:val="auto"/>
              </w:rPr>
            </w:pPr>
          </w:p>
        </w:tc>
        <w:tc>
          <w:tcPr>
            <w:tcW w:w="128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45,442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2"/>
          </w:tcPr>
          <w:p>
            <w:pPr>
              <w:ind w:left="16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112,176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135,770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22"/>
            <w:shd w:val="clear" w:color="auto" w:fill="CCEEFF"/>
          </w:tcPr>
          <w:p>
            <w:pPr>
              <w:ind w:left="160"/>
              <w:spacing w:after="0" w:line="201" w:lineRule="exact"/>
              <w:rPr>
                <w:sz w:val="20"/>
                <w:szCs w:val="20"/>
                <w:color w:val="auto"/>
              </w:rPr>
            </w:pPr>
            <w:r>
              <w:rPr>
                <w:rFonts w:ascii="Arial" w:cs="Arial" w:eastAsia="Arial" w:hAnsi="Arial"/>
                <w:sz w:val="18"/>
                <w:szCs w:val="18"/>
                <w:color w:val="auto"/>
              </w:rPr>
              <w:t>Accounts receivable, net of allowance for doubtful accounts of $1,144 at July 31, 2010 and $745 at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gridSpan w:val="22"/>
            <w:shd w:val="clear" w:color="auto" w:fill="CCEEFF"/>
          </w:tcPr>
          <w:p>
            <w:pPr>
              <w:ind w:left="340"/>
              <w:spacing w:after="0"/>
              <w:rPr>
                <w:sz w:val="20"/>
                <w:szCs w:val="20"/>
                <w:color w:val="auto"/>
              </w:rPr>
            </w:pPr>
            <w:r>
              <w:rPr>
                <w:rFonts w:ascii="Arial" w:cs="Arial" w:eastAsia="Arial" w:hAnsi="Arial"/>
                <w:sz w:val="18"/>
                <w:szCs w:val="18"/>
                <w:color w:val="auto"/>
              </w:rPr>
              <w:t>April 30, 2010</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17,057</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38,645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2"/>
          </w:tcPr>
          <w:p>
            <w:pPr>
              <w:ind w:left="160"/>
              <w:spacing w:after="0"/>
              <w:rPr>
                <w:sz w:val="20"/>
                <w:szCs w:val="20"/>
                <w:color w:val="auto"/>
              </w:rPr>
            </w:pPr>
            <w:r>
              <w:rPr>
                <w:rFonts w:ascii="Arial" w:cs="Arial" w:eastAsia="Arial" w:hAnsi="Arial"/>
                <w:sz w:val="18"/>
                <w:szCs w:val="18"/>
                <w:color w:val="auto"/>
              </w:rPr>
              <w:t>Unbilled receivables and retentions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15,834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2"/>
              </w:rPr>
              <w:t>Inventories, net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28,085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2"/>
          </w:tcPr>
          <w:p>
            <w:pPr>
              <w:ind w:left="160"/>
              <w:spacing w:after="0"/>
              <w:rPr>
                <w:sz w:val="20"/>
                <w:szCs w:val="20"/>
                <w:color w:val="auto"/>
              </w:rPr>
            </w:pPr>
            <w:r>
              <w:rPr>
                <w:rFonts w:ascii="Arial" w:cs="Arial" w:eastAsia="Arial" w:hAnsi="Arial"/>
                <w:sz w:val="18"/>
                <w:szCs w:val="18"/>
                <w:color w:val="auto"/>
              </w:rPr>
              <w:t>Income tax receivable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2,743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2"/>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2,070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gridSpan w:val="2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224,519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245,595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2"/>
          </w:tcPr>
          <w:p>
            <w:pPr>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6,438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6,515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2"/>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9,738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340" w:type="dxa"/>
            <w:vAlign w:val="bottom"/>
            <w:gridSpan w:val="6"/>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259,984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281,971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40" w:type="dxa"/>
            <w:vAlign w:val="bottom"/>
            <w:tcBorders>
              <w:top w:val="single" w:sz="8" w:color="CCEEFF"/>
            </w:tcBorders>
            <w:gridSpan w:val="2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w w:val="94"/>
              </w:rPr>
              <w:t>Current liabilities: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2"/>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11,767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2"/>
          </w:tcPr>
          <w:p>
            <w:pPr>
              <w:ind w:left="160"/>
              <w:spacing w:after="0"/>
              <w:rPr>
                <w:sz w:val="20"/>
                <w:szCs w:val="20"/>
                <w:color w:val="auto"/>
              </w:rPr>
            </w:pPr>
            <w:r>
              <w:rPr>
                <w:rFonts w:ascii="Arial" w:cs="Arial" w:eastAsia="Arial" w:hAnsi="Arial"/>
                <w:sz w:val="18"/>
                <w:szCs w:val="18"/>
                <w:color w:val="auto"/>
              </w:rPr>
              <w:t>Wages and related accruals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7,902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10,336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2"/>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2"/>
          </w:tcPr>
          <w:p>
            <w:pPr>
              <w:ind w:left="16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4,351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2"/>
            <w:shd w:val="clear" w:color="auto" w:fill="CCEEFF"/>
          </w:tcPr>
          <w:p>
            <w:pPr>
              <w:ind w:left="160"/>
              <w:spacing w:after="0"/>
              <w:rPr>
                <w:sz w:val="20"/>
                <w:szCs w:val="20"/>
                <w:color w:val="auto"/>
              </w:rPr>
            </w:pPr>
            <w:r>
              <w:rPr>
                <w:rFonts w:ascii="Arial" w:cs="Arial" w:eastAsia="Arial" w:hAnsi="Arial"/>
                <w:sz w:val="18"/>
                <w:szCs w:val="18"/>
                <w:color w:val="auto"/>
              </w:rPr>
              <w:t>Liability for uncertain tax positions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gridSpan w:val="22"/>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2"/>
          </w:tcPr>
          <w:p>
            <w:pPr>
              <w:spacing w:after="0"/>
              <w:rPr>
                <w:sz w:val="20"/>
                <w:szCs w:val="20"/>
                <w:color w:val="auto"/>
              </w:rPr>
            </w:pPr>
            <w:r>
              <w:rPr>
                <w:rFonts w:ascii="Arial" w:cs="Arial" w:eastAsia="Arial" w:hAnsi="Arial"/>
                <w:sz w:val="18"/>
                <w:szCs w:val="18"/>
                <w:color w:val="auto"/>
              </w:rPr>
              <w:t>Liability for uncertain tax positions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3,189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2"/>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2"/>
            <w:shd w:val="clear" w:color="auto" w:fill="CCEEFF"/>
          </w:tcPr>
          <w:p>
            <w:pPr>
              <w:ind w:left="160"/>
              <w:spacing w:after="0"/>
              <w:rPr>
                <w:sz w:val="20"/>
                <w:szCs w:val="20"/>
                <w:color w:val="auto"/>
              </w:rPr>
            </w:pPr>
            <w:r>
              <w:rPr>
                <w:rFonts w:ascii="Arial" w:cs="Arial" w:eastAsia="Arial" w:hAnsi="Arial"/>
                <w:sz w:val="18"/>
                <w:szCs w:val="18"/>
                <w:color w:val="auto"/>
              </w:rPr>
              <w:t>Preferred stock, $0.0001 par value: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2"/>
          </w:tcPr>
          <w:p>
            <w:pPr>
              <w:ind w:left="340"/>
              <w:spacing w:after="0"/>
              <w:rPr>
                <w:sz w:val="20"/>
                <w:szCs w:val="20"/>
                <w:color w:val="auto"/>
              </w:rPr>
            </w:pPr>
            <w:r>
              <w:rPr>
                <w:rFonts w:ascii="Arial" w:cs="Arial" w:eastAsia="Arial" w:hAnsi="Arial"/>
                <w:sz w:val="18"/>
                <w:szCs w:val="18"/>
                <w:color w:val="auto"/>
              </w:rPr>
              <w:t>Authorized shares — 10,000,000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2"/>
            <w:shd w:val="clear" w:color="auto" w:fill="CCEEFF"/>
          </w:tcPr>
          <w:p>
            <w:pPr>
              <w:ind w:left="340"/>
              <w:spacing w:after="0"/>
              <w:rPr>
                <w:sz w:val="20"/>
                <w:szCs w:val="20"/>
                <w:color w:val="auto"/>
              </w:rPr>
            </w:pPr>
            <w:r>
              <w:rPr>
                <w:rFonts w:ascii="Arial" w:cs="Arial" w:eastAsia="Arial" w:hAnsi="Arial"/>
                <w:sz w:val="18"/>
                <w:szCs w:val="18"/>
                <w:color w:val="auto"/>
              </w:rPr>
              <w:t>None issued or outstanding</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2"/>
          </w:tcPr>
          <w:p>
            <w:pPr>
              <w:ind w:left="160"/>
              <w:spacing w:after="0"/>
              <w:rPr>
                <w:sz w:val="20"/>
                <w:szCs w:val="20"/>
                <w:color w:val="auto"/>
              </w:rPr>
            </w:pPr>
            <w:r>
              <w:rPr>
                <w:rFonts w:ascii="Arial" w:cs="Arial" w:eastAsia="Arial" w:hAnsi="Arial"/>
                <w:sz w:val="18"/>
                <w:szCs w:val="18"/>
                <w:color w:val="auto"/>
              </w:rPr>
              <w:t>Common stock, $0.0001 par value: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2"/>
            <w:shd w:val="clear" w:color="auto" w:fill="CCEEFF"/>
          </w:tcPr>
          <w:p>
            <w:pPr>
              <w:ind w:left="340"/>
              <w:spacing w:after="0"/>
              <w:rPr>
                <w:sz w:val="20"/>
                <w:szCs w:val="20"/>
                <w:color w:val="auto"/>
              </w:rPr>
            </w:pPr>
            <w:r>
              <w:rPr>
                <w:rFonts w:ascii="Arial" w:cs="Arial" w:eastAsia="Arial" w:hAnsi="Arial"/>
                <w:sz w:val="18"/>
                <w:szCs w:val="18"/>
                <w:color w:val="auto"/>
              </w:rPr>
              <w:t>Authorized shares — 100,000,000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2"/>
          </w:tcPr>
          <w:p>
            <w:pPr>
              <w:ind w:left="340"/>
              <w:spacing w:after="0"/>
              <w:rPr>
                <w:sz w:val="20"/>
                <w:szCs w:val="20"/>
                <w:color w:val="auto"/>
              </w:rPr>
            </w:pPr>
            <w:r>
              <w:rPr>
                <w:rFonts w:ascii="Arial" w:cs="Arial" w:eastAsia="Arial" w:hAnsi="Arial"/>
                <w:sz w:val="18"/>
                <w:szCs w:val="18"/>
                <w:color w:val="auto"/>
              </w:rPr>
              <w:t>Issued and outstanding shares — 21,782,913 at July 31, 2010 and 21,732,413 at April 30, 2010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116,337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115,602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2"/>
          </w:tcPr>
          <w:p>
            <w:pPr>
              <w:ind w:left="1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(746)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2"/>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118,576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-7292340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-7292340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08" w:right="199" w:bottom="0" w:gutter="0" w:footer="0" w:header="0"/>
        </w:sectPr>
      </w:pPr>
    </w:p>
    <w:bookmarkStart w:id="2" w:name="page3"/>
    <w:bookmarkEnd w:id="2"/>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230,726</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233,420</w:t>
            </w:r>
          </w:p>
        </w:tc>
      </w:tr>
      <w:tr>
        <w:trPr>
          <w:trHeight w:val="210"/>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780" w:type="dxa"/>
            <w:vAlign w:val="bottom"/>
          </w:tcPr>
          <w:p>
            <w:pPr>
              <w:jc w:val="center"/>
              <w:ind w:left="1990"/>
              <w:spacing w:after="0"/>
              <w:rPr>
                <w:sz w:val="20"/>
                <w:szCs w:val="20"/>
                <w:color w:val="auto"/>
              </w:rPr>
            </w:pPr>
            <w:r>
              <w:rPr>
                <w:rFonts w:ascii="Arial" w:cs="Arial" w:eastAsia="Arial" w:hAnsi="Arial"/>
                <w:sz w:val="18"/>
                <w:szCs w:val="18"/>
                <w:b w:val="1"/>
                <w:bCs w:val="1"/>
                <w:color w:val="auto"/>
                <w:w w:val="92"/>
              </w:rPr>
              <w:t>AeroVironment, Inc.</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80" w:type="dxa"/>
            <w:vAlign w:val="bottom"/>
          </w:tcPr>
          <w:p>
            <w:pPr>
              <w:jc w:val="center"/>
              <w:ind w:left="1990"/>
              <w:spacing w:after="0"/>
              <w:rPr>
                <w:sz w:val="20"/>
                <w:szCs w:val="20"/>
                <w:color w:val="auto"/>
              </w:rPr>
            </w:pPr>
            <w:r>
              <w:rPr>
                <w:rFonts w:ascii="Arial" w:cs="Arial" w:eastAsia="Arial" w:hAnsi="Arial"/>
                <w:sz w:val="18"/>
                <w:szCs w:val="18"/>
                <w:b w:val="1"/>
                <w:bCs w:val="1"/>
                <w:color w:val="auto"/>
                <w:w w:val="89"/>
              </w:rPr>
              <w:t>Consolidated Statements of Operations (Unaudited)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80" w:type="dxa"/>
            <w:vAlign w:val="bottom"/>
          </w:tcPr>
          <w:p>
            <w:pPr>
              <w:jc w:val="center"/>
              <w:ind w:left="2010"/>
              <w:spacing w:after="0"/>
              <w:rPr>
                <w:sz w:val="20"/>
                <w:szCs w:val="20"/>
                <w:color w:val="auto"/>
              </w:rPr>
            </w:pPr>
            <w:r>
              <w:rPr>
                <w:rFonts w:ascii="Arial" w:cs="Arial" w:eastAsia="Arial" w:hAnsi="Arial"/>
                <w:sz w:val="18"/>
                <w:szCs w:val="18"/>
                <w:b w:val="1"/>
                <w:bCs w:val="1"/>
                <w:color w:val="auto"/>
                <w:w w:val="89"/>
              </w:rPr>
              <w:t>(In thousands except share and per share data)</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540"/>
              <w:spacing w:after="0" w:line="191" w:lineRule="exact"/>
              <w:rPr>
                <w:sz w:val="20"/>
                <w:szCs w:val="20"/>
                <w:color w:val="auto"/>
              </w:rPr>
            </w:pPr>
            <w:r>
              <w:rPr>
                <w:rFonts w:ascii="Arial" w:cs="Arial" w:eastAsia="Arial" w:hAnsi="Arial"/>
                <w:sz w:val="18"/>
                <w:szCs w:val="18"/>
                <w:b w:val="1"/>
                <w:bCs w:val="1"/>
                <w:color w:val="auto"/>
                <w:w w:val="90"/>
              </w:rPr>
              <w:t>July 31,</w:t>
            </w: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87"/>
              </w:rPr>
              <w:t>August 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2010</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Product sales</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12,220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8,229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Contract services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26,008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38,228</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37,940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Product sales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8,686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Contract services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17,506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67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26,192</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27,225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11,371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10,495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7,972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(7,307)</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Benefit for income taxes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(3,743)</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Loss per share data:</w:t>
            </w: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0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21,545,870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21,316,776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21,545,870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21,316,776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60" w:type="dxa"/>
            <w:vAlign w:val="bottom"/>
            <w:gridSpan w:val="3"/>
          </w:tcPr>
          <w:p>
            <w:pPr>
              <w:jc w:val="center"/>
              <w:ind w:left="1530"/>
              <w:spacing w:after="0"/>
              <w:rPr>
                <w:sz w:val="20"/>
                <w:szCs w:val="20"/>
                <w:color w:val="auto"/>
              </w:rPr>
            </w:pPr>
            <w:r>
              <w:rPr>
                <w:rFonts w:ascii="Arial" w:cs="Arial" w:eastAsia="Arial" w:hAnsi="Arial"/>
                <w:sz w:val="18"/>
                <w:szCs w:val="18"/>
                <w:color w:val="auto"/>
                <w:w w:val="89"/>
              </w:rPr>
              <w:t>See accompanying notes to consolidated financial statements (unaudited).</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60" w:type="dxa"/>
            <w:vAlign w:val="bottom"/>
            <w:gridSpan w:val="3"/>
          </w:tcPr>
          <w:p>
            <w:pPr>
              <w:jc w:val="center"/>
              <w:ind w:left="3270"/>
              <w:spacing w:after="0"/>
              <w:rPr>
                <w:sz w:val="20"/>
                <w:szCs w:val="20"/>
                <w:color w:val="auto"/>
              </w:rPr>
            </w:pPr>
            <w:r>
              <w:rPr>
                <w:rFonts w:ascii="Arial" w:cs="Arial" w:eastAsia="Arial" w:hAnsi="Arial"/>
                <w:sz w:val="18"/>
                <w:szCs w:val="18"/>
                <w:color w:val="auto"/>
                <w:w w:val="99"/>
              </w:rPr>
              <w:t>4</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7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0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780" w:type="dxa"/>
            <w:vAlign w:val="bottom"/>
          </w:tcPr>
          <w:p>
            <w:pPr>
              <w:jc w:val="center"/>
              <w:ind w:left="1990"/>
              <w:spacing w:after="0"/>
              <w:rPr>
                <w:sz w:val="20"/>
                <w:szCs w:val="20"/>
                <w:color w:val="auto"/>
              </w:rPr>
            </w:pPr>
            <w:r>
              <w:rPr>
                <w:rFonts w:ascii="Arial" w:cs="Arial" w:eastAsia="Arial" w:hAnsi="Arial"/>
                <w:sz w:val="18"/>
                <w:szCs w:val="18"/>
                <w:b w:val="1"/>
                <w:bCs w:val="1"/>
                <w:color w:val="auto"/>
                <w:w w:val="92"/>
              </w:rPr>
              <w:t>AeroVironment, Inc.</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80" w:type="dxa"/>
            <w:vAlign w:val="bottom"/>
          </w:tcPr>
          <w:p>
            <w:pPr>
              <w:jc w:val="center"/>
              <w:ind w:left="201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80" w:type="dxa"/>
            <w:vAlign w:val="bottom"/>
          </w:tcPr>
          <w:p>
            <w:pPr>
              <w:jc w:val="center"/>
              <w:ind w:left="2010"/>
              <w:spacing w:after="0"/>
              <w:rPr>
                <w:sz w:val="20"/>
                <w:szCs w:val="20"/>
                <w:color w:val="auto"/>
              </w:rPr>
            </w:pPr>
            <w:r>
              <w:rPr>
                <w:rFonts w:ascii="Arial" w:cs="Arial" w:eastAsia="Arial" w:hAnsi="Arial"/>
                <w:sz w:val="18"/>
                <w:szCs w:val="18"/>
                <w:b w:val="1"/>
                <w:bCs w:val="1"/>
                <w:color w:val="auto"/>
                <w:w w:val="90"/>
              </w:rPr>
              <w:t>(In thousands)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540"/>
              <w:spacing w:after="0" w:line="191" w:lineRule="exact"/>
              <w:rPr>
                <w:sz w:val="20"/>
                <w:szCs w:val="20"/>
                <w:color w:val="auto"/>
              </w:rPr>
            </w:pPr>
            <w:r>
              <w:rPr>
                <w:rFonts w:ascii="Arial" w:cs="Arial" w:eastAsia="Arial" w:hAnsi="Arial"/>
                <w:sz w:val="18"/>
                <w:szCs w:val="18"/>
                <w:b w:val="1"/>
                <w:bCs w:val="1"/>
                <w:color w:val="auto"/>
                <w:w w:val="90"/>
              </w:rPr>
              <w:t>July 31,</w:t>
            </w: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87"/>
              </w:rPr>
              <w:t>August 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67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2010</w:t>
            </w: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(3,443)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(3,587)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Adjustments to reconcile net loss to net cash and cash equivalents (used in) provided by operating activities: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2,683</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Provision for doubtful accounts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Tax benefit from exercise of stock options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Excess tax benefit from stock-based compensation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Gain on sale of property and equipment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21,189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Unbilled receivables and retentions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(7,157)</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(7,610)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receivable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4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(10,855)</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and cash equivalents (used in) provided by operating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-4109085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-4109085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84" w:orient="portrait"/>
          <w:cols w:equalWidth="0" w:num="1">
            <w:col w:w="11460"/>
          </w:cols>
          <w:pgMar w:left="240" w:top="125" w:right="19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property and equipment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(1,881)</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Proceeds from the sale of property and equipment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sales (purchases) of held-to-maturity investments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23,594</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Net sales of available-for-sale investments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and cash equivalents provided by (used in) investing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21,896</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exercise of stock options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135</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and cash equivalents provided by financing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16,777</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28,665</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116,501</w:t>
            </w:r>
          </w:p>
        </w:tc>
        <w:tc>
          <w:tcPr>
            <w:tcW w:w="0" w:type="dxa"/>
            <w:vAlign w:val="bottom"/>
          </w:tcPr>
          <w:p>
            <w:pPr>
              <w:spacing w:after="0"/>
              <w:rPr>
                <w:sz w:val="1"/>
                <w:szCs w:val="1"/>
                <w:color w:val="auto"/>
              </w:rPr>
            </w:pPr>
          </w:p>
        </w:tc>
      </w:tr>
      <w:tr>
        <w:trPr>
          <w:trHeight w:val="250"/>
        </w:trPr>
        <w:tc>
          <w:tcPr>
            <w:tcW w:w="81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45,442</w:t>
            </w:r>
          </w:p>
        </w:tc>
        <w:tc>
          <w:tcPr>
            <w:tcW w:w="28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Supplemental disclosure:</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Unrealized gains (losses) on long-term investments recorded in other comprehensive loss, net of deferred taxes</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$9 and $22, respectively</w:t>
            </w:r>
          </w:p>
        </w:tc>
        <w:tc>
          <w:tcPr>
            <w:tcW w:w="6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AeroVironment, Inc., a Delaware corporation (the “Company”), is engaged in the design, development, production and support of unmanned aircraft systems and efficient energy systems for various industries and governmental agencies.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for interim financial information and with the instructions of Form 10-Q and Article 10 of Regulation S-X. Accordingly, they do not include all of the information and footnotes required by accounting principles generally accepted in the United States for complete financial statements. In the opinion of management, all adjustments, consisting only of normal recurring adjustments necessary for a fair presentation with respect to the interim financial statements have been included. The results of operations for the three months ended July 31, 2010 are not necessarily indicative of the results for the full year ending April 30, 2011. For further information, refer to the consolidated financial statements and footnotes thereto for the year ended April 30, 2010, included in AeroVironment, Inc.’s Annual Report on Form 10-K.</w:t>
      </w:r>
    </w:p>
    <w:p>
      <w:pPr>
        <w:spacing w:after="0" w:line="17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including estimates of anticipated contract costs and revenue utilized in the revenue recognition process, that affect the reported amounts in the consolidated financial statements and accompanying notes. Actual results could differ from those estimates.</w:t>
      </w:r>
    </w:p>
    <w:p>
      <w:pPr>
        <w:spacing w:after="0" w:line="166"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Company’s consolidated financial statements include the assets, liabilities and operating results of wholly-owned subsidiaries. All significant intercompany accounts and transactions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products are sold and divided among two reportable segments to reflect the Company’s strategic goals. Operating segments are defined as components of an enterprise from which separate financial information is available that is evaluated regularly by the Chief Operating Decision Maker (“CODM”) in deciding how to allocate resources and in assessing performance. The Company’s CODM is the Chief Executive Officer, who reviews the revenue and gross margin results for each of these segments in order to make resource allocation decisions, including the focus of research and development, or R&amp;D, activities and assessing performance. The Company’s reportable segments are business units that offer different products and services and are managed separately.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investments are accounted for as held-to-maturity and available-for-sale and reported at amortized cost and fair value,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Financial Instruments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Fair values of cash and cash equivalents, accounts receivable, unbilled receivables, retentions and accounts payable approximate cost due to the short period of time to maturity.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Payments to the Company on government cost reimbursable contracts are based on provisional, or estimated indirect rates, which are subject to an annual audit by the Defense Contract Audit Agency (“DCAA”). The cost audits result in the negotiation and determination of the final indirect cost rates that the</w:t>
      </w:r>
    </w:p>
    <w:p>
      <w:pPr>
        <w:sectPr>
          <w:pgSz w:w="11900" w:h="16838" w:orient="portrait"/>
          <w:cols w:equalWidth="0" w:num="1">
            <w:col w:w="11420"/>
          </w:cols>
          <w:pgMar w:left="240" w:top="121" w:right="239" w:bottom="0" w:gutter="0" w:footer="0" w:header="0"/>
        </w:sectPr>
      </w:pPr>
    </w:p>
    <w:bookmarkStart w:id="4" w:name="page5"/>
    <w:bookmarkEnd w:id="4"/>
    <w:p>
      <w:pPr>
        <w:ind w:right="480"/>
        <w:spacing w:after="0" w:line="277" w:lineRule="auto"/>
        <w:rPr>
          <w:sz w:val="20"/>
          <w:szCs w:val="20"/>
          <w:color w:val="auto"/>
        </w:rPr>
      </w:pPr>
      <w:r>
        <w:rPr>
          <w:rFonts w:ascii="Arial" w:cs="Arial" w:eastAsia="Arial" w:hAnsi="Arial"/>
          <w:sz w:val="18"/>
          <w:szCs w:val="18"/>
          <w:color w:val="auto"/>
        </w:rPr>
        <w:t>Company may use for the period(s) audited. The final rates, if different from the provisional rates, may create an additional receivable or liability for the Company.</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example, during the course of its audits, the DCAA may question the Company’s incurred project costs, and if the DCAA believes the Company has accounted for such costs in a manner inconsistent with the requirements under Federal Acquisition Regulations, the DCAA auditor may recommend to the Company’s administrative contracting officer to disallow such costs. The Company can provide no assurance that the DCAA or other government audits will not result in material disallowances for incurred costs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Basic loss per share is computed using the weighted-average number of common shares outstanding, excluding shares of unvested restricted stock. Due to the net loss for the three months ended July 31, 2010 and August 1, 2009, no shares reserved for issuance upon exercise of stock options or shares of unvested restricted stock were included in the computation of diluted loss per share as their inclusion would have been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October 2009, the Financial Accounting Standards Board issued an accounting standards update that requires an entity to allocate arrangement consideration at the inception of an arrangement to all of its deliverables based on their relative selling prices, eliminates the use of the residual method of allocation, and requires the relative-selling-price method in all circumstances in which an entity recognizes revenue of an arrangement with multiple deliverables. This guidance will be effective for the Company beginning on May 1, 2011, however, early adoption is permitted. The Company does not expect that this new guidance will have a material impact on its consolidated financial statements.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2. Investments</w:t>
            </w:r>
          </w:p>
        </w:tc>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20" w:type="dxa"/>
            <w:vAlign w:val="bottom"/>
            <w:gridSpan w:val="2"/>
          </w:tcPr>
          <w:p>
            <w:pPr>
              <w:spacing w:after="0"/>
              <w:rPr>
                <w:sz w:val="20"/>
                <w:szCs w:val="20"/>
                <w:color w:val="auto"/>
              </w:rPr>
            </w:pPr>
            <w:r>
              <w:rPr>
                <w:rFonts w:ascii="Arial" w:cs="Arial" w:eastAsia="Arial" w:hAnsi="Arial"/>
                <w:sz w:val="18"/>
                <w:szCs w:val="18"/>
                <w:color w:val="auto"/>
              </w:rPr>
              <w:t>Investments consist of the following (in thousands):</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31,</w:t>
            </w:r>
          </w:p>
        </w:tc>
        <w:tc>
          <w:tcPr>
            <w:tcW w:w="220" w:type="dxa"/>
            <w:vAlign w:val="bottom"/>
          </w:tcPr>
          <w:p>
            <w:pPr>
              <w:spacing w:after="0"/>
              <w:rPr>
                <w:sz w:val="24"/>
                <w:szCs w:val="24"/>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Held-to-maturity securities:</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Treasury bills</w:t>
            </w:r>
          </w:p>
        </w:tc>
        <w:tc>
          <w:tcPr>
            <w:tcW w:w="2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112,176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135,770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short-term investments</w:t>
            </w:r>
          </w:p>
        </w:tc>
        <w:tc>
          <w:tcPr>
            <w:tcW w:w="2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112,176</w:t>
            </w:r>
          </w:p>
        </w:tc>
        <w:tc>
          <w:tcPr>
            <w:tcW w:w="2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135,770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0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Long-term investments:</w:t>
            </w:r>
          </w:p>
        </w:tc>
        <w:tc>
          <w:tcPr>
            <w:tcW w:w="2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Available-for-sale securities:</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Auction rate securities</w:t>
            </w:r>
          </w:p>
        </w:tc>
        <w:tc>
          <w:tcPr>
            <w:tcW w:w="2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6,438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Pr>
          <w:p>
            <w:pPr>
              <w:ind w:left="520"/>
              <w:spacing w:after="0"/>
              <w:rPr>
                <w:sz w:val="20"/>
                <w:szCs w:val="20"/>
                <w:color w:val="auto"/>
              </w:rPr>
            </w:pPr>
            <w:r>
              <w:rPr>
                <w:rFonts w:ascii="Arial" w:cs="Arial" w:eastAsia="Arial" w:hAnsi="Arial"/>
                <w:sz w:val="18"/>
                <w:szCs w:val="18"/>
                <w:color w:val="auto"/>
              </w:rPr>
              <w:t>Total long-term investments</w:t>
            </w:r>
          </w:p>
        </w:tc>
        <w:tc>
          <w:tcPr>
            <w:tcW w:w="2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6,438</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Held-To-Maturity Securities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 July 31, 2010, the balance of held-to-maturity securities consisted of U.S. Treasury bills. Interest earned from these investments is recorded in interest income.</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held-to-maturity investments as of July 31, 2010,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Amortized</w:t>
            </w:r>
          </w:p>
        </w:tc>
        <w:tc>
          <w:tcPr>
            <w:tcW w:w="18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Unrealized</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374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Cost</w:t>
            </w:r>
          </w:p>
        </w:tc>
        <w:tc>
          <w:tcPr>
            <w:tcW w:w="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Gains</w:t>
            </w:r>
          </w:p>
        </w:tc>
        <w:tc>
          <w:tcPr>
            <w:tcW w:w="2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2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U.S. Treasury bills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112,176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112,175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Total held-to-maturity investments</w:t>
            </w:r>
          </w:p>
        </w:tc>
        <w:tc>
          <w:tcPr>
            <w:tcW w:w="1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112,176</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112,175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4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held-to-maturity investments as of April 30, 2010,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center"/>
              <w:ind w:left="11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center"/>
              <w:ind w:left="11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Amortized</w:t>
            </w:r>
          </w:p>
        </w:tc>
        <w:tc>
          <w:tcPr>
            <w:tcW w:w="1200" w:type="dxa"/>
            <w:vAlign w:val="bottom"/>
          </w:tcPr>
          <w:p>
            <w:pPr>
              <w:jc w:val="center"/>
              <w:ind w:left="11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center"/>
              <w:ind w:left="11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74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Cost</w:t>
            </w:r>
          </w:p>
        </w:tc>
        <w:tc>
          <w:tcPr>
            <w:tcW w:w="3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1"/>
              </w:rPr>
              <w:t>Gains</w:t>
            </w: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Borders>
              <w:bottom w:val="single" w:sz="8" w:color="CCEEFF"/>
            </w:tcBorders>
            <w:gridSpan w:val="2"/>
          </w:tcPr>
          <w:p>
            <w:pPr>
              <w:spacing w:after="0"/>
              <w:rPr>
                <w:sz w:val="20"/>
                <w:szCs w:val="20"/>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U.S. Treasury bills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135,770</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Total held-to-maturity investments</w:t>
            </w:r>
          </w:p>
        </w:tc>
        <w:tc>
          <w:tcPr>
            <w:tcW w:w="1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135,770</w:t>
            </w:r>
          </w:p>
        </w:tc>
        <w:tc>
          <w:tcPr>
            <w:tcW w:w="3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and fair value of the Company’s held-to-maturity securities by contractual maturity at July 31, 2010, were as follows (in thousands):</w:t>
      </w:r>
    </w:p>
    <w:p>
      <w:pPr>
        <w:spacing w:after="0" w:line="233" w:lineRule="exact"/>
        <w:rPr>
          <w:sz w:val="20"/>
          <w:szCs w:val="20"/>
          <w:color w:val="auto"/>
        </w:rPr>
      </w:pPr>
    </w:p>
    <w:p>
      <w:pPr>
        <w:ind w:left="8820"/>
        <w:spacing w:after="0"/>
        <w:tabs>
          <w:tab w:leader="none" w:pos="10220" w:val="left"/>
        </w:tabs>
        <w:rPr>
          <w:sz w:val="20"/>
          <w:szCs w:val="20"/>
          <w:color w:val="auto"/>
        </w:rPr>
      </w:pPr>
      <w:r>
        <w:rPr>
          <w:rFonts w:ascii="Arial" w:cs="Arial" w:eastAsia="Arial" w:hAnsi="Arial"/>
          <w:sz w:val="18"/>
          <w:szCs w:val="18"/>
          <w:b w:val="1"/>
          <w:bCs w:val="1"/>
          <w:color w:val="auto"/>
        </w:rPr>
        <w:t>Cost</w:t>
      </w:r>
      <w:r>
        <w:rPr>
          <w:sz w:val="20"/>
          <w:szCs w:val="20"/>
          <w:color w:val="auto"/>
        </w:rPr>
        <w:tab/>
      </w:r>
      <w:r>
        <w:rPr>
          <w:rFonts w:ascii="Arial" w:cs="Arial" w:eastAsia="Arial" w:hAnsi="Arial"/>
          <w:sz w:val="18"/>
          <w:szCs w:val="18"/>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17145</wp:posOffset>
            </wp:positionV>
            <wp:extent cx="1912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38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112,176</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112,175</w:t>
            </w:r>
          </w:p>
        </w:tc>
        <w:tc>
          <w:tcPr>
            <w:tcW w:w="80" w:type="dxa"/>
            <w:vAlign w:val="bottom"/>
            <w:shd w:val="clear" w:color="auto" w:fill="CCEEFF"/>
          </w:tcPr>
          <w:p>
            <w:pPr>
              <w:spacing w:after="0"/>
              <w:rPr>
                <w:sz w:val="18"/>
                <w:szCs w:val="18"/>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Total</w:t>
            </w:r>
          </w:p>
        </w:tc>
        <w:tc>
          <w:tcPr>
            <w:tcW w:w="34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112,176</w:t>
            </w:r>
          </w:p>
        </w:tc>
        <w:tc>
          <w:tcPr>
            <w:tcW w:w="2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112,175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Available-For-Sale Securities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As of July 31, 2010, the entire balance of available-for-sale securities consisted of four investment grade auction rate municipal bonds with maturities ranging from 9 to 24 years. These investments have characteristics similar to short-term investments, because at pre-determined intervals, generally ranging from 30 to 35 days, there is a new auction process at which the interest rates for these securities are reset to current interest rates. At the end of such period, the Company chooses to roll-over its holdings or redeem the investments for cash. A market maker facilitates the redemption of the securities and the underlying issuers are not required to redeem the investment within 365 days. Interest earned from these investments is recorded in interest income.</w:t>
      </w:r>
    </w:p>
    <w:p>
      <w:pPr>
        <w:spacing w:after="0" w:line="158"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During the fourth quarter of the fiscal year ended April 30, 2008, the Company began experiencing failed auctions on some of its auction rate securities. A failed auction occurs when a buyer for the securities cannot be obtained and the market maker does not buy the security for its own account. The Company continues to earn interest on the investments that failed to settle at auction at the maximum contractual rate until the next auction occurs. In the event the Company needs to access funds invested in these auction rate securities, the Company may not be able to liquidate these securities at the fair value recorded on July 31, 2010, until a future auction of these securities is successful or a buyer is found outside of the auction process.</w:t>
      </w:r>
    </w:p>
    <w:p>
      <w:pPr>
        <w:spacing w:after="0" w:line="15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a result of the failed auctions, the fair values of these securities are estimated utilizing a discounted cash flow analysis as of July 31, 2010. The analysis considers, among other items, the collateralization underlying the security investments, the creditworthiness of the counterparty, the timing of expected future cash flows, and the estimated date upon which the security is expected to have a successful auction.</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Based on the Company’s ability to access its cash and cash equivalents, expected operating cash flows, and other sources of cash, the Company does not anticipate the current lack of liquidity on these investments will affect its ability to operate the business in the ordinary course. The Company believes the current lack of liquidity of these investments is temporary and expects that the securities will be redeemed or refinanced at some point in the future. The Company will continue to monitor the value of its auction rate securities at each reporting period for a possible other-than-temporary impairment. The auction rate securities have been in an unrealized loss position for more than 12 months. The Company has the ability and the intent to hold these investments until a recovery of fair value, which may be at maturity, and as of July 31, 2010, it did not consider these investments to be other-than-temporarily impaired.</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available-for-sale investments as of July 31, 2010,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center"/>
              <w:ind w:left="15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Cost</w:t>
            </w:r>
          </w:p>
        </w:tc>
        <w:tc>
          <w:tcPr>
            <w:tcW w:w="116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40" w:type="dxa"/>
            <w:vAlign w:val="bottom"/>
          </w:tcPr>
          <w:p>
            <w:pPr>
              <w:spacing w:after="0"/>
              <w:rPr>
                <w:sz w:val="20"/>
                <w:szCs w:val="20"/>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7,675</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1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7,675</w:t>
            </w:r>
          </w:p>
        </w:tc>
        <w:tc>
          <w:tcPr>
            <w:tcW w:w="300" w:type="dxa"/>
            <w:vAlign w:val="bottom"/>
          </w:tcPr>
          <w:p>
            <w:pPr>
              <w:spacing w:after="0"/>
              <w:rPr>
                <w:sz w:val="19"/>
                <w:szCs w:val="19"/>
                <w:color w:val="auto"/>
              </w:rPr>
            </w:pPr>
          </w:p>
        </w:tc>
        <w:tc>
          <w:tcPr>
            <w:tcW w:w="11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8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available-for-sale investments as of April 30, 2010,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center"/>
              <w:ind w:left="15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Cost</w:t>
            </w:r>
          </w:p>
        </w:tc>
        <w:tc>
          <w:tcPr>
            <w:tcW w:w="116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1280" w:type="dxa"/>
            <w:vAlign w:val="bottom"/>
            <w:gridSpan w:val="3"/>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7,775</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1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7,775</w:t>
            </w:r>
          </w:p>
        </w:tc>
        <w:tc>
          <w:tcPr>
            <w:tcW w:w="300" w:type="dxa"/>
            <w:vAlign w:val="bottom"/>
          </w:tcPr>
          <w:p>
            <w:pPr>
              <w:spacing w:after="0"/>
              <w:rPr>
                <w:sz w:val="19"/>
                <w:szCs w:val="19"/>
                <w:color w:val="auto"/>
              </w:rPr>
            </w:pPr>
          </w:p>
        </w:tc>
        <w:tc>
          <w:tcPr>
            <w:tcW w:w="11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and fair value of the Company’s auction rate securities by contractual maturity at July 31, 2010,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4"/>
              </w:rPr>
              <w:t>Cost</w:t>
            </w:r>
          </w:p>
        </w:tc>
        <w:tc>
          <w:tcPr>
            <w:tcW w:w="180" w:type="dxa"/>
            <w:vAlign w:val="bottom"/>
          </w:tcPr>
          <w:p>
            <w:pPr>
              <w:spacing w:after="0"/>
              <w:rPr>
                <w:sz w:val="20"/>
                <w:szCs w:val="20"/>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through 10 years</w:t>
            </w:r>
          </w:p>
        </w:tc>
        <w:tc>
          <w:tcPr>
            <w:tcW w:w="2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Due after 10 years</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6,225</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5,196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Inventories, net</w:t>
            </w:r>
          </w:p>
        </w:tc>
        <w:tc>
          <w:tcPr>
            <w:tcW w:w="2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00" w:type="dxa"/>
            <w:vAlign w:val="bottom"/>
            <w:gridSpan w:val="2"/>
            <w:vMerge w:val="continue"/>
          </w:tcPr>
          <w:p>
            <w:pPr>
              <w:spacing w:after="0"/>
              <w:rPr>
                <w:sz w:val="24"/>
                <w:szCs w:val="24"/>
                <w:color w:val="auto"/>
              </w:rPr>
            </w:pP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0" w:type="dxa"/>
            <w:vAlign w:val="bottom"/>
            <w:gridSpan w:val="2"/>
          </w:tcPr>
          <w:p>
            <w:pPr>
              <w:spacing w:after="0"/>
              <w:rPr>
                <w:sz w:val="20"/>
                <w:szCs w:val="20"/>
                <w:color w:val="auto"/>
              </w:rPr>
            </w:pPr>
            <w:r>
              <w:rPr>
                <w:rFonts w:ascii="Arial" w:cs="Arial" w:eastAsia="Arial" w:hAnsi="Arial"/>
                <w:sz w:val="18"/>
                <w:szCs w:val="18"/>
                <w:color w:val="auto"/>
              </w:rPr>
              <w:t>Inventories consist of the following (in thousands):</w:t>
            </w: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July 31,</w:t>
            </w:r>
          </w:p>
        </w:tc>
        <w:tc>
          <w:tcPr>
            <w:tcW w:w="180" w:type="dxa"/>
            <w:vAlign w:val="bottom"/>
          </w:tcPr>
          <w:p>
            <w:pPr>
              <w:spacing w:after="0"/>
              <w:rPr>
                <w:sz w:val="24"/>
                <w:szCs w:val="2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5"/>
              </w:rPr>
              <w:t>April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8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2010</w:t>
            </w:r>
          </w:p>
        </w:tc>
        <w:tc>
          <w:tcPr>
            <w:tcW w:w="2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Work in process</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9,150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6,336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13,498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Inventories, gross</w:t>
            </w:r>
          </w:p>
        </w:tc>
        <w:tc>
          <w:tcPr>
            <w:tcW w:w="2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29,801</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obsolescence</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(1,716)</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10"/>
        </w:trPr>
        <w:tc>
          <w:tcPr>
            <w:tcW w:w="600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2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28,085</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ectPr>
          <w:pgSz w:w="11900" w:h="16838" w:orient="portrait"/>
          <w:cols w:equalWidth="0" w:num="1">
            <w:col w:w="11460"/>
          </w:cols>
          <w:pgMar w:left="240" w:top="356" w:right="199" w:bottom="0" w:gutter="0" w:footer="0" w:header="0"/>
        </w:sectPr>
      </w:pPr>
    </w:p>
    <w:bookmarkStart w:id="6" w:name="page7"/>
    <w:bookmarkEnd w:id="6"/>
    <w:p>
      <w:pPr>
        <w:spacing w:after="0" w:line="4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24" w:lineRule="exact"/>
        <w:rPr>
          <w:sz w:val="20"/>
          <w:szCs w:val="20"/>
          <w:color w:val="auto"/>
        </w:rPr>
      </w:pPr>
    </w:p>
    <w:p>
      <w:pPr>
        <w:ind w:left="1080" w:right="360" w:hanging="1072"/>
        <w:spacing w:after="0" w:line="258" w:lineRule="auto"/>
        <w:tabs>
          <w:tab w:leader="none" w:pos="278"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based upon quoted prices (unadjusted) for identical assets or liabilities in active markets that are accessible as of the measurement date.</w:t>
      </w:r>
    </w:p>
    <w:p>
      <w:pPr>
        <w:spacing w:after="0" w:line="1" w:lineRule="exact"/>
        <w:rPr>
          <w:rFonts w:ascii="Arial" w:cs="Arial" w:eastAsia="Arial" w:hAnsi="Arial"/>
          <w:sz w:val="18"/>
          <w:szCs w:val="18"/>
          <w:color w:val="auto"/>
        </w:rPr>
      </w:pPr>
    </w:p>
    <w:p>
      <w:pPr>
        <w:ind w:left="1080" w:right="380" w:hanging="1072"/>
        <w:spacing w:after="0" w:line="281" w:lineRule="auto"/>
        <w:tabs>
          <w:tab w:leader="none" w:pos="278"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 — 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that are unobservable inputs for the asset or liability.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measured at fair value on a recurring basis at July 31, 2010,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Fair Value Measurement Using</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1"/>
        </w:trPr>
        <w:tc>
          <w:tcPr>
            <w:tcW w:w="4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Quoted prices in</w:t>
            </w:r>
          </w:p>
        </w:tc>
        <w:tc>
          <w:tcPr>
            <w:tcW w:w="16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other</w:t>
            </w:r>
          </w:p>
        </w:tc>
        <w:tc>
          <w:tcPr>
            <w:tcW w:w="140" w:type="dxa"/>
            <w:vAlign w:val="bottom"/>
          </w:tcPr>
          <w:p>
            <w:pPr>
              <w:spacing w:after="0"/>
              <w:rPr>
                <w:sz w:val="18"/>
                <w:szCs w:val="18"/>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Significant</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active markets</w:t>
            </w:r>
          </w:p>
        </w:tc>
        <w:tc>
          <w:tcPr>
            <w:tcW w:w="16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observable</w:t>
            </w:r>
          </w:p>
        </w:tc>
        <w:tc>
          <w:tcPr>
            <w:tcW w:w="140" w:type="dxa"/>
            <w:vAlign w:val="bottom"/>
          </w:tcPr>
          <w:p>
            <w:pPr>
              <w:spacing w:after="0"/>
              <w:rPr>
                <w:sz w:val="18"/>
                <w:szCs w:val="18"/>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unobservable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for identical assets</w:t>
            </w:r>
          </w:p>
        </w:tc>
        <w:tc>
          <w:tcPr>
            <w:tcW w:w="16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inputs</w:t>
            </w:r>
          </w:p>
        </w:tc>
        <w:tc>
          <w:tcPr>
            <w:tcW w:w="140" w:type="dxa"/>
            <w:vAlign w:val="bottom"/>
          </w:tcPr>
          <w:p>
            <w:pPr>
              <w:spacing w:after="0"/>
              <w:rPr>
                <w:sz w:val="18"/>
                <w:szCs w:val="18"/>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inputs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40" w:type="dxa"/>
            <w:vAlign w:val="bottom"/>
          </w:tcPr>
          <w:p>
            <w:pPr>
              <w:spacing w:after="0"/>
              <w:rPr>
                <w:sz w:val="20"/>
                <w:szCs w:val="20"/>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(Level 1)</w:t>
            </w:r>
          </w:p>
        </w:tc>
        <w:tc>
          <w:tcPr>
            <w:tcW w:w="160" w:type="dxa"/>
            <w:vAlign w:val="bottom"/>
          </w:tcPr>
          <w:p>
            <w:pPr>
              <w:spacing w:after="0"/>
              <w:rPr>
                <w:sz w:val="20"/>
                <w:szCs w:val="20"/>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(Level 2)</w:t>
            </w:r>
          </w:p>
        </w:tc>
        <w:tc>
          <w:tcPr>
            <w:tcW w:w="140" w:type="dxa"/>
            <w:vAlign w:val="bottom"/>
          </w:tcPr>
          <w:p>
            <w:pPr>
              <w:spacing w:after="0"/>
              <w:rPr>
                <w:sz w:val="20"/>
                <w:szCs w:val="20"/>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(Level 3)</w:t>
            </w:r>
          </w:p>
        </w:tc>
        <w:tc>
          <w:tcPr>
            <w:tcW w:w="30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0"/>
                <w:szCs w:val="20"/>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ind w:left="15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6,438</w:t>
            </w:r>
          </w:p>
        </w:tc>
        <w:tc>
          <w:tcPr>
            <w:tcW w:w="30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2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Due to the auction failures of the Company’s auction rate securities that began in the fourth quarter of fiscal 2008, there are still no quoted prices in active markets for identical assets as of July 31, 2010. Therefore, the Company has classified its auction rate securities as Level 3 financial assets. The following table provides a reconciliation between the beginning and ending balances of items measured at fair value on a recurring basis in the table above that used significant unobservable inputs (Level 3)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Measurements Using</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Unobservable Inputs</w:t>
            </w:r>
          </w:p>
        </w:tc>
        <w:tc>
          <w:tcPr>
            <w:tcW w:w="0" w:type="dxa"/>
            <w:vAlign w:val="bottom"/>
          </w:tcPr>
          <w:p>
            <w:pPr>
              <w:spacing w:after="0"/>
              <w:rPr>
                <w:sz w:val="1"/>
                <w:szCs w:val="1"/>
                <w:color w:val="auto"/>
              </w:rPr>
            </w:pPr>
          </w:p>
        </w:tc>
      </w:tr>
      <w:tr>
        <w:trPr>
          <w:trHeight w:val="234"/>
        </w:trPr>
        <w:tc>
          <w:tcPr>
            <w:tcW w:w="8600" w:type="dxa"/>
            <w:vAlign w:val="bottom"/>
            <w:vMerge w:val="restart"/>
          </w:tcPr>
          <w:p>
            <w:pPr>
              <w:spacing w:after="0"/>
              <w:rPr>
                <w:sz w:val="20"/>
                <w:szCs w:val="20"/>
                <w:color w:val="auto"/>
              </w:rPr>
            </w:pPr>
            <w:r>
              <w:rPr>
                <w:rFonts w:ascii="Arial" w:cs="Arial" w:eastAsia="Arial" w:hAnsi="Arial"/>
                <w:sz w:val="18"/>
                <w:szCs w:val="18"/>
                <w:b w:val="1"/>
                <w:bCs w:val="1"/>
                <w:color w:val="auto"/>
              </w:rPr>
              <w:t>Description</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0"/>
        </w:trPr>
        <w:tc>
          <w:tcPr>
            <w:tcW w:w="860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20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Auction Rate Securities</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2010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Transfers to Level 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gains (losses) (realized or unrealized)</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Arial" w:cs="Arial" w:eastAsia="Arial" w:hAnsi="Arial"/>
                <w:sz w:val="18"/>
                <w:szCs w:val="18"/>
                <w:color w:val="auto"/>
              </w:rPr>
              <w:t>Included in earnings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other comprehensive loss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Purchases, issuances and settlements, net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31, 2010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line="195" w:lineRule="exact"/>
              <w:rPr>
                <w:sz w:val="20"/>
                <w:szCs w:val="20"/>
                <w:color w:val="auto"/>
              </w:rPr>
            </w:pPr>
            <w:r>
              <w:rPr>
                <w:rFonts w:ascii="Arial" w:cs="Arial" w:eastAsia="Arial" w:hAnsi="Arial"/>
                <w:sz w:val="18"/>
                <w:szCs w:val="18"/>
                <w:color w:val="auto"/>
                <w:w w:val="93"/>
              </w:rPr>
              <w:t>The amount of total gains or (losses) for the period included in earnings (or change in net assets) attributable to the</w:t>
            </w: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6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180"/>
              <w:spacing w:after="0"/>
              <w:rPr>
                <w:sz w:val="20"/>
                <w:szCs w:val="20"/>
                <w:color w:val="auto"/>
              </w:rPr>
            </w:pPr>
            <w:r>
              <w:rPr>
                <w:rFonts w:ascii="Arial" w:cs="Arial" w:eastAsia="Arial" w:hAnsi="Arial"/>
                <w:sz w:val="18"/>
                <w:szCs w:val="18"/>
                <w:color w:val="auto"/>
              </w:rPr>
              <w:t>change in unrealized gains or losses relating to assets still held at July 31, 2010</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auction rate securities are valued using a discounted cash flow model. The analysis considers, among other items, the collateralization underlying the security investments, the creditworthiness of the counterparty, the timing of expected future cash flows, and the estimated date upon which the security is expected to have a successful auction.</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Based on the Company’s ability to access its cash and cash equivalents, expected operating cash flows, and other sources of cash, the Company does not anticipate the current lack of liquidity on these investments will affect its ability to operate the business in the ordinary course. The Company believes the current lack of liquidity of these investments is temporary and expects that the securities will be redeemed or refinanced at some point in the future, allowing the Company to recover the original cost of $7.7 million. The Company will continue to monitor the value of its auction rate securities at each reporting period for a possible other-than-temporary impairment.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5. Other Comprehensive Loss</w:t>
            </w:r>
          </w:p>
        </w:tc>
        <w:tc>
          <w:tcPr>
            <w:tcW w:w="2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w w:val="95"/>
              </w:rPr>
              <w:t>The components of comprehensive loss are as follows (in thousands):</w:t>
            </w:r>
          </w:p>
        </w:tc>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600"/>
              <w:spacing w:after="0" w:line="191" w:lineRule="exact"/>
              <w:rPr>
                <w:sz w:val="20"/>
                <w:szCs w:val="20"/>
                <w:color w:val="auto"/>
              </w:rPr>
            </w:pPr>
            <w:r>
              <w:rPr>
                <w:rFonts w:ascii="Arial" w:cs="Arial" w:eastAsia="Arial" w:hAnsi="Arial"/>
                <w:sz w:val="18"/>
                <w:szCs w:val="18"/>
                <w:b w:val="1"/>
                <w:bCs w:val="1"/>
                <w:color w:val="auto"/>
              </w:rPr>
              <w:t>July 31,</w:t>
            </w: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w w:val="99"/>
              </w:rPr>
              <w:t>August 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gains (losses) on long-term investments</w:t>
            </w: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29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980" w:type="dxa"/>
            <w:vAlign w:val="bottom"/>
            <w:vMerge w:val="restart"/>
          </w:tcPr>
          <w:p>
            <w:pPr>
              <w:jc w:val="right"/>
              <w:ind w:right="241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300" w:type="dxa"/>
            <w:vAlign w:val="bottom"/>
            <w:tcBorders>
              <w:bottom w:val="single" w:sz="8" w:color="010101"/>
            </w:tcBorders>
          </w:tcPr>
          <w:p>
            <w:pPr>
              <w:spacing w:after="0"/>
              <w:rPr>
                <w:sz w:val="11"/>
                <w:szCs w:val="11"/>
                <w:color w:val="auto"/>
              </w:rPr>
            </w:pPr>
          </w:p>
        </w:tc>
        <w:tc>
          <w:tcPr>
            <w:tcW w:w="29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87" w:orient="portrait"/>
          <w:cols w:equalWidth="0" w:num="1">
            <w:col w:w="11460"/>
          </w:cols>
          <w:pgMar w:left="240" w:top="341" w:right="199" w:bottom="0" w:gutter="0" w:footer="0" w:header="0"/>
        </w:sectPr>
      </w:pPr>
    </w:p>
    <w:bookmarkStart w:id="7" w:name="page8"/>
    <w:bookmarkEnd w:id="7"/>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Warranty Reserves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 accrues an estimate of its exposure to warranty claims based upon both current and historical product sales data and warranty costs incurred. The warranty reserve is included in other current liabilities. The related expense is included in cost of sales. Warranty reserve activity is summarized as follows for the three months ended July 31, 2010 and August 1, 2009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120" w:type="dxa"/>
            <w:vAlign w:val="bottom"/>
            <w:gridSpan w:val="7"/>
          </w:tcPr>
          <w:p>
            <w:pPr>
              <w:jc w:val="right"/>
              <w:ind w:right="8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July 31,</w:t>
            </w:r>
          </w:p>
        </w:tc>
        <w:tc>
          <w:tcPr>
            <w:tcW w:w="3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w w:val="99"/>
              </w:rPr>
              <w:t>August 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43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3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Warranty expense</w:t>
            </w:r>
          </w:p>
        </w:tc>
        <w:tc>
          <w:tcPr>
            <w:tcW w:w="3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Warranty costs incurred</w:t>
            </w:r>
          </w:p>
        </w:tc>
        <w:tc>
          <w:tcPr>
            <w:tcW w:w="3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(221)</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0"/>
        </w:trPr>
        <w:tc>
          <w:tcPr>
            <w:tcW w:w="50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32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Customer-Funded Research &amp; Development</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Customer-funded R&amp;D costs are incurred pursuant to contracts (revenue arrangements) to perform R&amp;D activities according to customer specifications. These costs are direct contract costs and are expensed to cost of sales when the corresponding revenue is recognized, which is generally as the R&amp;D services are performed. Revenue from customer-funded R&amp;D was approximately $11.9 million and $24.0 million for the three months ended July 31, 2010 and August 1, 2009,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the three months ended July 31, 2010 and August 1, 2009, the Company recorded a benefit for income taxes of $3.7 million and $1.8 million, respectively, yielding an effective tax rate of 52.1% and 33.5%, respectively. The variance from statutory rates for the three months ended July 31, 2010 was primarily due to a reduction in the liability for uncertain tax positions related to the conclusion of the examination of the Company’s fiscal 2003 and 2004 tax returns. The examination concluded in May of 2010 and no change was required to the tax returns filed. The variance from statutory rates for the three months ended August 1, 2009 was primarily due to R&amp;D tax credits.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product segments are as follows:</w:t>
      </w:r>
    </w:p>
    <w:p>
      <w:pPr>
        <w:spacing w:after="0" w:line="225" w:lineRule="exact"/>
        <w:rPr>
          <w:sz w:val="20"/>
          <w:szCs w:val="20"/>
          <w:color w:val="auto"/>
        </w:rPr>
      </w:pPr>
    </w:p>
    <w:p>
      <w:pPr>
        <w:ind w:left="960" w:right="880" w:hanging="628"/>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Unmanned Aircraft Systems (“UAS”) — The UAS segment consists primarily of the design, development, production and support of unmanned aircraft systems solutions.</w:t>
      </w:r>
    </w:p>
    <w:p>
      <w:pPr>
        <w:spacing w:after="0" w:line="170" w:lineRule="exact"/>
        <w:rPr>
          <w:rFonts w:ascii="Arial" w:cs="Arial" w:eastAsia="Arial" w:hAnsi="Arial"/>
          <w:sz w:val="18"/>
          <w:szCs w:val="18"/>
          <w:color w:val="auto"/>
        </w:rPr>
      </w:pPr>
    </w:p>
    <w:p>
      <w:pPr>
        <w:ind w:left="960" w:right="640" w:hanging="628"/>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Efficient Energy Systems (“EES”) — The EES segment consists primarily of the design, development, production and support of system solutions for the clean transportation markets.</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accounting policies of the segments are the same as those described in Note 1, “Organization and Significant Accounting Policies.” The operating segments do not make sales to each other. Depreciation and amortization related to the manufacturing of goods is included in gross margin for the segments. The Company does not discretely allocate assets to its operating segments, nor does the CODM evaluate operating segments using discrete asset information. Consequently, the Company operates its financial systems as a single segment for accounting and control purposes, maintains a single indirect rate structure across all segments, has no inter-segment sales or corporate elimination transactions, and maintains limited financial statement information by segment.</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20" w:type="dxa"/>
            <w:vAlign w:val="bottom"/>
            <w:gridSpan w:val="2"/>
          </w:tcPr>
          <w:p>
            <w:pPr>
              <w:spacing w:after="0"/>
              <w:rPr>
                <w:sz w:val="20"/>
                <w:szCs w:val="20"/>
                <w:color w:val="auto"/>
              </w:rPr>
            </w:pPr>
            <w:r>
              <w:rPr>
                <w:rFonts w:ascii="Arial" w:cs="Arial" w:eastAsia="Arial" w:hAnsi="Arial"/>
                <w:sz w:val="18"/>
                <w:szCs w:val="18"/>
                <w:color w:val="auto"/>
              </w:rPr>
              <w:t>The segment results are as follows (in thousands):</w:t>
            </w:r>
          </w:p>
        </w:tc>
        <w:tc>
          <w:tcPr>
            <w:tcW w:w="3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600"/>
              <w:spacing w:after="0" w:line="191" w:lineRule="exact"/>
              <w:rPr>
                <w:sz w:val="20"/>
                <w:szCs w:val="20"/>
                <w:color w:val="auto"/>
              </w:rPr>
            </w:pPr>
            <w:r>
              <w:rPr>
                <w:rFonts w:ascii="Arial" w:cs="Arial" w:eastAsia="Arial" w:hAnsi="Arial"/>
                <w:sz w:val="18"/>
                <w:szCs w:val="18"/>
                <w:b w:val="1"/>
                <w:bCs w:val="1"/>
                <w:color w:val="auto"/>
              </w:rPr>
              <w:t>July 31,</w:t>
            </w: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w w:val="99"/>
              </w:rPr>
              <w:t>August 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tcBorders>
              <w:bottom w:val="single" w:sz="8" w:color="CCEEFF"/>
            </w:tcBorders>
          </w:tcPr>
          <w:p>
            <w:pPr>
              <w:spacing w:after="0"/>
              <w:rPr>
                <w:sz w:val="20"/>
                <w:szCs w:val="20"/>
                <w:color w:val="auto"/>
              </w:rPr>
            </w:pPr>
          </w:p>
        </w:tc>
        <w:tc>
          <w:tcPr>
            <w:tcW w:w="3340" w:type="dxa"/>
            <w:vAlign w:val="bottom"/>
            <w:tcBorders>
              <w:bottom w:val="single" w:sz="8" w:color="CCEEFF"/>
            </w:tcBorders>
          </w:tcPr>
          <w:p>
            <w:pPr>
              <w:spacing w:after="0"/>
              <w:rPr>
                <w:sz w:val="20"/>
                <w:szCs w:val="20"/>
                <w:color w:val="auto"/>
              </w:rPr>
            </w:pPr>
          </w:p>
        </w:tc>
        <w:tc>
          <w:tcPr>
            <w:tcW w:w="3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3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UAS</w:t>
            </w:r>
          </w:p>
        </w:tc>
        <w:tc>
          <w:tcPr>
            <w:tcW w:w="39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33,447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33,310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3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w:t>
            </w:r>
          </w:p>
        </w:tc>
        <w:tc>
          <w:tcPr>
            <w:tcW w:w="36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38,228</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37,940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3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UAS</w:t>
            </w:r>
          </w:p>
        </w:tc>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10,370</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8,979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3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w:t>
            </w:r>
          </w:p>
        </w:tc>
        <w:tc>
          <w:tcPr>
            <w:tcW w:w="36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12,036</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7,972</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5,673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(7,186</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80" w:type="dxa"/>
            <w:vAlign w:val="bottom"/>
            <w:vMerge w:val="restart"/>
          </w:tcPr>
          <w:p>
            <w:pPr>
              <w:jc w:val="right"/>
              <w:ind w:right="2410"/>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340" w:type="dxa"/>
            <w:vAlign w:val="bottom"/>
            <w:tcBorders>
              <w:bottom w:val="single" w:sz="8" w:color="010101"/>
            </w:tcBorders>
          </w:tcPr>
          <w:p>
            <w:pPr>
              <w:spacing w:after="0"/>
              <w:rPr>
                <w:sz w:val="11"/>
                <w:szCs w:val="11"/>
                <w:color w:val="auto"/>
              </w:rPr>
            </w:pPr>
          </w:p>
        </w:tc>
        <w:tc>
          <w:tcPr>
            <w:tcW w:w="36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74" w:orient="portrait"/>
          <w:cols w:equalWidth="0" w:num="1">
            <w:col w:w="11460"/>
          </w:cols>
          <w:pgMar w:left="240" w:top="337" w:right="199" w:bottom="0" w:gutter="0" w:footer="0" w:header="0"/>
        </w:sectPr>
      </w:pPr>
    </w:p>
    <w:bookmarkStart w:id="8" w:name="page9"/>
    <w:bookmarkEnd w:id="8"/>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II, Item 1A, “Risk Factors.”</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Unless required by law, we expressly disclaim any obligation to update publicly any forward-looking statements, whether as result of new information, future events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inventories and reserves for excess and obsolescence, long-term investments, self-insured liabilities, accounting for stock-based awards,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6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have been no material changes made to the critical accounting estimates during the periods presented in the consolidated financial statements from those disclosed in the Form 10-K for the fiscal year ended April 30,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Periods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Due to our fixed year end date of April 30, our first and fourth quarters each consist of approximately 13 weeks. The second and third quarters each consist of exactly 13 weeks. Our first three quarters end on a Saturday. Our 2011 fiscal year ends on April 30, 2011 and our fiscal quarters end on July 31, 2010, October 30, 2010 and January 29,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operating segments are Unmanned Aircraft Systems, or UAS, and Efficient Energy Systems, or EES. The accounting policies for each of these segments are the same. In addition, a significant portion of our research and development, or R&amp;D, selling, general and administrative, or SG&amp;A, and general overhead resources are shared across our segments.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revenue and gross margin generated by each operating segment for the periods indicated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500" w:type="dxa"/>
            <w:vAlign w:val="bottom"/>
          </w:tcPr>
          <w:p>
            <w:pPr>
              <w:ind w:left="320"/>
              <w:spacing w:after="0"/>
              <w:rPr>
                <w:sz w:val="20"/>
                <w:szCs w:val="20"/>
                <w:color w:val="auto"/>
              </w:rPr>
            </w:pPr>
            <w:r>
              <w:rPr>
                <w:rFonts w:ascii="Arial" w:cs="Arial" w:eastAsia="Arial" w:hAnsi="Arial"/>
                <w:sz w:val="18"/>
                <w:szCs w:val="18"/>
                <w:b w:val="1"/>
                <w:bCs w:val="1"/>
                <w:i w:val="1"/>
                <w:iCs w:val="1"/>
                <w:color w:val="auto"/>
                <w:w w:val="98"/>
              </w:rPr>
              <w:t>Three Months Ended July 31, 2010 Compared to Three Months Ended August 1, 2009</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600"/>
              <w:spacing w:after="0" w:line="191" w:lineRule="exact"/>
              <w:rPr>
                <w:sz w:val="20"/>
                <w:szCs w:val="20"/>
                <w:color w:val="auto"/>
              </w:rPr>
            </w:pPr>
            <w:r>
              <w:rPr>
                <w:rFonts w:ascii="Arial" w:cs="Arial" w:eastAsia="Arial" w:hAnsi="Arial"/>
                <w:sz w:val="18"/>
                <w:szCs w:val="18"/>
                <w:b w:val="1"/>
                <w:bCs w:val="1"/>
                <w:color w:val="auto"/>
              </w:rPr>
              <w:t>July 31,</w:t>
            </w: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w w:val="99"/>
              </w:rPr>
              <w:t>August 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UAS</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33,447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EES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38,228</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UAS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10,370</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EES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12,036</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11,371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7,972</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5,673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7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Interest income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(7,186</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Revenue for the three months ended July 31, 2010 was $38.2 million, as compared to $37.9 million for the three months ended August 1, 2009,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representing an increase of $0.3 million, or 1%. UAS revenue increased by $0.1 million to $33.4 million for the three months ended July 31, 2010, primarily due to an increase in UAS service revenue of $9.0 million and product deliveries of $3.6 million, partially offset by a decrease in customer-funded R&amp;D work of $12.5 million. The increase in UAS product deliveries and service revenue was primarily due to increased production and retrofits of Raven B systems with our Digital Data Link (DDL) technology. The decrease in customer-funded R&amp;D work was primarily due to decreased activity on the Global Observer program. EES revenue increased by $0.2 million, or 3%, to $4.8 million for the three months ended July 31, 2010. The increase in EES revenue was primarily due to increased product deliveries of electric vehicle test systems.</w:t>
      </w:r>
    </w:p>
    <w:p>
      <w:pPr>
        <w:sectPr>
          <w:pgSz w:w="11900" w:h="16838" w:orient="portrait"/>
          <w:cols w:equalWidth="0" w:num="1">
            <w:col w:w="11420"/>
          </w:cols>
          <w:pgMar w:left="240" w:top="337" w:right="239" w:bottom="0" w:gutter="0" w:footer="0" w:header="0"/>
        </w:sectPr>
      </w:pPr>
    </w:p>
    <w:bookmarkStart w:id="9" w:name="page10"/>
    <w:bookmarkEnd w:id="9"/>
    <w:p>
      <w:pPr>
        <w:spacing w:after="0" w:line="2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Cost of sales for the three months ended July 31, 2010 was $26.2 million, as compared to $27.2 million for the three months ended August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representing a decrease of $1.0 million, or 4%. The decrease in cost of sales was caused primarily by a decrease in UAS cost of sales of $1.3 million, partially offset by an increase in EES cost of sales of $0.2 million.</w:t>
      </w:r>
    </w:p>
    <w:p>
      <w:pPr>
        <w:spacing w:after="0" w:line="18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three months ended July 31, 2010 was $12.0 million, as compared to $10.7 million for the three months ended August 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2009, representing an increase of $1.3 million, or 12%. UAS gross margin increased $1.4 million, or 15%, to $10.4 million for the three months ended</w:t>
      </w:r>
    </w:p>
    <w:p>
      <w:pPr>
        <w:ind w:right="220"/>
        <w:spacing w:after="0" w:line="254" w:lineRule="auto"/>
        <w:rPr>
          <w:sz w:val="20"/>
          <w:szCs w:val="20"/>
          <w:color w:val="auto"/>
        </w:rPr>
      </w:pPr>
      <w:r>
        <w:rPr>
          <w:rFonts w:ascii="Arial" w:cs="Arial" w:eastAsia="Arial" w:hAnsi="Arial"/>
          <w:sz w:val="18"/>
          <w:szCs w:val="18"/>
          <w:color w:val="auto"/>
        </w:rPr>
        <w:t>July 31, 2010. As a percentage of revenue, gross margin for UAS increased from 27% to 31%, primarily due to increased product deliveries and retrofits of Raven B systems equipped with DDL technology. EES gross margin decreased $0.1 million, or 4%, to $1.7 million for the three months ended July 31, 2010. As a percentage of revenue, EES gross margin decreased from 37% to 35%, primarily due to higher unabsorbed manufacturing and engineering overhead support costs.</w:t>
      </w:r>
    </w:p>
    <w:p>
      <w:pPr>
        <w:spacing w:after="0" w:line="186"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 for the three months ended July 31, 2010 was $11.4 million, or 30% of revenue, compared to SG&amp;A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$10.5 million, or 28% of revenue, for the three months ended August 1, 2009. SG&amp;A expense increased $0.9 million primarily due to higher selling and business development costs and higher administrative infrastructure costs.</w:t>
      </w:r>
    </w:p>
    <w:p>
      <w:pPr>
        <w:spacing w:after="0" w:line="180"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three months ended July 31, 2010 was $8.0 million, or 21% of revenue, which was higher than R&amp;D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$5.7 million, or 15% of revenue, for the three months ended August 1, 2009. R&amp;D expense increased $2.3 million primarily due to increased investment in various UAS and EES technology development initiatives.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for the three months ended July 31, 2010 and August 1, 2009 remained unchanged at $0.1 million.</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b w:val="1"/>
          <w:bCs w:val="1"/>
          <w:i w:val="1"/>
          <w:iCs w:val="1"/>
          <w:color w:val="auto"/>
        </w:rPr>
        <w:t xml:space="preserve">Income Tax Benefit. </w:t>
      </w:r>
      <w:r>
        <w:rPr>
          <w:rFonts w:ascii="Arial" w:cs="Arial" w:eastAsia="Arial" w:hAnsi="Arial"/>
          <w:sz w:val="17"/>
          <w:szCs w:val="17"/>
          <w:color w:val="auto"/>
        </w:rPr>
        <w:t>Benefit for income taxes for the three months ended July 31, 2010 was $3.7 million, or an effective income tax rate of 52.1%,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a benefit of $1.8 million, or an effective income tax rate of 33.5% for the three months ended August 1, 2009. The increase in the benefit for income taxes was primarily due to a reduction in the liability for uncertain tax positions related to the conclusion of the examination of the Company’s fiscal 2003 and 2004 tax returns. The examination concluded in May of 2010 and no change was required to the tax returns filed.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Backlog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define funded backlog as unfilled firm orders for products and services for which funding currently is appropriated to us under the contract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customer. As of July 31, 2010 and April 30, 2010, our funded backlog was approximately $63.6 million and $72.3 million, respectively. On August 19, 2010 and August 23, 2010, the Company received contract delivery orders valued at $35.3 million and $4.4 million, respectively, for digital Puma® All Environment unmanned aircraft systems and additional support services and equipment. As these orders were received subsequent to July 31, 2010, they are not included in funded backlog as of July 31, 2010.</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to our funded backlog, we also had unfunded backlog of $255.3 million and $269.4 million as of July 31, 2010 and April 30, 2010, respectively. We define unfunded backlog as the total remaining potential order amounts under cost reimbursable and fixed price contracts with multiple one-year options, and indefinite delivery indefinite quantity, or IDIQ, contracts. Unfunded backlog does not obligate the U.S. government to purchase goods or services. There can be no assurance that unfunded backlog will result in any orders in any particular period, if at all. Management believes that unfunded backlog does not provide a reliable measure of future estimated revenue under our contracts.</w:t>
      </w:r>
    </w:p>
    <w:p>
      <w:pPr>
        <w:spacing w:after="0" w:line="18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funded, may be terminated at the convenience of the U.S. government.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currently have no material cash commitments, except for normal recurring trade payables, accrued expenses and ongoing research and development costs, all of which we anticipate funding through our existing working capital and funds provided by operating activities. The majority of our purchase obligations are pursuant to funded contractual arrangements with our customers. In addition, we do not currently anticipate significant investment in property, plant and equipment, and we believe that our existing cash, cash equivalents, cash provided by operating activities and other financing sources will be sufficient to meet our anticipated working capital, capital expenditure and debt service requirements, if any, during the next twelve months. There can be no assurance, however, that our business will continue to generate cash flow at current levels. If we are unable to generate sufficient cash flow from operations, then we may be required to sell assets, reduce capital expenditures or obtain additional financing. The global credit crisis has imposed exceptional levels of volatility and disruption in the capital markets, severely diminished liquidity and credit availability, and increased counterparty risk. Nevertheless, we anticipate that existing sources of liquidity and cash flows from operations will be sufficient to satisfy our cash needs for the foreseeable future.</w:t>
      </w:r>
    </w:p>
    <w:p>
      <w:pPr>
        <w:spacing w:after="0" w:line="167"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Our primary liquidity needs are for financing working capital, investing in capital expenditures, supporting product development efforts, introducing new products and enhancing existing products and services, and marketing acceptance and adoption of our products and services.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short-term borrowing are insufficient to fund our future activities, we may need to raise additional funds through public or private equity or debt financing. To the extent we require additional funding, we cannot be certain that such funding will be available to us on acceptable terms, or at</w:t>
      </w:r>
    </w:p>
    <w:p>
      <w:pPr>
        <w:spacing w:after="0" w:line="5"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all. Although we are currently not a party to any agreement or letter of intent with respect to potential investment in, or acquisitions of, businesses, services or technologies, we may enter into these types of arrangements in the future, which could also require us to seek additional equity or debt financing.</w:t>
      </w:r>
    </w:p>
    <w:p>
      <w:pPr>
        <w:spacing w:after="0" w:line="13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Recent global market and economic conditions have been unprecedented and challenging with tighter credit conditions and recession in most major economies. As a result of these market conditions, the cost and availability of credit has been and may continue to be adversely affected by illiquid credit markets and wider credit spreads. Concern about the stability of the markets generally and the strength of counterparties specifically has led many lenders and institutional investors to reduce, and in some cases, cease to provide credit to businesses and consumers. These factors have led to a decrease in spending by businesses and consumers alike, and a corresponding decrease in global infrastructure spending. Continued turbulence in the U.S. and international markets and economies and prolonged declines in business and consumer spending may adversely affect our liquidity and financial condition, and the</w:t>
      </w:r>
    </w:p>
    <w:p>
      <w:pPr>
        <w:sectPr>
          <w:pgSz w:w="11900" w:h="16867" w:orient="portrait"/>
          <w:cols w:equalWidth="0" w:num="1">
            <w:col w:w="11420"/>
          </w:cols>
          <w:pgMar w:left="240" w:top="125" w:right="239" w:bottom="0" w:gutter="0" w:footer="0" w:header="0"/>
        </w:sectPr>
      </w:pPr>
    </w:p>
    <w:bookmarkStart w:id="10" w:name="page11"/>
    <w:bookmarkEnd w:id="10"/>
    <w:p>
      <w:pPr>
        <w:ind w:right="640"/>
        <w:spacing w:after="0" w:line="286" w:lineRule="auto"/>
        <w:rPr>
          <w:sz w:val="20"/>
          <w:szCs w:val="20"/>
          <w:color w:val="auto"/>
        </w:rPr>
      </w:pPr>
      <w:r>
        <w:rPr>
          <w:rFonts w:ascii="Arial" w:cs="Arial" w:eastAsia="Arial" w:hAnsi="Arial"/>
          <w:sz w:val="17"/>
          <w:szCs w:val="17"/>
          <w:color w:val="auto"/>
        </w:rPr>
        <w:t>liquidity and financial condition of our customers, including our ability to access the capital markets to meet liquidity needs. In addition, we maintain significant amounts of cash and cash equivalents at one or more financial institutions that are in excess of federally insured limits. Given the current instability of financial institutions, we cannot be assured that we will not experience losses on these deposits.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working capital requirements vary by contract type. On cost-plus-fee programs, we typically bill our incurred costs and fees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our cash flow data for the three months ended July 31, 2010 and August 1, 2009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8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59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470"/>
              <w:spacing w:after="0" w:line="191" w:lineRule="exact"/>
              <w:rPr>
                <w:sz w:val="20"/>
                <w:szCs w:val="20"/>
                <w:color w:val="auto"/>
              </w:rPr>
            </w:pPr>
            <w:r>
              <w:rPr>
                <w:rFonts w:ascii="Arial" w:cs="Arial" w:eastAsia="Arial" w:hAnsi="Arial"/>
                <w:sz w:val="18"/>
                <w:szCs w:val="18"/>
                <w:b w:val="1"/>
                <w:bCs w:val="1"/>
                <w:color w:val="auto"/>
              </w:rPr>
              <w:t>July 31,</w:t>
            </w:r>
          </w:p>
        </w:tc>
        <w:tc>
          <w:tcPr>
            <w:tcW w:w="4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w w:val="85"/>
              </w:rPr>
              <w:t>August 1,</w:t>
            </w:r>
          </w:p>
        </w:tc>
        <w:tc>
          <w:tcPr>
            <w:tcW w:w="10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2010</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b w:val="1"/>
                <w:bCs w:val="1"/>
                <w:color w:val="auto"/>
              </w:rPr>
              <w:t>(Unaudited)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2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(5,254)</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21,896</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(8,101)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135</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Cash Used in Operating Activities. </w:t>
      </w:r>
      <w:r>
        <w:rPr>
          <w:rFonts w:ascii="Arial" w:cs="Arial" w:eastAsia="Arial" w:hAnsi="Arial"/>
          <w:sz w:val="18"/>
          <w:szCs w:val="18"/>
          <w:color w:val="auto"/>
        </w:rPr>
        <w:t>Net cash used in operating activities for the three months ended July 31, 2010 increased by $9.7 million to $5.3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net cash provided by operating activities of $4.5 million for the three months ended August 1, 2009. This increase in net cash used in operating activities was primarily due to higher working capital needs of $10.9 million, partially offset by higher depreciation of $0.7 million and higher income of $0.1 million.</w:t>
      </w:r>
    </w:p>
    <w:p>
      <w:pPr>
        <w:spacing w:after="0" w:line="18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b w:val="1"/>
          <w:bCs w:val="1"/>
          <w:i w:val="1"/>
          <w:iCs w:val="1"/>
          <w:color w:val="auto"/>
        </w:rPr>
        <w:t xml:space="preserve">Cash Provided by Investing Activities. </w:t>
      </w:r>
      <w:r>
        <w:rPr>
          <w:rFonts w:ascii="Arial" w:cs="Arial" w:eastAsia="Arial" w:hAnsi="Arial"/>
          <w:sz w:val="16"/>
          <w:szCs w:val="16"/>
          <w:color w:val="auto"/>
        </w:rPr>
        <w:t>Net cash provided by investing activities increased by $30.0 million to $21.9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July 31, 2010, compared to net cash used in investing activities of $8.1 million for the three months ended August 1, 2009. The increase in net cash provided by investing activities was primarily due to net sales of investments of $29.6 million and lower acquisitions of property and equipment of $0.4 million.</w:t>
      </w:r>
    </w:p>
    <w:p>
      <w:pPr>
        <w:spacing w:after="0" w:line="14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 xml:space="preserve">Cash Provided by Financing Activities. </w:t>
      </w:r>
      <w:r>
        <w:rPr>
          <w:rFonts w:ascii="Arial" w:cs="Arial" w:eastAsia="Arial" w:hAnsi="Arial"/>
          <w:sz w:val="18"/>
          <w:szCs w:val="18"/>
          <w:color w:val="auto"/>
        </w:rPr>
        <w:t>Net cash provided by financing activities decreased by $0.3 million to $0.1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July 31, 2010, compared to $0.4 million for the three months ended August 1, 2009. During the three months ended July 31, 2010, we received proceeds from stock option exercises of $0.1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first quarter, there were no material changes in our off balance sheet arrangements or contractual obligations and commercial commitments from those disclosed in the Form 10-K for the fiscal year ended April 30,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Please refer to Note 1 “Organization and Significant Accounting Policies” to our unaudited consolidated financial statements in Part I, Item 1 of this quarterly report for a discussion of new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 is our policy not to enter into interest rate derivative financial instruments. We do not currently have any significant interest rate exposure.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Since a significant part of our sales and expenses are denominated in U.S. dollars, we have not experienced significant foreign exchange gains or losses to date, and do not expect to incur significant foreign exchange gains or losses in the future. We occasionally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engage in forward contracts in foreign currencies to limit our exposure on non-U.S. dollar transactions.</w:t>
      </w:r>
    </w:p>
    <w:p>
      <w:pPr>
        <w:sectPr>
          <w:pgSz w:w="11900" w:h="16838" w:orient="portrait"/>
          <w:cols w:equalWidth="0" w:num="1">
            <w:col w:w="11420"/>
          </w:cols>
          <w:pgMar w:left="240" w:top="125" w:right="239" w:bottom="5"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w:t>
      </w:r>
    </w:p>
    <w:p>
      <w:pPr>
        <w:spacing w:after="0" w:line="12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Based on the foregoing, our Chief Executive Officer and Chief Financial Officer concluded that, as of the end of the period covered by this report, our disclosure controls and procedures were effective and were operating at a reasonable assurance level.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changes in our internal control over financial reporting or in other factors identified in connection with the evaluation required by paragraph</w:t>
      </w:r>
    </w:p>
    <w:p>
      <w:pPr>
        <w:spacing w:after="0" w:line="46" w:lineRule="exact"/>
        <w:rPr>
          <w:sz w:val="20"/>
          <w:szCs w:val="20"/>
          <w:color w:val="auto"/>
        </w:rPr>
      </w:pPr>
    </w:p>
    <w:p>
      <w:pPr>
        <w:ind w:right="180" w:firstLine="8"/>
        <w:spacing w:after="0" w:line="261"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of Exchange Act Rules 13a-15 or 15d-15 that occurred during the quarter ended July 31, 2010, that have materially affected, or are reasonably likely to materially affect, our internal control over financial reporting.</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are not currently a party to any material legal proceedings. We are, however, subject to lawsuits from time to time in the ordinary course of business.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There have been no material changes to the risk factors disclosed under Part I, Item 1A, “Risk Factors,” in our Annual Report on Form 10-K for the fiscal year ended April 30, 2010. Please refer to that section for disclosures regarding the risks and uncertainties related to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40"/>
        <w:spacing w:after="0"/>
        <w:tabs>
          <w:tab w:leader="none" w:pos="13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Form of Long-Term Compensation Award Grant Notice and Long-Term Compensation Award Agreement under the AeroVironment,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283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6" w:lineRule="exact"/>
        <w:rPr>
          <w:sz w:val="20"/>
          <w:szCs w:val="20"/>
          <w:color w:val="auto"/>
        </w:rPr>
      </w:pPr>
    </w:p>
    <w:p>
      <w:pPr>
        <w:ind w:left="300"/>
        <w:spacing w:after="0"/>
        <w:tabs>
          <w:tab w:leader="none" w:pos="13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2006 Equity Incentive Plan.</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Certification of Chief Executive Officer pursuant to Rule 13a-14(a) and Rule 15d-14(a) of the Securities Exchange Act of 1934, as</w:t>
      </w:r>
    </w:p>
    <w:p>
      <w:pPr>
        <w:spacing w:after="0" w:line="21" w:lineRule="exact"/>
        <w:rPr>
          <w:sz w:val="20"/>
          <w:szCs w:val="20"/>
          <w:color w:val="auto"/>
        </w:rPr>
      </w:pPr>
    </w:p>
    <w:p>
      <w:pPr>
        <w:ind w:left="400"/>
        <w:spacing w:after="0"/>
        <w:tabs>
          <w:tab w:leader="none" w:pos="13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5"/>
          <w:szCs w:val="15"/>
          <w:color w:val="auto"/>
        </w:rPr>
        <w:t>amended.</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Certification of Chief Financial Officer pursuant to Rule 13a-14(a) and Rule 15d-14(a) of the Securities Exchange Act of 1934,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 w:lineRule="exact"/>
        <w:rPr>
          <w:sz w:val="20"/>
          <w:szCs w:val="20"/>
          <w:color w:val="auto"/>
        </w:rPr>
      </w:pPr>
    </w:p>
    <w:p>
      <w:pPr>
        <w:ind w:left="400"/>
        <w:spacing w:after="0"/>
        <w:tabs>
          <w:tab w:leader="none" w:pos="13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color w:val="auto"/>
        </w:rPr>
        <w:t>amended.</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Certification of Chief Executive Officer and Chief Financial Officer Pursuant to 18 U.S.C. Section 1350, as adopted pursuant to</w:t>
      </w:r>
    </w:p>
    <w:p>
      <w:pPr>
        <w:spacing w:after="0" w:line="21" w:lineRule="exact"/>
        <w:rPr>
          <w:sz w:val="20"/>
          <w:szCs w:val="20"/>
          <w:color w:val="auto"/>
        </w:rPr>
      </w:pPr>
    </w:p>
    <w:p>
      <w:pPr>
        <w:ind w:left="1340" w:hanging="875"/>
        <w:spacing w:after="0"/>
        <w:tabs>
          <w:tab w:leader="none" w:pos="1340" w:val="left"/>
        </w:tabs>
        <w:numPr>
          <w:ilvl w:val="1"/>
          <w:numId w:val="6"/>
        </w:numPr>
        <w:rPr>
          <w:rFonts w:ascii="Arial" w:cs="Arial" w:eastAsia="Arial" w:hAnsi="Arial"/>
          <w:sz w:val="18"/>
          <w:szCs w:val="18"/>
          <w:color w:val="auto"/>
        </w:rPr>
      </w:pPr>
      <w:r>
        <w:rPr>
          <w:rFonts w:ascii="Arial" w:cs="Arial" w:eastAsia="Arial" w:hAnsi="Arial"/>
          <w:sz w:val="18"/>
          <w:szCs w:val="18"/>
          <w:color w:val="auto"/>
        </w:rPr>
        <w:t>Section 906 of the Sarbanes-Oxley Act of 2002.</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right="100" w:firstLine="8"/>
        <w:spacing w:after="0" w:line="277"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herein by reference to AeroVironment, Inc.’s Current Report on Form 8-K filed with the Securities and Exchange Commission on July 28,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40"/>
          </w:cols>
          <w:pgMar w:left="240" w:top="121" w:right="319" w:bottom="312" w:gutter="0" w:footer="0" w:header="0"/>
        </w:sectPr>
      </w:pP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1" w:right="319" w:bottom="312"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jc w:val="right"/>
              <w:ind w:right="4390"/>
              <w:spacing w:after="0"/>
              <w:rPr>
                <w:sz w:val="20"/>
                <w:szCs w:val="20"/>
                <w:color w:val="auto"/>
              </w:rPr>
            </w:pPr>
            <w:r>
              <w:rPr>
                <w:rFonts w:ascii="Arial" w:cs="Arial" w:eastAsia="Arial" w:hAnsi="Arial"/>
                <w:sz w:val="18"/>
                <w:szCs w:val="18"/>
                <w:color w:val="auto"/>
                <w:w w:val="88"/>
              </w:rPr>
              <w:t>Date: September 8, 2010</w:t>
            </w:r>
          </w:p>
        </w:tc>
        <w:tc>
          <w:tcPr>
            <w:tcW w:w="5140" w:type="dxa"/>
            <w:vAlign w:val="bottom"/>
          </w:tcPr>
          <w:p>
            <w:pPr>
              <w:spacing w:after="0"/>
              <w:rPr>
                <w:sz w:val="20"/>
                <w:szCs w:val="20"/>
                <w:color w:val="auto"/>
              </w:rPr>
            </w:pPr>
            <w:r>
              <w:rPr>
                <w:rFonts w:ascii="Arial" w:cs="Arial" w:eastAsia="Arial" w:hAnsi="Arial"/>
                <w:sz w:val="18"/>
                <w:szCs w:val="18"/>
                <w:color w:val="auto"/>
              </w:rPr>
              <w:t>AEROVIRONMENT, INC.</w:t>
            </w:r>
          </w:p>
        </w:tc>
        <w:tc>
          <w:tcPr>
            <w:tcW w:w="40" w:type="dxa"/>
            <w:vAlign w:val="bottom"/>
          </w:tcPr>
          <w:p>
            <w:pPr>
              <w:spacing w:after="0"/>
              <w:rPr>
                <w:sz w:val="20"/>
                <w:szCs w:val="20"/>
                <w:color w:val="auto"/>
              </w:rPr>
            </w:pPr>
          </w:p>
        </w:tc>
      </w:tr>
      <w:tr>
        <w:trPr>
          <w:trHeight w:val="432"/>
        </w:trPr>
        <w:tc>
          <w:tcPr>
            <w:tcW w:w="6280" w:type="dxa"/>
            <w:vAlign w:val="bottom"/>
          </w:tcPr>
          <w:p>
            <w:pPr>
              <w:jc w:val="right"/>
              <w:ind w:right="21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E. Conver</w:t>
            </w:r>
          </w:p>
        </w:tc>
        <w:tc>
          <w:tcPr>
            <w:tcW w:w="40" w:type="dxa"/>
            <w:vAlign w:val="bottom"/>
          </w:tcPr>
          <w:p>
            <w:pPr>
              <w:spacing w:after="0"/>
              <w:rPr>
                <w:sz w:val="24"/>
                <w:szCs w:val="24"/>
                <w:color w:val="auto"/>
              </w:rPr>
            </w:pP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Timothy E. Conver</w:t>
            </w:r>
          </w:p>
        </w:tc>
        <w:tc>
          <w:tcPr>
            <w:tcW w:w="40" w:type="dxa"/>
            <w:vAlign w:val="bottom"/>
          </w:tcPr>
          <w:p>
            <w:pPr>
              <w:spacing w:after="0"/>
              <w:rPr>
                <w:sz w:val="16"/>
                <w:szCs w:val="16"/>
                <w:color w:val="auto"/>
              </w:rPr>
            </w:pPr>
          </w:p>
        </w:tc>
      </w:tr>
      <w:tr>
        <w:trPr>
          <w:trHeight w:val="216"/>
        </w:trPr>
        <w:tc>
          <w:tcPr>
            <w:tcW w:w="62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c>
          <w:tcPr>
            <w:tcW w:w="40" w:type="dxa"/>
            <w:vAlign w:val="bottom"/>
          </w:tcPr>
          <w:p>
            <w:pPr>
              <w:spacing w:after="0"/>
              <w:rPr>
                <w:sz w:val="18"/>
                <w:szCs w:val="18"/>
                <w:color w:val="auto"/>
              </w:rPr>
            </w:pP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432"/>
        </w:trPr>
        <w:tc>
          <w:tcPr>
            <w:tcW w:w="628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Jikun Kim</w:t>
            </w:r>
          </w:p>
        </w:tc>
        <w:tc>
          <w:tcPr>
            <w:tcW w:w="40" w:type="dxa"/>
            <w:vAlign w:val="bottom"/>
          </w:tcPr>
          <w:p>
            <w:pPr>
              <w:spacing w:after="0"/>
              <w:rPr>
                <w:sz w:val="24"/>
                <w:szCs w:val="24"/>
                <w:color w:val="auto"/>
              </w:rPr>
            </w:pP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Jikun Kim</w:t>
            </w:r>
          </w:p>
        </w:tc>
        <w:tc>
          <w:tcPr>
            <w:tcW w:w="40" w:type="dxa"/>
            <w:vAlign w:val="bottom"/>
          </w:tcPr>
          <w:p>
            <w:pPr>
              <w:spacing w:after="0"/>
              <w:rPr>
                <w:sz w:val="16"/>
                <w:szCs w:val="16"/>
                <w:color w:val="auto"/>
              </w:rPr>
            </w:pPr>
          </w:p>
        </w:tc>
      </w:tr>
      <w:tr>
        <w:trPr>
          <w:trHeight w:val="216"/>
        </w:trPr>
        <w:tc>
          <w:tcPr>
            <w:tcW w:w="62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18"/>
                <w:szCs w:val="18"/>
                <w:color w:val="auto"/>
              </w:rPr>
            </w:pP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r>
      <w:tr>
        <w:trPr>
          <w:trHeight w:val="432"/>
        </w:trPr>
        <w:tc>
          <w:tcPr>
            <w:tcW w:w="6280" w:type="dxa"/>
            <w:vAlign w:val="bottom"/>
          </w:tcPr>
          <w:p>
            <w:pPr>
              <w:jc w:val="right"/>
              <w:ind w:right="390"/>
              <w:spacing w:after="0"/>
              <w:rPr>
                <w:sz w:val="20"/>
                <w:szCs w:val="20"/>
                <w:color w:val="auto"/>
              </w:rPr>
            </w:pPr>
            <w:r>
              <w:rPr>
                <w:rFonts w:ascii="Arial" w:cs="Arial" w:eastAsia="Arial" w:hAnsi="Arial"/>
                <w:sz w:val="18"/>
                <w:szCs w:val="18"/>
                <w:color w:val="auto"/>
              </w:rPr>
              <w:t>19</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280" w:type="dxa"/>
            <w:vAlign w:val="bottom"/>
            <w:tcBorders>
              <w:bottom w:val="single" w:sz="8" w:color="010101"/>
            </w:tcBorders>
          </w:tcPr>
          <w:p>
            <w:pPr>
              <w:spacing w:after="0"/>
              <w:rPr>
                <w:sz w:val="11"/>
                <w:szCs w:val="11"/>
                <w:color w:val="auto"/>
              </w:rPr>
            </w:pPr>
          </w:p>
        </w:tc>
        <w:tc>
          <w:tcPr>
            <w:tcW w:w="5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Timothy E. Conver, certify that:</w:t>
      </w:r>
    </w:p>
    <w:p>
      <w:pPr>
        <w:spacing w:after="0" w:line="225" w:lineRule="exact"/>
        <w:rPr>
          <w:sz w:val="20"/>
          <w:szCs w:val="20"/>
          <w:color w:val="auto"/>
        </w:rPr>
      </w:pPr>
    </w:p>
    <w:p>
      <w:pPr>
        <w:ind w:left="340" w:hanging="329"/>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225" w:lineRule="exact"/>
        <w:rPr>
          <w:rFonts w:ascii="Arial" w:cs="Arial" w:eastAsia="Arial" w:hAnsi="Arial"/>
          <w:sz w:val="18"/>
          <w:szCs w:val="18"/>
          <w:color w:val="auto"/>
        </w:rPr>
      </w:pPr>
    </w:p>
    <w:p>
      <w:pPr>
        <w:ind w:left="340" w:right="120" w:hanging="329"/>
        <w:spacing w:after="0" w:line="34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29"/>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40" w:hanging="329"/>
        <w:spacing w:after="0" w:line="264" w:lineRule="auto"/>
        <w:tabs>
          <w:tab w:leader="none" w:pos="35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480" w:hanging="329"/>
        <w:spacing w:after="0" w:line="308" w:lineRule="auto"/>
        <w:tabs>
          <w:tab w:leader="none" w:pos="353"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5"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2010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Timothy E. Conver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Timothy E.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Jikun Kim, certify that:</w:t>
      </w:r>
    </w:p>
    <w:p>
      <w:pPr>
        <w:spacing w:after="0" w:line="225" w:lineRule="exact"/>
        <w:rPr>
          <w:sz w:val="20"/>
          <w:szCs w:val="20"/>
          <w:color w:val="auto"/>
        </w:rPr>
      </w:pPr>
    </w:p>
    <w:p>
      <w:pPr>
        <w:ind w:left="340" w:hanging="329"/>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225" w:lineRule="exact"/>
        <w:rPr>
          <w:rFonts w:ascii="Arial" w:cs="Arial" w:eastAsia="Arial" w:hAnsi="Arial"/>
          <w:sz w:val="18"/>
          <w:szCs w:val="18"/>
          <w:color w:val="auto"/>
        </w:rPr>
      </w:pPr>
    </w:p>
    <w:p>
      <w:pPr>
        <w:ind w:left="340" w:right="120" w:hanging="329"/>
        <w:spacing w:after="0" w:line="34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29"/>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29"/>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29"/>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5"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2010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Jikun Kim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29"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81"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The Quarterly Report on Form 10-Q for the quarter ended July 31, 2010 (the “Periodic Report”) of the Company fully complies with the requirements of Section 13(a) of the Securities Exchange Act of 1934 (15 U.S.C. 78m or 78o(d)) and information contained in the Periodic Report fairly presents, in all material respects, the financial condition and results of operations of the Company.</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Timothy E. Conver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Timothy E.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Chief Executive Officer and President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Jikun Kim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8, 2010</w:t>
      </w:r>
    </w:p>
    <w:p>
      <w:pPr>
        <w:spacing w:after="0" w:line="225"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4"/>
    </w:lvl>
  </w:abstractNum>
  <w:abstractNum w:abstractNumId="5">
    <w:nsid w:val="79E2A9E3"/>
    <w:multiLevelType w:val="hybridMultilevel"/>
    <w:lvl w:ilvl="0">
      <w:lvlJc w:val="left"/>
      <w:lvlText w:val="%1"/>
      <w:numFmt w:val="decimal"/>
      <w:start w:val="1"/>
    </w:lvl>
    <w:lvl w:ilvl="1">
      <w:lvlJc w:val="left"/>
      <w:lvlText w:val="%2"/>
      <w:numFmt w:val="decimal"/>
      <w:start w:val="32"/>
    </w:lvl>
  </w:abstractNum>
  <w:abstractNum w:abstractNumId="6">
    <w:nsid w:val="7545E146"/>
    <w:multiLevelType w:val="hybridMultilevel"/>
    <w:lvl w:ilvl="0">
      <w:lvlJc w:val="left"/>
      <w:lvlText w:val="(%1)"/>
      <w:numFmt w:val="decimal"/>
      <w:start w:val="1"/>
    </w:lvl>
    <w:lvl w:ilvl="1">
      <w:lvlJc w:val="left"/>
      <w:lvlText w:val="%2"/>
      <w:numFmt w:val="decimal"/>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2019-12-11T03:50:58Z</dcterms:created>
  <dcterms:modified xsi:type="dcterms:W3CDTF">2019-12-11T03:50:58Z</dcterms:modified>
</cp:coreProperties>
</file>