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8-K/A</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(Amendment No. 1)</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December 9, 2025</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549" w:right="299" w:bottom="1440" w:gutter="0" w:footer="0" w:header="0"/>
        </w:sectPr>
      </w:pPr>
    </w:p>
    <w:p>
      <w:pPr>
        <w:spacing w:after="0" w:line="13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2"/>
          <w:szCs w:val="12"/>
          <w:b w:val="1"/>
          <w:bCs w:val="1"/>
          <w:color w:val="auto"/>
        </w:rPr>
        <w:t>001-33261</w:t>
      </w:r>
    </w:p>
    <w:p>
      <w:pPr>
        <w:spacing w:after="0" w:line="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2"/>
          <w:szCs w:val="12"/>
          <w:b w:val="1"/>
          <w:bCs w:val="1"/>
          <w:color w:val="auto"/>
        </w:rPr>
        <w:t>95-2705790</w:t>
      </w:r>
    </w:p>
    <w:p>
      <w:pPr>
        <w:spacing w:after="0" w:line="2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7" w:lineRule="exact"/>
        <w:rPr>
          <w:sz w:val="24"/>
          <w:szCs w:val="24"/>
          <w:color w:val="auto"/>
        </w:rPr>
      </w:pPr>
    </w:p>
    <w:p>
      <w:pPr>
        <w:sectPr>
          <w:pgSz w:w="11900" w:h="16838" w:orient="portrait"/>
          <w:cols w:equalWidth="0" w:num="3">
            <w:col w:w="4280" w:space="720"/>
            <w:col w:w="2900" w:space="720"/>
            <w:col w:w="2680"/>
          </w:cols>
          <w:pgMar w:left="300" w:top="549" w:right="29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1"/>
          <w:szCs w:val="11"/>
          <w:color w:val="auto"/>
        </w:rPr>
        <w:t>incorporation or organization)</w:t>
      </w:r>
    </w:p>
    <w:p>
      <w:pPr>
        <w:sectPr>
          <w:pgSz w:w="11900" w:h="16838" w:orient="portrait"/>
          <w:cols w:equalWidth="0" w:num="1">
            <w:col w:w="11300"/>
          </w:cols>
          <w:pgMar w:left="300" w:top="549" w:right="299" w:bottom="1440" w:gutter="0" w:footer="0" w:header="0"/>
          <w:type w:val="continuous"/>
        </w:sectPr>
      </w:pPr>
    </w:p>
    <w:p>
      <w:pPr>
        <w:spacing w:after="0" w:line="14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2"/>
          <w:szCs w:val="12"/>
          <w:b w:val="1"/>
          <w:bCs w:val="1"/>
          <w:color w:val="auto"/>
        </w:rPr>
        <w:t>241 18th Street South, Suite 650</w:t>
      </w:r>
    </w:p>
    <w:p>
      <w:pPr>
        <w:spacing w:after="0" w:line="2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2"/>
          <w:szCs w:val="12"/>
          <w:b w:val="1"/>
          <w:bCs w:val="1"/>
          <w:color w:val="auto"/>
        </w:rPr>
        <w:t>Arlington, Virginia</w:t>
      </w:r>
    </w:p>
    <w:p>
      <w:pPr>
        <w:spacing w:after="0" w:line="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22202</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0" w:space="720"/>
            <w:col w:w="3040"/>
          </w:cols>
          <w:pgMar w:left="300" w:top="549"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(805) 520-8350</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2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Written communications pursuant to Rule 425 under the Securities Act (17 CFR 230.425)</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Soliciting material pursuant to Rule 14a-12 under the Exchange Act (17 CFR 240.14a-12)</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14d-2(b) under the Exchange Act (17 CFR 240.14d-2(b))</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98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Common Stock, $0.0001 par value</w:t>
            </w:r>
          </w:p>
        </w:tc>
        <w:tc>
          <w:tcPr>
            <w:tcW w:w="33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6"/>
              </w:rPr>
              <w:t>AVAV</w:t>
            </w:r>
          </w:p>
        </w:tc>
        <w:tc>
          <w:tcPr>
            <w:tcW w:w="3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33"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49" w:right="2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color w:val="auto"/>
        </w:rPr>
        <w:t>Explanatory Note</w:t>
      </w:r>
    </w:p>
    <w:p>
      <w:pPr>
        <w:spacing w:after="0" w:line="150" w:lineRule="exact"/>
        <w:rPr>
          <w:sz w:val="20"/>
          <w:szCs w:val="20"/>
          <w:color w:val="auto"/>
        </w:rPr>
      </w:pPr>
    </w:p>
    <w:p>
      <w:pPr>
        <w:jc w:val="both"/>
        <w:ind w:right="180" w:firstLine="432"/>
        <w:spacing w:after="0" w:line="265" w:lineRule="auto"/>
        <w:rPr>
          <w:sz w:val="20"/>
          <w:szCs w:val="20"/>
          <w:color w:val="auto"/>
        </w:rPr>
      </w:pPr>
      <w:r>
        <w:rPr>
          <w:rFonts w:ascii="Times New Roman" w:cs="Times New Roman" w:eastAsia="Times New Roman" w:hAnsi="Times New Roman"/>
          <w:sz w:val="12"/>
          <w:szCs w:val="12"/>
          <w:color w:val="auto"/>
        </w:rPr>
        <w:t>On December 9, 2025, AeroVironment, Inc. (the “Company”) furnished a Current Report on Form 8-K (the “Original Report”) to the Securities and Exchange Commission (the “SEC”) announcing its financial results for its second quarter ended November 1, 2025, which Original Report included a “presentation regarding AeroVironment Inc’s second quarter fiscal 2026 financial results dated December 9, 2025” (the “Original Presentation”) as Exhibit 99.2.</w:t>
      </w:r>
    </w:p>
    <w:p>
      <w:pPr>
        <w:spacing w:after="0" w:line="11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2"/>
          <w:szCs w:val="12"/>
          <w:color w:val="auto"/>
        </w:rPr>
        <w:t>This Current Report on Form 8-K/A amends the Original Report to (i) furnish a revised version of the Original Presentation (the “Revised Presentation”) to correct the reported amount of unfunded backlog in the Original Presentation and to include a slide with the Revised Presentation to detail the change in unfunded backlog from the end of the Company’s first fiscal quarter ended August 2, 2025 to the end of its second fiscal quarter ended November 1, 2025, and (ii) for ease of reference, to provide an updated statement regarding the Company’s unfunded backlog under Item 8.01. Total unfunded backlog as of November 1, 2025, as disclosed on slides 3, 4 and 17 of the Original Presentation and on page 39 of the Company’s Quarterly Report on 10-Q filed December 10, 2025 (“Q2 10-Q”), was $3.0 billion, rather than $2.8 billion as previously reported in the Original Presentation and Q2 10-Q. Other than correcting this error, including the clarifying disclosure in Item 8.01, and including the additional slide in the Revised Presentation, all other information included in the Original Report is unchanged. The Revised Presentation is furnished with this Amendment as Exhibit 99.2 hereto.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December 9, 2025, AeroVironment, Inc. (the “Company”) issued a press release announcing second quarter results for the period ended November 1, 2025, a copy of which is attached hereto as Exhibit 99.1.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under Item 2.02 above is incorporated herein by reference.</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Attached as Exhibit 99.2 hereto is a presentation containing additional information regarding the Company’s second quarter fiscal 2026 financial results for the period ended November 1, 2025. A copy of the presentation is also available on the investor relations section of the Company’s website at https://investor.avinc.com/events-and-presentations. The information contained on the Company’s website is not incorporated by reference into, and does not form a part of, this Current Report on Form 8-K.</w:t>
      </w:r>
    </w:p>
    <w:p>
      <w:pPr>
        <w:spacing w:after="0" w:line="11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 addition to historic information, this report, including the exhibits, contains forward-looking statements regarding events, performance and financial trends. Various factors could affect future results and could cause actual results to differ materially from those expressed in or implied by the forward-looking statements. Some of those factors are identified in the exhibits, and in our periodic reports filed with the Securities and Exchange Commission.</w:t>
      </w:r>
    </w:p>
    <w:p>
      <w:pPr>
        <w:spacing w:after="0" w:line="11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information in Items 2.02 and 7.01 of this Current Report on Form 8-K, including exhibits 99.1 and 99.2, is furnished pursuant to Items 2.02 and 7.01 and shall not be deemed “filed” for purposes of Section 18 of the Securities Exchange Act of 1934, as amended (the “Exchange Act”), or otherwise subject to the liabilities of that section, nor shall it be deemed incorporated by reference in any filing of AeroVironment, Inc. under the Securities Act of 1933, as amended, or the Exchange Act, whether made before or after the date hereof, except as shall be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filing under Section 18 of the Exchange Act, the Company’s unfunded backlog of $3.0 billion as of November 1, 2025 is set forth under this Item 8.01.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w:t>
            </w:r>
          </w:p>
        </w:tc>
        <w:tc>
          <w:tcPr>
            <w:tcW w:w="1070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Exhibits.</w:t>
            </w:r>
          </w:p>
        </w:tc>
      </w:tr>
      <w:tr>
        <w:trPr>
          <w:trHeight w:val="273"/>
        </w:trPr>
        <w:tc>
          <w:tcPr>
            <w:tcW w:w="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59"/>
        </w:trPr>
        <w:tc>
          <w:tcPr>
            <w:tcW w:w="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7760" w:type="dxa"/>
            <w:vAlign w:val="bottom"/>
            <w:tcBorders>
              <w:bottom w:val="single" w:sz="8" w:color="auto"/>
            </w:tcBorders>
            <w:gridSpan w:val="3"/>
          </w:tcPr>
          <w:p>
            <w:pPr>
              <w:ind w:left="23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340" w:type="dxa"/>
            <w:vAlign w:val="bottom"/>
          </w:tcPr>
          <w:p>
            <w:pPr>
              <w:spacing w:after="0"/>
              <w:rPr>
                <w:sz w:val="9"/>
                <w:szCs w:val="9"/>
                <w:color w:val="auto"/>
              </w:rPr>
            </w:pPr>
          </w:p>
        </w:tc>
        <w:tc>
          <w:tcPr>
            <w:tcW w:w="220" w:type="dxa"/>
            <w:vAlign w:val="bottom"/>
            <w:tcBorders>
              <w:bottom w:val="single" w:sz="8" w:color="0000EE"/>
            </w:tcBorders>
          </w:tcPr>
          <w:p>
            <w:pPr>
              <w:jc w:val="center"/>
              <w:spacing w:after="0" w:line="106"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hyperlink>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40" w:type="dxa"/>
            <w:vAlign w:val="bottom"/>
            <w:tcBorders>
              <w:bottom w:val="single" w:sz="8" w:color="0000EE"/>
            </w:tcBorders>
            <w:gridSpan w:val="3"/>
          </w:tcPr>
          <w:p>
            <w:pPr>
              <w:spacing w:after="0" w:line="106" w:lineRule="exact"/>
              <w:rPr>
                <w:rFonts w:ascii="Times New Roman" w:cs="Times New Roman" w:eastAsia="Times New Roman" w:hAnsi="Times New Roman"/>
                <w:sz w:val="12"/>
                <w:szCs w:val="12"/>
                <w:color w:val="0000EE"/>
                <w:w w:val="99"/>
              </w:rPr>
            </w:pPr>
            <w:hyperlink r:id="rId14">
              <w:r>
                <w:rPr>
                  <w:rFonts w:ascii="Times New Roman" w:cs="Times New Roman" w:eastAsia="Times New Roman" w:hAnsi="Times New Roman"/>
                  <w:sz w:val="12"/>
                  <w:szCs w:val="12"/>
                  <w:color w:val="0000EE"/>
                  <w:w w:val="99"/>
                </w:rPr>
                <w:t>Press release issued by AeroVironment, Inc., dated December 9, 2025 (incorporated by reference herein to Exhibit 99.1 furnished with the Company’s Current Report on Form 8-K furnished with the Securities</w:t>
              </w:r>
            </w:hyperlink>
          </w:p>
        </w:tc>
        <w:tc>
          <w:tcPr>
            <w:tcW w:w="140" w:type="dxa"/>
            <w:vAlign w:val="bottom"/>
          </w:tcPr>
          <w:p>
            <w:pPr>
              <w:spacing w:after="0"/>
              <w:rPr>
                <w:sz w:val="9"/>
                <w:szCs w:val="9"/>
                <w:color w:val="auto"/>
              </w:rPr>
            </w:pPr>
          </w:p>
        </w:tc>
      </w:tr>
      <w:tr>
        <w:trPr>
          <w:trHeight w:val="124"/>
        </w:trPr>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180" w:type="dxa"/>
            <w:vAlign w:val="bottom"/>
            <w:gridSpan w:val="4"/>
          </w:tcPr>
          <w:p>
            <w:pPr>
              <w:spacing w:after="0" w:line="12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and Exchange Commission on December 9, 2025)</w:t>
              </w:r>
            </w:hyperlink>
          </w:p>
        </w:tc>
      </w:tr>
      <w:tr>
        <w:trPr>
          <w:trHeight w:val="20"/>
        </w:trPr>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124"/>
        </w:trPr>
        <w:tc>
          <w:tcPr>
            <w:tcW w:w="340" w:type="dxa"/>
            <w:vAlign w:val="bottom"/>
          </w:tcPr>
          <w:p>
            <w:pPr>
              <w:spacing w:after="0"/>
              <w:rPr>
                <w:sz w:val="10"/>
                <w:szCs w:val="10"/>
                <w:color w:val="auto"/>
              </w:rPr>
            </w:pPr>
          </w:p>
        </w:tc>
        <w:tc>
          <w:tcPr>
            <w:tcW w:w="220" w:type="dxa"/>
            <w:vAlign w:val="bottom"/>
            <w:tcBorders>
              <w:bottom w:val="single" w:sz="8" w:color="0000EE"/>
            </w:tcBorders>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1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Presentation regarding AeroVironment, Inc.’s second quarter fiscal 2026 financial results dated December 9, 2025 (as revised).</w:t>
            </w:r>
          </w:p>
        </w:tc>
        <w:tc>
          <w:tcPr>
            <w:tcW w:w="4080" w:type="dxa"/>
            <w:vAlign w:val="bottom"/>
            <w:gridSpan w:val="2"/>
          </w:tcPr>
          <w:p>
            <w:pPr>
              <w:spacing w:after="0"/>
              <w:rPr>
                <w:sz w:val="10"/>
                <w:szCs w:val="10"/>
                <w:color w:val="auto"/>
              </w:rPr>
            </w:pPr>
          </w:p>
        </w:tc>
      </w:tr>
      <w:tr>
        <w:trPr>
          <w:trHeight w:val="151"/>
        </w:trPr>
        <w:tc>
          <w:tcPr>
            <w:tcW w:w="56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9"/>
              </w:rPr>
              <w:t>104</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32"/>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4"/>
          </w:tcPr>
          <w:p>
            <w:pPr>
              <w:jc w:val="right"/>
              <w:ind w:right="1480"/>
              <w:spacing w:after="0"/>
              <w:rPr>
                <w:sz w:val="20"/>
                <w:szCs w:val="20"/>
                <w:color w:val="auto"/>
              </w:rPr>
            </w:pPr>
            <w:r>
              <w:rPr>
                <w:rFonts w:ascii="Times New Roman" w:cs="Times New Roman" w:eastAsia="Times New Roman" w:hAnsi="Times New Roman"/>
                <w:sz w:val="12"/>
                <w:szCs w:val="12"/>
                <w:color w:val="auto"/>
              </w:rPr>
              <w:t>3</w:t>
            </w:r>
          </w:p>
        </w:tc>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78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AEROVIRONMENT,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Date: December 10, 2025</w:t>
            </w:r>
          </w:p>
        </w:tc>
        <w:tc>
          <w:tcPr>
            <w:tcW w:w="78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By:   /s/ Kevin McDonnell</w:t>
            </w:r>
          </w:p>
        </w:tc>
      </w:tr>
      <w:tr>
        <w:trPr>
          <w:trHeight w:val="122"/>
        </w:trPr>
        <w:tc>
          <w:tcPr>
            <w:tcW w:w="3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Kevin McDonnell</w:t>
            </w:r>
          </w:p>
        </w:tc>
      </w:tr>
      <w:tr>
        <w:trPr>
          <w:trHeight w:val="155"/>
        </w:trPr>
        <w:tc>
          <w:tcPr>
            <w:tcW w:w="3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r>
        <w:trPr>
          <w:trHeight w:val="432"/>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4</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2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4" Type="http://schemas.openxmlformats.org/officeDocument/2006/relationships/hyperlink" Target="https://www.sec.gov/Archives/edgar/data/1368622/000110465925119660/avav-20251209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2025-12-10T16:54:22Z</dcterms:created>
  <dcterms:modified xsi:type="dcterms:W3CDTF">2025-12-10T16:54:22Z</dcterms:modified>
</cp:coreProperties>
</file>