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July 30, 2022</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5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160655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45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89"/>
              </w:rPr>
              <w:t>241 18</w:t>
            </w:r>
            <w:r>
              <w:rPr>
                <w:rFonts w:ascii="Arial" w:cs="Arial" w:eastAsia="Arial" w:hAnsi="Arial"/>
                <w:sz w:val="21"/>
                <w:szCs w:val="21"/>
                <w:b w:val="1"/>
                <w:bCs w:val="1"/>
                <w:color w:val="auto"/>
                <w:w w:val="89"/>
                <w:vertAlign w:val="superscript"/>
              </w:rPr>
              <w:t>th</w:t>
            </w:r>
            <w:r>
              <w:rPr>
                <w:rFonts w:ascii="Arial" w:cs="Arial" w:eastAsia="Arial" w:hAnsi="Arial"/>
                <w:sz w:val="14"/>
                <w:szCs w:val="14"/>
                <w:b w:val="1"/>
                <w:bCs w:val="1"/>
                <w:color w:val="auto"/>
                <w:w w:val="89"/>
              </w:rPr>
              <w:t xml:space="preserve"> Street, Suite 415</w:t>
            </w:r>
          </w:p>
        </w:tc>
        <w:tc>
          <w:tcPr>
            <w:tcW w:w="3240" w:type="dxa"/>
            <w:vAlign w:val="bottom"/>
          </w:tcPr>
          <w:p>
            <w:pPr>
              <w:spacing w:after="0"/>
              <w:rPr>
                <w:sz w:val="24"/>
                <w:szCs w:val="24"/>
                <w:color w:val="auto"/>
              </w:rPr>
            </w:pPr>
          </w:p>
        </w:tc>
      </w:tr>
      <w:tr>
        <w:trPr>
          <w:trHeight w:val="16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Arlington, Virginia</w:t>
            </w:r>
          </w:p>
        </w:tc>
        <w:tc>
          <w:tcPr>
            <w:tcW w:w="3240" w:type="dxa"/>
            <w:vAlign w:val="bottom"/>
          </w:tcPr>
          <w:p>
            <w:pPr>
              <w:jc w:val="right"/>
              <w:ind w:right="788"/>
              <w:spacing w:after="0"/>
              <w:rPr>
                <w:sz w:val="20"/>
                <w:szCs w:val="20"/>
                <w:color w:val="auto"/>
              </w:rPr>
            </w:pPr>
            <w:r>
              <w:rPr>
                <w:rFonts w:ascii="Arial" w:cs="Arial" w:eastAsia="Arial" w:hAnsi="Arial"/>
                <w:sz w:val="14"/>
                <w:szCs w:val="14"/>
                <w:b w:val="1"/>
                <w:bCs w:val="1"/>
                <w:color w:val="auto"/>
              </w:rPr>
              <w:t>22202</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jc w:val="center"/>
              <w:ind w:left="242"/>
              <w:spacing w:after="0"/>
              <w:rPr>
                <w:sz w:val="20"/>
                <w:szCs w:val="20"/>
                <w:color w:val="auto"/>
              </w:rPr>
            </w:pPr>
            <w:r>
              <w:rPr>
                <w:rFonts w:ascii="Arial" w:cs="Arial" w:eastAsia="Arial" w:hAnsi="Arial"/>
                <w:sz w:val="11"/>
                <w:szCs w:val="11"/>
                <w:b w:val="1"/>
                <w:bCs w:val="1"/>
                <w:color w:val="auto"/>
                <w:w w:val="89"/>
              </w:rPr>
              <w:t>Trading Symbol(s)</w:t>
            </w:r>
          </w:p>
        </w:tc>
        <w:tc>
          <w:tcPr>
            <w:tcW w:w="3560" w:type="dxa"/>
            <w:vAlign w:val="bottom"/>
          </w:tcPr>
          <w:p>
            <w:pPr>
              <w:jc w:val="center"/>
              <w:ind w:left="22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8"/>
              </w:rPr>
              <w:t>AVAV</w:t>
            </w:r>
          </w:p>
        </w:tc>
        <w:tc>
          <w:tcPr>
            <w:tcW w:w="35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3"/>
              </w:rPr>
              <w:t>The NASDAQ Stock Market LLC</w:t>
            </w:r>
          </w:p>
        </w:tc>
      </w:tr>
    </w:tbl>
    <w:p>
      <w:pPr>
        <w:spacing w:after="0" w:line="168" w:lineRule="exact"/>
        <w:rPr>
          <w:sz w:val="24"/>
          <w:szCs w:val="24"/>
          <w:color w:val="auto"/>
        </w:rPr>
      </w:pPr>
    </w:p>
    <w:p>
      <w:pPr>
        <w:jc w:val="both"/>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2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ind w:left="17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200" w:space="720"/>
            <w:col w:w="3000"/>
          </w:cols>
          <w:pgMar w:left="980" w:top="665" w:right="999" w:bottom="1440" w:gutter="0" w:footer="0" w:header="0"/>
          <w:type w:val="continuous"/>
        </w:sectPr>
      </w:pPr>
    </w:p>
    <w:p>
      <w:pPr>
        <w:ind w:lef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900" w:space="720"/>
            <w:col w:w="3300"/>
          </w:cols>
          <w:pgMar w:left="980" w:top="665" w:right="999" w:bottom="1440" w:gutter="0" w:footer="0" w:header="0"/>
          <w:type w:val="continuous"/>
        </w:sectPr>
      </w:pPr>
    </w:p>
    <w:p>
      <w:pPr>
        <w:ind w:left="6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ind w:right="1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August 31, 2022, the number of shares outstanding of the registrant’s common stock, $0.0001 par value, was 24,989,101.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441325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40" w:type="dxa"/>
            <w:vAlign w:val="bottom"/>
            <w:gridSpan w:val="12"/>
          </w:tcPr>
          <w:p>
            <w:pPr>
              <w:jc w:val="center"/>
              <w:ind w:right="2780"/>
              <w:spacing w:after="0"/>
              <w:rPr>
                <w:sz w:val="20"/>
                <w:szCs w:val="20"/>
                <w:color w:val="auto"/>
              </w:rPr>
            </w:pPr>
            <w:r>
              <w:rPr>
                <w:rFonts w:ascii="Arial" w:cs="Arial" w:eastAsia="Arial" w:hAnsi="Arial"/>
                <w:sz w:val="18"/>
                <w:szCs w:val="18"/>
                <w:b w:val="1"/>
                <w:bCs w:val="1"/>
                <w:color w:val="auto"/>
                <w:w w:val="93"/>
              </w:rPr>
              <w:t>AeroVironment, Inc.</w:t>
            </w:r>
          </w:p>
        </w:tc>
        <w:tc>
          <w:tcPr>
            <w:tcW w:w="50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12"/>
          </w:tcPr>
          <w:p>
            <w:pPr>
              <w:jc w:val="center"/>
              <w:ind w:right="2780"/>
              <w:spacing w:after="0"/>
              <w:rPr>
                <w:sz w:val="20"/>
                <w:szCs w:val="20"/>
                <w:color w:val="auto"/>
              </w:rPr>
            </w:pPr>
            <w:r>
              <w:rPr>
                <w:rFonts w:ascii="Arial" w:cs="Arial" w:eastAsia="Arial" w:hAnsi="Arial"/>
                <w:sz w:val="18"/>
                <w:szCs w:val="18"/>
                <w:b w:val="1"/>
                <w:bCs w:val="1"/>
                <w:color w:val="auto"/>
                <w:w w:val="89"/>
              </w:rPr>
              <w:t>Table of Contents</w:t>
            </w:r>
          </w:p>
        </w:tc>
        <w:tc>
          <w:tcPr>
            <w:tcW w:w="500" w:type="dxa"/>
            <w:vAlign w:val="bottom"/>
          </w:tcPr>
          <w:p>
            <w:pPr>
              <w:spacing w:after="0"/>
              <w:rPr>
                <w:sz w:val="24"/>
                <w:szCs w:val="24"/>
                <w:color w:val="auto"/>
              </w:rPr>
            </w:pPr>
          </w:p>
        </w:tc>
      </w:tr>
      <w:tr>
        <w:trPr>
          <w:trHeight w:val="405"/>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440" w:type="dxa"/>
            <w:vAlign w:val="bottom"/>
            <w:gridSpan w:val="3"/>
          </w:tcPr>
          <w:p>
            <w:pPr>
              <w:spacing w:after="0"/>
              <w:rPr>
                <w:sz w:val="24"/>
                <w:szCs w:val="24"/>
                <w:color w:val="auto"/>
              </w:rPr>
            </w:pPr>
          </w:p>
        </w:tc>
        <w:tc>
          <w:tcPr>
            <w:tcW w:w="7460" w:type="dxa"/>
            <w:vAlign w:val="bottom"/>
            <w:gridSpan w:val="21"/>
          </w:tcPr>
          <w:p>
            <w:pPr>
              <w:spacing w:after="0"/>
              <w:rPr>
                <w:sz w:val="20"/>
                <w:szCs w:val="20"/>
                <w:color w:val="auto"/>
              </w:rPr>
            </w:pPr>
            <w:r>
              <w:rPr>
                <w:rFonts w:ascii="Arial" w:cs="Arial" w:eastAsia="Arial" w:hAnsi="Arial"/>
                <w:sz w:val="18"/>
                <w:szCs w:val="18"/>
                <w:color w:val="0000EE"/>
              </w:rPr>
              <w:t>Financial Statements</w:t>
            </w:r>
            <w:r>
              <w:rPr>
                <w:rFonts w:ascii="Arial" w:cs="Arial" w:eastAsia="Arial" w:hAnsi="Arial"/>
                <w:sz w:val="18"/>
                <w:szCs w:val="18"/>
                <w:color w:val="000000"/>
              </w:rPr>
              <w:t>:</w:t>
            </w:r>
          </w:p>
        </w:tc>
        <w:tc>
          <w:tcPr>
            <w:tcW w:w="5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Condensed Consolidated Balance Sheets as of July 30, 2022 (Unaudited) and April 30, 2022</w:t>
            </w:r>
          </w:p>
        </w:tc>
        <w:tc>
          <w:tcPr>
            <w:tcW w:w="620" w:type="dxa"/>
            <w:vAlign w:val="bottom"/>
            <w:gridSpan w:val="4"/>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80" w:type="dxa"/>
            <w:vAlign w:val="bottom"/>
            <w:gridSpan w:val="20"/>
          </w:tcPr>
          <w:p>
            <w:pPr>
              <w:spacing w:after="0"/>
              <w:rPr>
                <w:sz w:val="20"/>
                <w:szCs w:val="20"/>
                <w:color w:val="auto"/>
              </w:rPr>
            </w:pPr>
            <w:r>
              <w:rPr>
                <w:rFonts w:ascii="Arial" w:cs="Arial" w:eastAsia="Arial" w:hAnsi="Arial"/>
                <w:sz w:val="18"/>
                <w:szCs w:val="18"/>
                <w:color w:val="0000EE"/>
                <w:w w:val="97"/>
              </w:rPr>
              <w:t>Condensed Consolidated Statements of Operations for the three months ended July 30, 2022</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4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(Unaudited) and July 31, 2021 (Unaudited)</w:t>
            </w:r>
          </w:p>
        </w:tc>
        <w:tc>
          <w:tcPr>
            <w:tcW w:w="640" w:type="dxa"/>
            <w:vAlign w:val="bottom"/>
            <w:gridSpan w:val="5"/>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80" w:type="dxa"/>
            <w:vAlign w:val="bottom"/>
            <w:gridSpan w:val="20"/>
          </w:tcPr>
          <w:p>
            <w:pPr>
              <w:spacing w:after="0"/>
              <w:rPr>
                <w:sz w:val="20"/>
                <w:szCs w:val="20"/>
                <w:color w:val="auto"/>
              </w:rPr>
            </w:pPr>
            <w:r>
              <w:rPr>
                <w:rFonts w:ascii="Arial" w:cs="Arial" w:eastAsia="Arial" w:hAnsi="Arial"/>
                <w:sz w:val="18"/>
                <w:szCs w:val="18"/>
                <w:color w:val="0000EE"/>
                <w:w w:val="93"/>
              </w:rPr>
              <w:t>Condensed Consolidated Statements of Comprehensive Loss for the three months ended July 30,</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7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2022 (Unaudited) and July 31, 2021 (Unaudited)</w:t>
            </w:r>
          </w:p>
        </w:tc>
        <w:tc>
          <w:tcPr>
            <w:tcW w:w="32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Condensed Consolidated Statements of Stockholders’ Equity for the three months ended July 30,</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00" w:type="dxa"/>
            <w:vAlign w:val="bottom"/>
            <w:gridSpan w:val="19"/>
          </w:tcPr>
          <w:p>
            <w:pPr>
              <w:spacing w:after="0"/>
              <w:rPr>
                <w:sz w:val="20"/>
                <w:szCs w:val="20"/>
                <w:color w:val="auto"/>
              </w:rPr>
            </w:pPr>
            <w:r>
              <w:rPr>
                <w:rFonts w:ascii="Arial" w:cs="Arial" w:eastAsia="Arial" w:hAnsi="Arial"/>
                <w:sz w:val="18"/>
                <w:szCs w:val="18"/>
                <w:color w:val="0000EE"/>
              </w:rPr>
              <w:t>2022 (Unaudited) and July 31, 2021 (Unaudited)</w:t>
            </w:r>
          </w:p>
        </w:tc>
        <w:tc>
          <w:tcPr>
            <w:tcW w:w="5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80" w:type="dxa"/>
            <w:vAlign w:val="bottom"/>
            <w:gridSpan w:val="20"/>
          </w:tcPr>
          <w:p>
            <w:pPr>
              <w:spacing w:after="0"/>
              <w:rPr>
                <w:sz w:val="20"/>
                <w:szCs w:val="20"/>
                <w:color w:val="auto"/>
              </w:rPr>
            </w:pPr>
            <w:r>
              <w:rPr>
                <w:rFonts w:ascii="Arial" w:cs="Arial" w:eastAsia="Arial" w:hAnsi="Arial"/>
                <w:sz w:val="18"/>
                <w:szCs w:val="18"/>
                <w:color w:val="0000EE"/>
                <w:w w:val="96"/>
              </w:rPr>
              <w:t>Condensed Consolidated Statements of Cash Flows for the three months ended July 30, 2022</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52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(Unaudited) and July 31, 2021 (Unaudited)</w:t>
            </w:r>
          </w:p>
        </w:tc>
        <w:tc>
          <w:tcPr>
            <w:tcW w:w="580" w:type="dxa"/>
            <w:vAlign w:val="bottom"/>
            <w:gridSpan w:val="3"/>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60" w:type="dxa"/>
            <w:vAlign w:val="bottom"/>
            <w:gridSpan w:val="21"/>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000" w:type="dxa"/>
            <w:vAlign w:val="bottom"/>
            <w:gridSpan w:val="6"/>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3100" w:type="dxa"/>
            <w:vAlign w:val="bottom"/>
            <w:gridSpan w:val="8"/>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440" w:type="dxa"/>
            <w:vAlign w:val="bottom"/>
            <w:gridSpan w:val="3"/>
          </w:tcPr>
          <w:p>
            <w:pPr>
              <w:spacing w:after="0"/>
              <w:rPr>
                <w:sz w:val="19"/>
                <w:szCs w:val="19"/>
                <w:color w:val="auto"/>
              </w:rPr>
            </w:pPr>
          </w:p>
        </w:tc>
        <w:tc>
          <w:tcPr>
            <w:tcW w:w="7460" w:type="dxa"/>
            <w:vAlign w:val="bottom"/>
            <w:gridSpan w:val="21"/>
          </w:tcPr>
          <w:p>
            <w:pPr>
              <w:spacing w:after="0"/>
              <w:rPr>
                <w:sz w:val="20"/>
                <w:szCs w:val="20"/>
                <w:color w:val="auto"/>
              </w:rPr>
            </w:pPr>
            <w:r>
              <w:rPr>
                <w:rFonts w:ascii="Arial" w:cs="Arial" w:eastAsia="Arial" w:hAnsi="Arial"/>
                <w:sz w:val="18"/>
                <w:szCs w:val="18"/>
                <w:color w:val="0000EE"/>
              </w:rPr>
              <w:t>Controls and Procedures</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rPr>
              <w:t>PART II. OTHER INFORMATION</w:t>
            </w:r>
          </w:p>
        </w:tc>
        <w:tc>
          <w:tcPr>
            <w:tcW w:w="564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440" w:type="dxa"/>
            <w:vAlign w:val="bottom"/>
            <w:gridSpan w:val="3"/>
          </w:tcPr>
          <w:p>
            <w:pPr>
              <w:spacing w:after="0"/>
              <w:rPr>
                <w:sz w:val="24"/>
                <w:szCs w:val="24"/>
                <w:color w:val="auto"/>
              </w:rPr>
            </w:pPr>
          </w:p>
        </w:tc>
        <w:tc>
          <w:tcPr>
            <w:tcW w:w="746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Arial" w:cs="Arial" w:eastAsia="Arial" w:hAnsi="Arial"/>
                <w:sz w:val="18"/>
                <w:szCs w:val="18"/>
                <w:color w:val="0000EE"/>
              </w:rPr>
              <w:t>Item 1A.</w:t>
            </w:r>
          </w:p>
        </w:tc>
        <w:tc>
          <w:tcPr>
            <w:tcW w:w="746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46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3"/>
          </w:tcPr>
          <w:p>
            <w:pPr>
              <w:spacing w:after="0"/>
              <w:rPr>
                <w:sz w:val="19"/>
                <w:szCs w:val="19"/>
                <w:color w:val="auto"/>
              </w:rPr>
            </w:pPr>
          </w:p>
        </w:tc>
        <w:tc>
          <w:tcPr>
            <w:tcW w:w="3120" w:type="dxa"/>
            <w:vAlign w:val="bottom"/>
            <w:gridSpan w:val="9"/>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440" w:type="dxa"/>
            <w:vAlign w:val="bottom"/>
            <w:gridSpan w:val="3"/>
          </w:tcPr>
          <w:p>
            <w:pPr>
              <w:spacing w:after="0"/>
              <w:rPr>
                <w:sz w:val="19"/>
                <w:szCs w:val="19"/>
                <w:color w:val="auto"/>
              </w:rPr>
            </w:pPr>
          </w:p>
        </w:tc>
        <w:tc>
          <w:tcPr>
            <w:tcW w:w="7460" w:type="dxa"/>
            <w:vAlign w:val="bottom"/>
            <w:gridSpan w:val="21"/>
          </w:tcPr>
          <w:p>
            <w:pPr>
              <w:spacing w:after="0"/>
              <w:rPr>
                <w:sz w:val="20"/>
                <w:szCs w:val="20"/>
                <w:color w:val="auto"/>
              </w:rPr>
            </w:pPr>
            <w:r>
              <w:rPr>
                <w:rFonts w:ascii="Arial" w:cs="Arial" w:eastAsia="Arial" w:hAnsi="Arial"/>
                <w:sz w:val="18"/>
                <w:szCs w:val="18"/>
                <w:color w:val="0000EE"/>
              </w:rPr>
              <w:t>Mine Safety Disclosures</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5.</w:t>
            </w:r>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5700" w:type="dxa"/>
            <w:vAlign w:val="bottom"/>
            <w:gridSpan w:val="14"/>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gridSpan w:val="2"/>
          </w:tcPr>
          <w:p>
            <w:pPr>
              <w:spacing w:after="0"/>
              <w:rPr>
                <w:sz w:val="19"/>
                <w:szCs w:val="19"/>
                <w:color w:val="auto"/>
              </w:rPr>
            </w:pPr>
          </w:p>
        </w:tc>
        <w:tc>
          <w:tcPr>
            <w:tcW w:w="6140" w:type="dxa"/>
            <w:vAlign w:val="bottom"/>
            <w:gridSpan w:val="16"/>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960" w:type="dxa"/>
            <w:vAlign w:val="bottom"/>
            <w:gridSpan w:val="4"/>
          </w:tcPr>
          <w:p>
            <w:pPr>
              <w:spacing w:after="0"/>
              <w:rPr>
                <w:sz w:val="20"/>
                <w:szCs w:val="20"/>
                <w:color w:val="auto"/>
              </w:rPr>
            </w:pPr>
            <w:r>
              <w:rPr>
                <w:rFonts w:ascii="Arial" w:cs="Arial" w:eastAsia="Arial" w:hAnsi="Arial"/>
                <w:sz w:val="18"/>
                <w:szCs w:val="18"/>
                <w:color w:val="0000EE"/>
              </w:rPr>
              <w:t>Signatures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July 30,</w:t>
            </w: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85"/>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spacing w:after="0" w:line="175" w:lineRule="exact"/>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Cash and cash equivalents</w:t>
            </w:r>
          </w:p>
        </w:tc>
        <w:tc>
          <w:tcPr>
            <w:tcW w:w="2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93,183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77,231</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ind w:left="220"/>
              <w:spacing w:after="0" w:line="175" w:lineRule="exact"/>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12,655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24,716</w:t>
            </w:r>
          </w:p>
        </w:tc>
        <w:tc>
          <w:tcPr>
            <w:tcW w:w="120" w:type="dxa"/>
            <w:vAlign w:val="bottom"/>
          </w:tcPr>
          <w:p>
            <w:pPr>
              <w:spacing w:after="0"/>
              <w:rPr>
                <w:sz w:val="15"/>
                <w:szCs w:val="15"/>
                <w:color w:val="auto"/>
              </w:rPr>
            </w:pPr>
          </w:p>
        </w:tc>
      </w:tr>
      <w:tr>
        <w:trPr>
          <w:trHeight w:val="152"/>
        </w:trPr>
        <w:tc>
          <w:tcPr>
            <w:tcW w:w="6660" w:type="dxa"/>
            <w:vAlign w:val="bottom"/>
            <w:shd w:val="clear" w:color="auto" w:fill="CCEEFF"/>
          </w:tcPr>
          <w:p>
            <w:pPr>
              <w:ind w:left="220"/>
              <w:spacing w:after="0" w:line="152" w:lineRule="exact"/>
              <w:rPr>
                <w:sz w:val="20"/>
                <w:szCs w:val="20"/>
                <w:color w:val="auto"/>
              </w:rPr>
            </w:pPr>
            <w:r>
              <w:rPr>
                <w:rFonts w:ascii="Arial" w:cs="Arial" w:eastAsia="Arial" w:hAnsi="Arial"/>
                <w:sz w:val="16"/>
                <w:szCs w:val="16"/>
                <w:color w:val="auto"/>
                <w:w w:val="93"/>
              </w:rPr>
              <w:t>Accounts receivable, net of allowance for doubtful accounts of $615 at July 30, 2022 and $592 at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April 30, 2022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60,170</w:t>
            </w:r>
          </w:p>
        </w:tc>
        <w:tc>
          <w:tcPr>
            <w:tcW w:w="120" w:type="dxa"/>
            <w:vAlign w:val="bottom"/>
            <w:shd w:val="clear" w:color="auto" w:fill="CCEEFF"/>
          </w:tcPr>
          <w:p>
            <w:pPr>
              <w:spacing w:after="0"/>
              <w:rPr>
                <w:sz w:val="18"/>
                <w:szCs w:val="18"/>
                <w:color w:val="auto"/>
              </w:rPr>
            </w:pPr>
          </w:p>
        </w:tc>
      </w:tr>
      <w:tr>
        <w:trPr>
          <w:trHeight w:val="152"/>
        </w:trPr>
        <w:tc>
          <w:tcPr>
            <w:tcW w:w="6660" w:type="dxa"/>
            <w:vAlign w:val="bottom"/>
          </w:tcPr>
          <w:p>
            <w:pPr>
              <w:ind w:left="220"/>
              <w:spacing w:after="0" w:line="152" w:lineRule="exact"/>
              <w:rPr>
                <w:sz w:val="20"/>
                <w:szCs w:val="20"/>
                <w:color w:val="auto"/>
              </w:rPr>
            </w:pPr>
            <w:r>
              <w:rPr>
                <w:rFonts w:ascii="Arial" w:cs="Arial" w:eastAsia="Arial" w:hAnsi="Arial"/>
                <w:sz w:val="16"/>
                <w:szCs w:val="16"/>
                <w:color w:val="auto"/>
                <w:w w:val="96"/>
              </w:rPr>
              <w:t>Unbilled receivables and retentions (inclusive of related party unbilled receivables of $2,229 at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2"/>
        </w:trPr>
        <w:tc>
          <w:tcPr>
            <w:tcW w:w="6660" w:type="dxa"/>
            <w:vAlign w:val="bottom"/>
          </w:tcPr>
          <w:p>
            <w:pPr>
              <w:ind w:left="220"/>
              <w:spacing w:after="0"/>
              <w:rPr>
                <w:sz w:val="20"/>
                <w:szCs w:val="20"/>
                <w:color w:val="auto"/>
              </w:rPr>
            </w:pPr>
            <w:r>
              <w:rPr>
                <w:rFonts w:ascii="Arial" w:cs="Arial" w:eastAsia="Arial" w:hAnsi="Arial"/>
                <w:sz w:val="16"/>
                <w:szCs w:val="16"/>
                <w:color w:val="auto"/>
              </w:rPr>
              <w:t>April 30, 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89,397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104,194</w:t>
            </w:r>
          </w:p>
        </w:tc>
        <w:tc>
          <w:tcPr>
            <w:tcW w:w="120" w:type="dxa"/>
            <w:vAlign w:val="bottom"/>
          </w:tcPr>
          <w:p>
            <w:pPr>
              <w:spacing w:after="0"/>
              <w:rPr>
                <w:sz w:val="18"/>
                <w:szCs w:val="18"/>
                <w:color w:val="auto"/>
              </w:rPr>
            </w:pPr>
          </w:p>
        </w:tc>
      </w:tr>
      <w:tr>
        <w:trPr>
          <w:trHeight w:val="176"/>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98,603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90,629</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ind w:left="220"/>
              <w:spacing w:after="0" w:line="175" w:lineRule="exact"/>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260"/>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442</w:t>
            </w:r>
          </w:p>
        </w:tc>
        <w:tc>
          <w:tcPr>
            <w:tcW w:w="120" w:type="dxa"/>
            <w:vAlign w:val="bottom"/>
          </w:tcPr>
          <w:p>
            <w:pPr>
              <w:spacing w:after="0"/>
              <w:rPr>
                <w:sz w:val="15"/>
                <w:szCs w:val="15"/>
                <w:color w:val="auto"/>
              </w:rPr>
            </w:pPr>
          </w:p>
        </w:tc>
      </w:tr>
      <w:tr>
        <w:trPr>
          <w:trHeight w:val="176"/>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11,368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11,527</w:t>
            </w:r>
          </w:p>
        </w:tc>
        <w:tc>
          <w:tcPr>
            <w:tcW w:w="120" w:type="dxa"/>
            <w:vAlign w:val="bottom"/>
            <w:shd w:val="clear" w:color="auto" w:fill="CCEEFF"/>
          </w:tcPr>
          <w:p>
            <w:pPr>
              <w:spacing w:after="0"/>
              <w:rPr>
                <w:sz w:val="15"/>
                <w:szCs w:val="15"/>
                <w:color w:val="auto"/>
              </w:rPr>
            </w:pPr>
          </w:p>
        </w:tc>
      </w:tr>
      <w:tr>
        <w:trPr>
          <w:trHeight w:val="169"/>
        </w:trPr>
        <w:tc>
          <w:tcPr>
            <w:tcW w:w="6660" w:type="dxa"/>
            <w:vAlign w:val="bottom"/>
          </w:tcPr>
          <w:p>
            <w:pPr>
              <w:spacing w:after="0" w:line="169" w:lineRule="exact"/>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357,268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368,909</w:t>
            </w:r>
          </w:p>
        </w:tc>
        <w:tc>
          <w:tcPr>
            <w:tcW w:w="120" w:type="dxa"/>
            <w:vAlign w:val="bottom"/>
          </w:tcPr>
          <w:p>
            <w:pPr>
              <w:spacing w:after="0"/>
              <w:rPr>
                <w:sz w:val="14"/>
                <w:szCs w:val="14"/>
                <w:color w:val="auto"/>
              </w:rPr>
            </w:pPr>
          </w:p>
        </w:tc>
      </w:tr>
      <w:tr>
        <w:trPr>
          <w:trHeight w:val="175"/>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Long-term investments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17,707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15,433</w:t>
            </w:r>
          </w:p>
        </w:tc>
        <w:tc>
          <w:tcPr>
            <w:tcW w:w="120" w:type="dxa"/>
            <w:vAlign w:val="bottom"/>
            <w:shd w:val="clear" w:color="auto" w:fill="CCEEFF"/>
          </w:tcPr>
          <w:p>
            <w:pPr>
              <w:spacing w:after="0"/>
              <w:rPr>
                <w:sz w:val="15"/>
                <w:szCs w:val="15"/>
                <w:color w:val="auto"/>
              </w:rPr>
            </w:pPr>
          </w:p>
        </w:tc>
      </w:tr>
      <w:tr>
        <w:trPr>
          <w:trHeight w:val="176"/>
        </w:trPr>
        <w:tc>
          <w:tcPr>
            <w:tcW w:w="6660" w:type="dxa"/>
            <w:vAlign w:val="bottom"/>
          </w:tcPr>
          <w:p>
            <w:pPr>
              <w:spacing w:after="0" w:line="175" w:lineRule="exact"/>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61,862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62,296</w:t>
            </w: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Operating lease right-of-use assets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25,385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26,769</w:t>
            </w:r>
          </w:p>
        </w:tc>
        <w:tc>
          <w:tcPr>
            <w:tcW w:w="120" w:type="dxa"/>
            <w:vAlign w:val="bottom"/>
            <w:shd w:val="clear" w:color="auto" w:fill="CCEEFF"/>
          </w:tcPr>
          <w:p>
            <w:pPr>
              <w:spacing w:after="0"/>
              <w:rPr>
                <w:sz w:val="15"/>
                <w:szCs w:val="15"/>
                <w:color w:val="auto"/>
              </w:rPr>
            </w:pPr>
          </w:p>
        </w:tc>
      </w:tr>
      <w:tr>
        <w:trPr>
          <w:trHeight w:val="176"/>
        </w:trPr>
        <w:tc>
          <w:tcPr>
            <w:tcW w:w="6660" w:type="dxa"/>
            <w:vAlign w:val="bottom"/>
          </w:tcPr>
          <w:p>
            <w:pPr>
              <w:spacing w:after="0" w:line="175" w:lineRule="exact"/>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7,671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7,290</w:t>
            </w: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Intangibles, net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91,009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97,224</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spacing w:after="0" w:line="175" w:lineRule="exact"/>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333,791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334,347</w:t>
            </w:r>
          </w:p>
        </w:tc>
        <w:tc>
          <w:tcPr>
            <w:tcW w:w="120" w:type="dxa"/>
            <w:vAlign w:val="bottom"/>
          </w:tcPr>
          <w:p>
            <w:pPr>
              <w:spacing w:after="0"/>
              <w:rPr>
                <w:sz w:val="15"/>
                <w:szCs w:val="15"/>
                <w:color w:val="auto"/>
              </w:rPr>
            </w:pPr>
          </w:p>
        </w:tc>
      </w:tr>
      <w:tr>
        <w:trPr>
          <w:trHeight w:val="176"/>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1,961</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1,932</w:t>
            </w:r>
          </w:p>
        </w:tc>
        <w:tc>
          <w:tcPr>
            <w:tcW w:w="120" w:type="dxa"/>
            <w:vAlign w:val="bottom"/>
            <w:shd w:val="clear" w:color="auto" w:fill="CCEEFF"/>
          </w:tcPr>
          <w:p>
            <w:pPr>
              <w:spacing w:after="0"/>
              <w:rPr>
                <w:sz w:val="15"/>
                <w:szCs w:val="15"/>
                <w:color w:val="auto"/>
              </w:rPr>
            </w:pPr>
          </w:p>
        </w:tc>
      </w:tr>
      <w:tr>
        <w:trPr>
          <w:trHeight w:val="209"/>
        </w:trPr>
        <w:tc>
          <w:tcPr>
            <w:tcW w:w="666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896,654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914,200</w:t>
            </w:r>
          </w:p>
        </w:tc>
        <w:tc>
          <w:tcPr>
            <w:tcW w:w="120" w:type="dxa"/>
            <w:vAlign w:val="bottom"/>
            <w:tcBorders>
              <w:bottom w:val="single" w:sz="8" w:color="CCEEFF"/>
            </w:tcBorders>
          </w:tcPr>
          <w:p>
            <w:pPr>
              <w:spacing w:after="0"/>
              <w:rPr>
                <w:sz w:val="18"/>
                <w:szCs w:val="18"/>
                <w:color w:val="auto"/>
              </w:rPr>
            </w:pPr>
          </w:p>
        </w:tc>
      </w:tr>
      <w:tr>
        <w:trPr>
          <w:trHeight w:val="156"/>
        </w:trPr>
        <w:tc>
          <w:tcPr>
            <w:tcW w:w="666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6"/>
        </w:trPr>
        <w:tc>
          <w:tcPr>
            <w:tcW w:w="6660" w:type="dxa"/>
            <w:vAlign w:val="bottom"/>
          </w:tcPr>
          <w:p>
            <w:pPr>
              <w:spacing w:after="0" w:line="175" w:lineRule="exact"/>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Accounts payable</w:t>
            </w:r>
          </w:p>
        </w:tc>
        <w:tc>
          <w:tcPr>
            <w:tcW w:w="2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21,945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19,244</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ind w:left="220"/>
              <w:spacing w:after="0" w:line="175" w:lineRule="exact"/>
              <w:rPr>
                <w:sz w:val="20"/>
                <w:szCs w:val="20"/>
                <w:color w:val="auto"/>
              </w:rPr>
            </w:pPr>
            <w:r>
              <w:rPr>
                <w:rFonts w:ascii="Arial" w:cs="Arial" w:eastAsia="Arial" w:hAnsi="Arial"/>
                <w:sz w:val="16"/>
                <w:szCs w:val="16"/>
                <w:color w:val="auto"/>
              </w:rPr>
              <w:t>Wages and related accruals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17,403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25,398</w:t>
            </w: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Customer advances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10,258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8,968</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ind w:left="220"/>
              <w:spacing w:after="0" w:line="175" w:lineRule="exact"/>
              <w:rPr>
                <w:sz w:val="20"/>
                <w:szCs w:val="20"/>
                <w:color w:val="auto"/>
              </w:rPr>
            </w:pPr>
            <w:r>
              <w:rPr>
                <w:rFonts w:ascii="Arial" w:cs="Arial" w:eastAsia="Arial" w:hAnsi="Arial"/>
                <w:sz w:val="16"/>
                <w:szCs w:val="16"/>
                <w:color w:val="auto"/>
              </w:rPr>
              <w:t>Current portion of long-term debt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10,000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10,000</w:t>
            </w:r>
          </w:p>
        </w:tc>
        <w:tc>
          <w:tcPr>
            <w:tcW w:w="120" w:type="dxa"/>
            <w:vAlign w:val="bottom"/>
          </w:tcPr>
          <w:p>
            <w:pPr>
              <w:spacing w:after="0"/>
              <w:rPr>
                <w:sz w:val="15"/>
                <w:szCs w:val="15"/>
                <w:color w:val="auto"/>
              </w:rPr>
            </w:pPr>
          </w:p>
        </w:tc>
      </w:tr>
      <w:tr>
        <w:trPr>
          <w:trHeight w:val="176"/>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Current operating lease liabilities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7,029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6,819</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ind w:left="220"/>
              <w:spacing w:after="0" w:line="175" w:lineRule="exact"/>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2,962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759</w:t>
            </w: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Other current liabilities</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26,279</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30,203</w:t>
            </w:r>
          </w:p>
        </w:tc>
        <w:tc>
          <w:tcPr>
            <w:tcW w:w="120" w:type="dxa"/>
            <w:vAlign w:val="bottom"/>
            <w:shd w:val="clear" w:color="auto" w:fill="CCEEFF"/>
          </w:tcPr>
          <w:p>
            <w:pPr>
              <w:spacing w:after="0"/>
              <w:rPr>
                <w:sz w:val="15"/>
                <w:szCs w:val="15"/>
                <w:color w:val="auto"/>
              </w:rPr>
            </w:pPr>
          </w:p>
        </w:tc>
      </w:tr>
      <w:tr>
        <w:trPr>
          <w:trHeight w:val="169"/>
        </w:trPr>
        <w:tc>
          <w:tcPr>
            <w:tcW w:w="6660" w:type="dxa"/>
            <w:vAlign w:val="bottom"/>
          </w:tcPr>
          <w:p>
            <w:pPr>
              <w:spacing w:after="0" w:line="169" w:lineRule="exact"/>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95,876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101,391</w:t>
            </w:r>
          </w:p>
        </w:tc>
        <w:tc>
          <w:tcPr>
            <w:tcW w:w="120" w:type="dxa"/>
            <w:vAlign w:val="bottom"/>
          </w:tcPr>
          <w:p>
            <w:pPr>
              <w:spacing w:after="0"/>
              <w:rPr>
                <w:sz w:val="14"/>
                <w:szCs w:val="14"/>
                <w:color w:val="auto"/>
              </w:rPr>
            </w:pPr>
          </w:p>
        </w:tc>
      </w:tr>
      <w:tr>
        <w:trPr>
          <w:trHeight w:val="176"/>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Long-term debt, net of current portion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175,481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177,840</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spacing w:after="0" w:line="175" w:lineRule="exact"/>
              <w:rPr>
                <w:sz w:val="20"/>
                <w:szCs w:val="20"/>
                <w:color w:val="auto"/>
              </w:rPr>
            </w:pPr>
            <w:r>
              <w:rPr>
                <w:rFonts w:ascii="Arial" w:cs="Arial" w:eastAsia="Arial" w:hAnsi="Arial"/>
                <w:sz w:val="16"/>
                <w:szCs w:val="16"/>
                <w:color w:val="auto"/>
              </w:rPr>
              <w:t>Non-current operating lease liabilities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20,371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21,915</w:t>
            </w: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non-current liabilities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759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spacing w:after="0" w:line="175" w:lineRule="exact"/>
              <w:rPr>
                <w:sz w:val="20"/>
                <w:szCs w:val="20"/>
                <w:color w:val="auto"/>
              </w:rPr>
            </w:pPr>
            <w:r>
              <w:rPr>
                <w:rFonts w:ascii="Arial" w:cs="Arial" w:eastAsia="Arial" w:hAnsi="Arial"/>
                <w:sz w:val="16"/>
                <w:szCs w:val="16"/>
                <w:color w:val="auto"/>
              </w:rPr>
              <w:t>Liability for uncertain tax positions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1,450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1,450</w:t>
            </w: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2,547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2,626</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spacing w:after="0" w:line="175" w:lineRule="exact"/>
              <w:rPr>
                <w:sz w:val="20"/>
                <w:szCs w:val="20"/>
                <w:color w:val="auto"/>
              </w:rPr>
            </w:pPr>
            <w:r>
              <w:rPr>
                <w:rFonts w:ascii="Arial" w:cs="Arial" w:eastAsia="Arial" w:hAnsi="Arial"/>
                <w:sz w:val="16"/>
                <w:szCs w:val="16"/>
                <w:color w:val="auto"/>
              </w:rPr>
              <w:t>Commitments and contingencies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ind w:left="220"/>
              <w:spacing w:after="0" w:line="175" w:lineRule="exact"/>
              <w:rPr>
                <w:sz w:val="20"/>
                <w:szCs w:val="20"/>
                <w:color w:val="auto"/>
              </w:rPr>
            </w:pPr>
            <w:r>
              <w:rPr>
                <w:rFonts w:ascii="Arial" w:cs="Arial" w:eastAsia="Arial" w:hAnsi="Arial"/>
                <w:sz w:val="16"/>
                <w:szCs w:val="16"/>
                <w:color w:val="auto"/>
              </w:rPr>
              <w:t>Preferred stock, $0.0001 par value: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w w:val="92"/>
              </w:rPr>
              <w:t>Authorized shares—10,000,000; none issued or outstanding at July 30, 2022 and April 30, 2022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w:t>
            </w:r>
          </w:p>
        </w:tc>
      </w:tr>
      <w:tr>
        <w:trPr>
          <w:trHeight w:val="175"/>
        </w:trPr>
        <w:tc>
          <w:tcPr>
            <w:tcW w:w="6660" w:type="dxa"/>
            <w:vAlign w:val="bottom"/>
          </w:tcPr>
          <w:p>
            <w:pPr>
              <w:ind w:left="220"/>
              <w:spacing w:after="0" w:line="175" w:lineRule="exact"/>
              <w:rPr>
                <w:sz w:val="20"/>
                <w:szCs w:val="20"/>
                <w:color w:val="auto"/>
              </w:rPr>
            </w:pPr>
            <w:r>
              <w:rPr>
                <w:rFonts w:ascii="Arial" w:cs="Arial" w:eastAsia="Arial" w:hAnsi="Arial"/>
                <w:sz w:val="16"/>
                <w:szCs w:val="16"/>
                <w:color w:val="auto"/>
              </w:rPr>
              <w:t>Common stock, $0.0001 par value: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666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Authorized shares—100,000,000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52"/>
        </w:trPr>
        <w:tc>
          <w:tcPr>
            <w:tcW w:w="6660" w:type="dxa"/>
            <w:vAlign w:val="bottom"/>
          </w:tcPr>
          <w:p>
            <w:pPr>
              <w:ind w:left="340"/>
              <w:spacing w:after="0" w:line="152" w:lineRule="exact"/>
              <w:rPr>
                <w:sz w:val="20"/>
                <w:szCs w:val="20"/>
                <w:color w:val="auto"/>
              </w:rPr>
            </w:pPr>
            <w:r>
              <w:rPr>
                <w:rFonts w:ascii="Arial" w:cs="Arial" w:eastAsia="Arial" w:hAnsi="Arial"/>
                <w:sz w:val="16"/>
                <w:szCs w:val="16"/>
                <w:color w:val="auto"/>
                <w:w w:val="94"/>
              </w:rPr>
              <w:t>Issued and outstanding shares—24,990,590 shares at July 30, 2022 and 24,951,287 shares at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2"/>
        </w:trPr>
        <w:tc>
          <w:tcPr>
            <w:tcW w:w="6660" w:type="dxa"/>
            <w:vAlign w:val="bottom"/>
          </w:tcPr>
          <w:p>
            <w:pPr>
              <w:ind w:left="340"/>
              <w:spacing w:after="0"/>
              <w:rPr>
                <w:sz w:val="20"/>
                <w:szCs w:val="20"/>
                <w:color w:val="auto"/>
              </w:rPr>
            </w:pPr>
            <w:r>
              <w:rPr>
                <w:rFonts w:ascii="Arial" w:cs="Arial" w:eastAsia="Arial" w:hAnsi="Arial"/>
                <w:sz w:val="16"/>
                <w:szCs w:val="16"/>
                <w:color w:val="auto"/>
              </w:rPr>
              <w:t>April 30, 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r>
      <w:tr>
        <w:trPr>
          <w:trHeight w:val="175"/>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268,641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267,248</w:t>
            </w:r>
          </w:p>
        </w:tc>
        <w:tc>
          <w:tcPr>
            <w:tcW w:w="120" w:type="dxa"/>
            <w:vAlign w:val="bottom"/>
            <w:shd w:val="clear" w:color="auto" w:fill="CCEEFF"/>
          </w:tcPr>
          <w:p>
            <w:pPr>
              <w:spacing w:after="0"/>
              <w:rPr>
                <w:sz w:val="15"/>
                <w:szCs w:val="15"/>
                <w:color w:val="auto"/>
              </w:rPr>
            </w:pPr>
          </w:p>
        </w:tc>
      </w:tr>
      <w:tr>
        <w:trPr>
          <w:trHeight w:val="175"/>
        </w:trPr>
        <w:tc>
          <w:tcPr>
            <w:tcW w:w="6660" w:type="dxa"/>
            <w:vAlign w:val="bottom"/>
          </w:tcPr>
          <w:p>
            <w:pPr>
              <w:ind w:left="220"/>
              <w:spacing w:after="0" w:line="175" w:lineRule="exact"/>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(7,558)</w:t>
            </w:r>
          </w:p>
        </w:tc>
        <w:tc>
          <w:tcPr>
            <w:tcW w:w="140" w:type="dxa"/>
            <w:vAlign w:val="bottom"/>
          </w:tcPr>
          <w:p>
            <w:pPr>
              <w:spacing w:after="0"/>
              <w:rPr>
                <w:sz w:val="15"/>
                <w:szCs w:val="15"/>
                <w:color w:val="auto"/>
              </w:rPr>
            </w:pPr>
          </w:p>
        </w:tc>
        <w:tc>
          <w:tcPr>
            <w:tcW w:w="8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(6,514)</w:t>
            </w:r>
          </w:p>
        </w:tc>
      </w:tr>
      <w:tr>
        <w:trPr>
          <w:trHeight w:val="176"/>
        </w:trPr>
        <w:tc>
          <w:tcPr>
            <w:tcW w:w="66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338,838</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347,233</w:t>
            </w:r>
          </w:p>
        </w:tc>
        <w:tc>
          <w:tcPr>
            <w:tcW w:w="120" w:type="dxa"/>
            <w:vAlign w:val="bottom"/>
            <w:shd w:val="clear" w:color="auto" w:fill="CCEEFF"/>
          </w:tcPr>
          <w:p>
            <w:pPr>
              <w:spacing w:after="0"/>
              <w:rPr>
                <w:sz w:val="15"/>
                <w:szCs w:val="15"/>
                <w:color w:val="auto"/>
              </w:rPr>
            </w:pPr>
          </w:p>
        </w:tc>
      </w:tr>
      <w:tr>
        <w:trPr>
          <w:trHeight w:val="169"/>
        </w:trPr>
        <w:tc>
          <w:tcPr>
            <w:tcW w:w="6660" w:type="dxa"/>
            <w:vAlign w:val="bottom"/>
            <w:tcBorders>
              <w:bottom w:val="single" w:sz="8" w:color="CCEEFF"/>
            </w:tcBorders>
          </w:tcPr>
          <w:p>
            <w:pPr>
              <w:ind w:left="220"/>
              <w:spacing w:after="0" w:line="169" w:lineRule="exact"/>
              <w:rPr>
                <w:sz w:val="20"/>
                <w:szCs w:val="20"/>
                <w:color w:val="auto"/>
              </w:rPr>
            </w:pPr>
            <w:r>
              <w:rPr>
                <w:rFonts w:ascii="Arial" w:cs="Arial" w:eastAsia="Arial" w:hAnsi="Arial"/>
                <w:sz w:val="16"/>
                <w:szCs w:val="16"/>
                <w:color w:val="auto"/>
              </w:rPr>
              <w:t>Total AeroVironment, Inc. stockholders’ equity</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599,923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607,969</w:t>
            </w:r>
          </w:p>
        </w:tc>
        <w:tc>
          <w:tcPr>
            <w:tcW w:w="120" w:type="dxa"/>
            <w:vAlign w:val="bottom"/>
            <w:tcBorders>
              <w:bottom w:val="single" w:sz="8" w:color="CCEEFF"/>
            </w:tcBorders>
          </w:tcPr>
          <w:p>
            <w:pPr>
              <w:spacing w:after="0"/>
              <w:rPr>
                <w:sz w:val="14"/>
                <w:szCs w:val="14"/>
                <w:color w:val="auto"/>
              </w:rPr>
            </w:pPr>
          </w:p>
        </w:tc>
      </w:tr>
      <w:tr>
        <w:trPr>
          <w:trHeight w:val="169"/>
        </w:trPr>
        <w:tc>
          <w:tcPr>
            <w:tcW w:w="66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Noncontrolling interest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247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4"/>
                <w:szCs w:val="14"/>
                <w:color w:val="auto"/>
              </w:rPr>
            </w:pPr>
          </w:p>
        </w:tc>
      </w:tr>
      <w:tr>
        <w:trPr>
          <w:trHeight w:val="176"/>
        </w:trPr>
        <w:tc>
          <w:tcPr>
            <w:tcW w:w="666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600,170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608,210</w:t>
            </w:r>
          </w:p>
        </w:tc>
        <w:tc>
          <w:tcPr>
            <w:tcW w:w="120" w:type="dxa"/>
            <w:vAlign w:val="bottom"/>
            <w:tcBorders>
              <w:bottom w:val="single" w:sz="8" w:color="CCEEFF"/>
            </w:tcBorders>
          </w:tcPr>
          <w:p>
            <w:pPr>
              <w:spacing w:after="0"/>
              <w:rPr>
                <w:sz w:val="15"/>
                <w:szCs w:val="15"/>
                <w:color w:val="auto"/>
              </w:rPr>
            </w:pPr>
          </w:p>
        </w:tc>
      </w:tr>
      <w:tr>
        <w:trPr>
          <w:trHeight w:val="169"/>
        </w:trPr>
        <w:tc>
          <w:tcPr>
            <w:tcW w:w="66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896,654</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914,200</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 (unaudited).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July 30,</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00"/>
              <w:spacing w:after="0" w:line="119" w:lineRule="exact"/>
              <w:rPr>
                <w:sz w:val="20"/>
                <w:szCs w:val="20"/>
                <w:color w:val="auto"/>
              </w:rPr>
            </w:pPr>
            <w:r>
              <w:rPr>
                <w:rFonts w:ascii="Arial" w:cs="Arial" w:eastAsia="Arial" w:hAnsi="Arial"/>
                <w:sz w:val="13"/>
                <w:szCs w:val="13"/>
                <w:b w:val="1"/>
                <w:bCs w:val="1"/>
                <w:color w:val="auto"/>
              </w:rPr>
              <w:t>July 31,</w:t>
            </w:r>
          </w:p>
        </w:tc>
        <w:tc>
          <w:tcPr>
            <w:tcW w:w="280" w:type="dxa"/>
            <w:vAlign w:val="bottom"/>
          </w:tcPr>
          <w:p>
            <w:pPr>
              <w:spacing w:after="0"/>
              <w:rPr>
                <w:sz w:val="10"/>
                <w:szCs w:val="10"/>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57,974</w:t>
            </w:r>
          </w:p>
        </w:tc>
        <w:tc>
          <w:tcPr>
            <w:tcW w:w="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53,116</w:t>
            </w:r>
          </w:p>
        </w:tc>
        <w:tc>
          <w:tcPr>
            <w:tcW w:w="280" w:type="dxa"/>
            <w:vAlign w:val="bottom"/>
          </w:tcPr>
          <w:p>
            <w:pPr>
              <w:spacing w:after="0"/>
              <w:rPr>
                <w:sz w:val="17"/>
                <w:szCs w:val="17"/>
                <w:color w:val="auto"/>
              </w:rPr>
            </w:pPr>
          </w:p>
        </w:tc>
      </w:tr>
      <w:tr>
        <w:trPr>
          <w:trHeight w:val="19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Contract services (inclusive of related party revenue of $10,352 for the three months ended</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July 31, 2021)</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47,893</w:t>
            </w:r>
          </w:p>
        </w:tc>
        <w:tc>
          <w:tcPr>
            <w:tcW w:w="280" w:type="dxa"/>
            <w:vAlign w:val="bottom"/>
            <w:shd w:val="clear" w:color="auto" w:fill="CCEEFF"/>
          </w:tcPr>
          <w:p>
            <w:pPr>
              <w:spacing w:after="0"/>
              <w:rPr>
                <w:sz w:val="18"/>
                <w:szCs w:val="18"/>
                <w:color w:val="auto"/>
              </w:rPr>
            </w:pPr>
          </w:p>
        </w:tc>
      </w:tr>
      <w:tr>
        <w:trPr>
          <w:trHeight w:val="199"/>
        </w:trPr>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108,516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101,009</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32,899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32,590</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39,696</w:t>
            </w:r>
          </w:p>
        </w:tc>
        <w:tc>
          <w:tcPr>
            <w:tcW w:w="280" w:type="dxa"/>
            <w:vAlign w:val="bottom"/>
            <w:shd w:val="clear" w:color="auto" w:fill="CCEEFF"/>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74,802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72,286</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25,075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20,526</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8,197</w:t>
            </w:r>
          </w:p>
        </w:tc>
        <w:tc>
          <w:tcPr>
            <w:tcW w:w="280" w:type="dxa"/>
            <w:vAlign w:val="bottom"/>
            <w:shd w:val="clear" w:color="auto" w:fill="CCEEFF"/>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33,714</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28,723</w:t>
            </w:r>
          </w:p>
        </w:tc>
        <w:tc>
          <w:tcPr>
            <w:tcW w:w="280" w:type="dxa"/>
            <w:vAlign w:val="bottom"/>
            <w:tcBorders>
              <w:bottom w:val="single" w:sz="8" w:color="CCEEFF"/>
            </w:tcBorders>
          </w:tcPr>
          <w:p>
            <w:pPr>
              <w:spacing w:after="0"/>
              <w:rPr>
                <w:sz w:val="17"/>
                <w:szCs w:val="17"/>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27,128</w:t>
            </w: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15,045</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13,708</w:t>
            </w:r>
          </w:p>
        </w:tc>
        <w:tc>
          <w:tcPr>
            <w:tcW w:w="280" w:type="dxa"/>
            <w:vAlign w:val="bottom"/>
            <w:tcBorders>
              <w:bottom w:val="single" w:sz="8" w:color="CCEEFF"/>
            </w:tcBorders>
          </w:tcPr>
          <w:p>
            <w:pPr>
              <w:spacing w:after="0"/>
              <w:rPr>
                <w:sz w:val="17"/>
                <w:szCs w:val="17"/>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(12,113)</w:t>
            </w:r>
          </w:p>
        </w:tc>
        <w:tc>
          <w:tcPr>
            <w:tcW w:w="280" w:type="dxa"/>
            <w:vAlign w:val="bottom"/>
            <w:shd w:val="clear" w:color="auto" w:fill="CCEEFF"/>
          </w:tcPr>
          <w:p>
            <w:pPr>
              <w:spacing w:after="0"/>
              <w:rPr>
                <w:sz w:val="17"/>
                <w:szCs w:val="17"/>
                <w:color w:val="auto"/>
              </w:rPr>
            </w:pPr>
          </w:p>
        </w:tc>
      </w:tr>
      <w:tr>
        <w:trPr>
          <w:trHeight w:val="202"/>
        </w:trPr>
        <w:tc>
          <w:tcPr>
            <w:tcW w:w="6440" w:type="dxa"/>
            <w:vAlign w:val="bottom"/>
          </w:tcPr>
          <w:p>
            <w:pPr>
              <w:spacing w:after="0"/>
              <w:rPr>
                <w:sz w:val="20"/>
                <w:szCs w:val="20"/>
                <w:color w:val="auto"/>
              </w:rPr>
            </w:pPr>
            <w:r>
              <w:rPr>
                <w:rFonts w:ascii="Arial" w:cs="Arial" w:eastAsia="Arial" w:hAnsi="Arial"/>
                <w:sz w:val="16"/>
                <w:szCs w:val="16"/>
                <w:color w:val="auto"/>
              </w:rPr>
              <w:t>Other loss: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(1,275)</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Other expense, net</w:t>
            </w:r>
          </w:p>
        </w:tc>
        <w:tc>
          <w:tcPr>
            <w:tcW w:w="1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(406)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(346)</w:t>
            </w:r>
          </w:p>
        </w:tc>
      </w:tr>
      <w:tr>
        <w:trPr>
          <w:trHeight w:val="19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(13,734)</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(957)</w:t>
            </w: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(1,141)</w:t>
            </w:r>
          </w:p>
        </w:tc>
      </w:tr>
      <w:tr>
        <w:trPr>
          <w:trHeight w:val="196"/>
        </w:trPr>
        <w:tc>
          <w:tcPr>
            <w:tcW w:w="6440" w:type="dxa"/>
            <w:vAlign w:val="bottom"/>
          </w:tcPr>
          <w:p>
            <w:pPr>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(13,918)</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(63)</w:t>
            </w:r>
          </w:p>
        </w:tc>
      </w:tr>
      <w:tr>
        <w:trPr>
          <w:trHeight w:val="236"/>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AeroVironment, Inc.</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(8,395)</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(13,981)</w:t>
            </w:r>
          </w:p>
        </w:tc>
        <w:tc>
          <w:tcPr>
            <w:tcW w:w="280" w:type="dxa"/>
            <w:vAlign w:val="bottom"/>
            <w:tcBorders>
              <w:bottom w:val="single" w:sz="8" w:color="CCEEFF"/>
            </w:tcBorders>
          </w:tcPr>
          <w:p>
            <w:pPr>
              <w:spacing w:after="0"/>
              <w:rPr>
                <w:sz w:val="20"/>
                <w:szCs w:val="20"/>
                <w:color w:val="auto"/>
              </w:rPr>
            </w:pPr>
          </w:p>
        </w:tc>
      </w:tr>
      <w:tr>
        <w:trPr>
          <w:trHeight w:val="183"/>
        </w:trPr>
        <w:tc>
          <w:tcPr>
            <w:tcW w:w="64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loss per share attributable to AeroVironment, Inc.</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6440" w:type="dxa"/>
            <w:vAlign w:val="bottom"/>
          </w:tcPr>
          <w:p>
            <w:pPr>
              <w:ind w:left="34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(0.34)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(0.57)</w:t>
            </w:r>
          </w:p>
        </w:tc>
      </w:tr>
      <w:tr>
        <w:trPr>
          <w:trHeight w:val="20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(0.57)</w:t>
            </w: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24,804,232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24,620,180</w:t>
            </w:r>
          </w:p>
        </w:tc>
        <w:tc>
          <w:tcPr>
            <w:tcW w:w="280" w:type="dxa"/>
            <w:vAlign w:val="bottom"/>
            <w:shd w:val="clear" w:color="auto" w:fill="CCEEFF"/>
          </w:tcPr>
          <w:p>
            <w:pPr>
              <w:spacing w:after="0"/>
              <w:rPr>
                <w:sz w:val="17"/>
                <w:szCs w:val="17"/>
                <w:color w:val="auto"/>
              </w:rPr>
            </w:pPr>
          </w:p>
        </w:tc>
      </w:tr>
      <w:tr>
        <w:trPr>
          <w:trHeight w:val="206"/>
        </w:trPr>
        <w:tc>
          <w:tcPr>
            <w:tcW w:w="6440" w:type="dxa"/>
            <w:vAlign w:val="bottom"/>
          </w:tcPr>
          <w:p>
            <w:pPr>
              <w:ind w:left="34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24,804,232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24,620,180</w:t>
            </w:r>
          </w:p>
        </w:tc>
        <w:tc>
          <w:tcPr>
            <w:tcW w:w="280" w:type="dxa"/>
            <w:vAlign w:val="bottom"/>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July 30,</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July 31,</w:t>
            </w:r>
          </w:p>
        </w:tc>
        <w:tc>
          <w:tcPr>
            <w:tcW w:w="140" w:type="dxa"/>
            <w:vAlign w:val="bottom"/>
          </w:tcPr>
          <w:p>
            <w:pPr>
              <w:spacing w:after="0"/>
              <w:rPr>
                <w:sz w:val="10"/>
                <w:szCs w:val="10"/>
                <w:color w:val="auto"/>
              </w:rPr>
            </w:pPr>
          </w:p>
        </w:tc>
      </w:tr>
      <w:tr>
        <w:trPr>
          <w:trHeight w:val="171"/>
        </w:trPr>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6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Unrealized gain (loss) on available-for-sale investments, net of deferred tax</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expense of $6 and $0 for the three months ended July 30, 2022 and July 31, 2021,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(733)</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r>
      <w:tr>
        <w:trPr>
          <w:trHeight w:val="209"/>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AeroVironment, Inc.</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July 30, 2022 and July 31, 2021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69"/>
              <w:spacing w:after="0"/>
              <w:rPr>
                <w:sz w:val="20"/>
                <w:szCs w:val="20"/>
                <w:color w:val="auto"/>
              </w:rPr>
            </w:pPr>
            <w:r>
              <w:rPr>
                <w:rFonts w:ascii="Arial" w:cs="Arial" w:eastAsia="Arial" w:hAnsi="Arial"/>
                <w:sz w:val="13"/>
                <w:szCs w:val="13"/>
                <w:b w:val="1"/>
                <w:bCs w:val="1"/>
                <w:color w:val="auto"/>
                <w:w w:val="88"/>
              </w:rPr>
              <w:t>Accumulated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2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329"/>
              <w:spacing w:after="0"/>
              <w:rPr>
                <w:sz w:val="20"/>
                <w:szCs w:val="20"/>
                <w:color w:val="auto"/>
              </w:rPr>
            </w:pPr>
            <w:r>
              <w:rPr>
                <w:rFonts w:ascii="Arial" w:cs="Arial" w:eastAsia="Arial" w:hAnsi="Arial"/>
                <w:sz w:val="13"/>
                <w:szCs w:val="13"/>
                <w:b w:val="1"/>
                <w:bCs w:val="1"/>
                <w:color w:val="auto"/>
                <w:w w:val="92"/>
              </w:rPr>
              <w:t>Other</w:t>
            </w:r>
          </w:p>
        </w:tc>
        <w:tc>
          <w:tcPr>
            <w:tcW w:w="900" w:type="dxa"/>
            <w:vAlign w:val="bottom"/>
          </w:tcPr>
          <w:p>
            <w:pPr>
              <w:jc w:val="center"/>
              <w:ind w:right="15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520" w:type="dxa"/>
            <w:vAlign w:val="bottom"/>
          </w:tcPr>
          <w:p>
            <w:pPr>
              <w:jc w:val="center"/>
              <w:ind w:right="3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3"/>
        </w:trPr>
        <w:tc>
          <w:tcPr>
            <w:tcW w:w="254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600" w:type="dxa"/>
            <w:vAlign w:val="bottom"/>
            <w:gridSpan w:val="5"/>
          </w:tcPr>
          <w:p>
            <w:pPr>
              <w:spacing w:after="0"/>
              <w:rPr>
                <w:sz w:val="20"/>
                <w:szCs w:val="20"/>
                <w:color w:val="auto"/>
              </w:rPr>
            </w:pPr>
            <w:r>
              <w:rPr>
                <w:rFonts w:ascii="Arial" w:cs="Arial" w:eastAsia="Arial" w:hAnsi="Arial"/>
                <w:sz w:val="13"/>
                <w:szCs w:val="13"/>
                <w:b w:val="1"/>
                <w:bCs w:val="1"/>
                <w:color w:val="auto"/>
                <w:w w:val="88"/>
              </w:rPr>
              <w:t>ComprehensiveAeroVironment, Inc.Controlling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28"/>
        </w:trPr>
        <w:tc>
          <w:tcPr>
            <w:tcW w:w="254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1080" w:type="dxa"/>
            <w:vAlign w:val="bottom"/>
            <w:gridSpan w:val="2"/>
          </w:tcPr>
          <w:p>
            <w:pPr>
              <w:jc w:val="center"/>
              <w:ind w:right="169"/>
              <w:spacing w:after="0" w:line="129" w:lineRule="exact"/>
              <w:rPr>
                <w:sz w:val="20"/>
                <w:szCs w:val="20"/>
                <w:color w:val="auto"/>
              </w:rPr>
            </w:pPr>
            <w:r>
              <w:rPr>
                <w:rFonts w:ascii="Arial" w:cs="Arial" w:eastAsia="Arial" w:hAnsi="Arial"/>
                <w:sz w:val="13"/>
                <w:szCs w:val="13"/>
                <w:b w:val="1"/>
                <w:bCs w:val="1"/>
                <w:color w:val="auto"/>
                <w:w w:val="86"/>
              </w:rPr>
              <w:t>Income (Loss)</w:t>
            </w:r>
          </w:p>
        </w:tc>
        <w:tc>
          <w:tcPr>
            <w:tcW w:w="900" w:type="dxa"/>
            <w:vAlign w:val="bottom"/>
          </w:tcPr>
          <w:p>
            <w:pPr>
              <w:jc w:val="center"/>
              <w:ind w:right="150"/>
              <w:spacing w:after="0" w:line="129"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520" w:type="dxa"/>
            <w:vAlign w:val="bottom"/>
          </w:tcPr>
          <w:p>
            <w:pPr>
              <w:jc w:val="center"/>
              <w:ind w:right="30"/>
              <w:spacing w:after="0" w:line="129"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24,951,287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$ 267,248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$ 347,233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9"/>
              <w:spacing w:after="0" w:line="142" w:lineRule="exact"/>
              <w:rPr>
                <w:sz w:val="20"/>
                <w:szCs w:val="20"/>
                <w:color w:val="auto"/>
              </w:rPr>
            </w:pPr>
            <w:r>
              <w:rPr>
                <w:rFonts w:ascii="Arial" w:cs="Arial" w:eastAsia="Arial" w:hAnsi="Arial"/>
                <w:sz w:val="14"/>
                <w:szCs w:val="14"/>
                <w:color w:val="auto"/>
              </w:rPr>
              <w:t>(6,514)$</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607,969</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608,210</w:t>
            </w:r>
          </w:p>
        </w:tc>
        <w:tc>
          <w:tcPr>
            <w:tcW w:w="60" w:type="dxa"/>
            <w:vAlign w:val="bottom"/>
            <w:tcBorders>
              <w:top w:val="single" w:sz="8" w:color="CCEEFF"/>
            </w:tcBorders>
            <w:shd w:val="clear" w:color="auto" w:fill="CCEEFF"/>
          </w:tcPr>
          <w:p>
            <w:pPr>
              <w:spacing w:after="0"/>
              <w:rPr>
                <w:sz w:val="12"/>
                <w:szCs w:val="12"/>
                <w:color w:val="auto"/>
              </w:rPr>
            </w:pPr>
          </w:p>
        </w:tc>
      </w:tr>
      <w:tr>
        <w:trPr>
          <w:trHeight w:val="148"/>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Net (loss)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(8,395)</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(8,389)</w:t>
            </w:r>
          </w:p>
        </w:tc>
        <w:tc>
          <w:tcPr>
            <w:tcW w:w="60" w:type="dxa"/>
            <w:vAlign w:val="bottom"/>
          </w:tcPr>
          <w:p>
            <w:pPr>
              <w:spacing w:after="0"/>
              <w:rPr>
                <w:sz w:val="12"/>
                <w:szCs w:val="12"/>
                <w:color w:val="auto"/>
              </w:rPr>
            </w:pP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2"/>
                <w:szCs w:val="12"/>
                <w:color w:val="auto"/>
              </w:rPr>
            </w:pPr>
          </w:p>
        </w:tc>
      </w:tr>
      <w:tr>
        <w:trPr>
          <w:trHeight w:val="148"/>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c>
          <w:tcPr>
            <w:tcW w:w="60" w:type="dxa"/>
            <w:vAlign w:val="bottom"/>
          </w:tcPr>
          <w:p>
            <w:pPr>
              <w:spacing w:after="0"/>
              <w:rPr>
                <w:sz w:val="12"/>
                <w:szCs w:val="12"/>
                <w:color w:val="auto"/>
              </w:rPr>
            </w:pP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55,817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8"/>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(6,138)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30"/>
        </w:trPr>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net share settlement of equity awards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60" w:type="dxa"/>
            <w:vAlign w:val="bottom"/>
            <w:shd w:val="clear" w:color="auto" w:fill="CCEEFF"/>
          </w:tcPr>
          <w:p>
            <w:pPr>
              <w:spacing w:after="0"/>
              <w:rPr>
                <w:sz w:val="14"/>
                <w:szCs w:val="14"/>
                <w:color w:val="auto"/>
              </w:rPr>
            </w:pPr>
          </w:p>
        </w:tc>
      </w:tr>
      <w:tr>
        <w:trPr>
          <w:trHeight w:val="148"/>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2,217</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2,217</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2,217</w:t>
            </w:r>
          </w:p>
        </w:tc>
        <w:tc>
          <w:tcPr>
            <w:tcW w:w="60" w:type="dxa"/>
            <w:vAlign w:val="bottom"/>
          </w:tcPr>
          <w:p>
            <w:pPr>
              <w:spacing w:after="0"/>
              <w:rPr>
                <w:sz w:val="12"/>
                <w:szCs w:val="12"/>
                <w:color w:val="auto"/>
              </w:rPr>
            </w:pPr>
          </w:p>
        </w:tc>
      </w:tr>
      <w:tr>
        <w:trPr>
          <w:trHeight w:val="142"/>
        </w:trPr>
        <w:tc>
          <w:tcPr>
            <w:tcW w:w="25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30, 2022</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24,990,590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$ 268,641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$ 338,838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9"/>
              <w:spacing w:after="0" w:line="142" w:lineRule="exact"/>
              <w:rPr>
                <w:sz w:val="20"/>
                <w:szCs w:val="20"/>
                <w:color w:val="auto"/>
              </w:rPr>
            </w:pPr>
            <w:r>
              <w:rPr>
                <w:rFonts w:ascii="Arial" w:cs="Arial" w:eastAsia="Arial" w:hAnsi="Arial"/>
                <w:sz w:val="14"/>
                <w:szCs w:val="14"/>
                <w:color w:val="auto"/>
              </w:rPr>
              <w:t>(7,558)$</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599,923</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600,170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4"/>
        </w:trPr>
        <w:tc>
          <w:tcPr>
            <w:tcW w:w="2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169"/>
              <w:spacing w:after="0"/>
              <w:rPr>
                <w:sz w:val="20"/>
                <w:szCs w:val="20"/>
                <w:color w:val="auto"/>
              </w:rPr>
            </w:pPr>
            <w:r>
              <w:rPr>
                <w:rFonts w:ascii="Arial" w:cs="Arial" w:eastAsia="Arial" w:hAnsi="Arial"/>
                <w:sz w:val="13"/>
                <w:szCs w:val="13"/>
                <w:b w:val="1"/>
                <w:bCs w:val="1"/>
                <w:color w:val="auto"/>
                <w:w w:val="88"/>
              </w:rPr>
              <w:t>Accumulated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329"/>
              <w:spacing w:after="0"/>
              <w:rPr>
                <w:sz w:val="20"/>
                <w:szCs w:val="20"/>
                <w:color w:val="auto"/>
              </w:rPr>
            </w:pPr>
            <w:r>
              <w:rPr>
                <w:rFonts w:ascii="Arial" w:cs="Arial" w:eastAsia="Arial" w:hAnsi="Arial"/>
                <w:sz w:val="13"/>
                <w:szCs w:val="13"/>
                <w:b w:val="1"/>
                <w:bCs w:val="1"/>
                <w:color w:val="auto"/>
                <w:w w:val="92"/>
              </w:rPr>
              <w:t>Other</w:t>
            </w:r>
          </w:p>
        </w:tc>
        <w:tc>
          <w:tcPr>
            <w:tcW w:w="900" w:type="dxa"/>
            <w:vAlign w:val="bottom"/>
          </w:tcPr>
          <w:p>
            <w:pPr>
              <w:jc w:val="center"/>
              <w:ind w:right="15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8"/>
                <w:szCs w:val="18"/>
                <w:color w:val="auto"/>
              </w:rPr>
            </w:pPr>
          </w:p>
        </w:tc>
        <w:tc>
          <w:tcPr>
            <w:tcW w:w="520" w:type="dxa"/>
            <w:vAlign w:val="bottom"/>
          </w:tcPr>
          <w:p>
            <w:pPr>
              <w:jc w:val="center"/>
              <w:ind w:right="3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254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7"/>
                <w:szCs w:val="17"/>
                <w:color w:val="auto"/>
              </w:rPr>
            </w:pPr>
          </w:p>
        </w:tc>
        <w:tc>
          <w:tcPr>
            <w:tcW w:w="2600" w:type="dxa"/>
            <w:vAlign w:val="bottom"/>
            <w:gridSpan w:val="5"/>
          </w:tcPr>
          <w:p>
            <w:pPr>
              <w:spacing w:after="0"/>
              <w:rPr>
                <w:sz w:val="20"/>
                <w:szCs w:val="20"/>
                <w:color w:val="auto"/>
              </w:rPr>
            </w:pPr>
            <w:r>
              <w:rPr>
                <w:rFonts w:ascii="Arial" w:cs="Arial" w:eastAsia="Arial" w:hAnsi="Arial"/>
                <w:sz w:val="13"/>
                <w:szCs w:val="13"/>
                <w:b w:val="1"/>
                <w:bCs w:val="1"/>
                <w:color w:val="auto"/>
                <w:w w:val="88"/>
              </w:rPr>
              <w:t>ComprehensiveAeroVironment, Inc.Controlling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540" w:type="dxa"/>
            <w:vAlign w:val="bottom"/>
          </w:tcPr>
          <w:p>
            <w:pPr>
              <w:spacing w:after="0"/>
              <w:rPr>
                <w:sz w:val="17"/>
                <w:szCs w:val="17"/>
                <w:color w:val="auto"/>
              </w:rPr>
            </w:pPr>
          </w:p>
        </w:tc>
        <w:tc>
          <w:tcPr>
            <w:tcW w:w="740" w:type="dxa"/>
            <w:vAlign w:val="bottom"/>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7"/>
                <w:szCs w:val="17"/>
                <w:color w:val="auto"/>
              </w:rPr>
            </w:pPr>
          </w:p>
        </w:tc>
        <w:tc>
          <w:tcPr>
            <w:tcW w:w="1080" w:type="dxa"/>
            <w:vAlign w:val="bottom"/>
            <w:gridSpan w:val="2"/>
          </w:tcPr>
          <w:p>
            <w:pPr>
              <w:jc w:val="center"/>
              <w:ind w:right="169"/>
              <w:spacing w:after="0"/>
              <w:rPr>
                <w:sz w:val="20"/>
                <w:szCs w:val="20"/>
                <w:color w:val="auto"/>
              </w:rPr>
            </w:pPr>
            <w:r>
              <w:rPr>
                <w:rFonts w:ascii="Arial" w:cs="Arial" w:eastAsia="Arial" w:hAnsi="Arial"/>
                <w:sz w:val="13"/>
                <w:szCs w:val="13"/>
                <w:b w:val="1"/>
                <w:bCs w:val="1"/>
                <w:color w:val="auto"/>
                <w:w w:val="86"/>
              </w:rPr>
              <w:t>Income (Loss)</w:t>
            </w:r>
          </w:p>
        </w:tc>
        <w:tc>
          <w:tcPr>
            <w:tcW w:w="900" w:type="dxa"/>
            <w:vAlign w:val="bottom"/>
          </w:tcPr>
          <w:p>
            <w:pPr>
              <w:jc w:val="center"/>
              <w:ind w:right="15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7"/>
                <w:szCs w:val="17"/>
                <w:color w:val="auto"/>
              </w:rPr>
            </w:pPr>
          </w:p>
        </w:tc>
        <w:tc>
          <w:tcPr>
            <w:tcW w:w="520" w:type="dxa"/>
            <w:vAlign w:val="bottom"/>
          </w:tcPr>
          <w:p>
            <w:pPr>
              <w:jc w:val="center"/>
              <w:ind w:right="3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r>
      <w:tr>
        <w:trPr>
          <w:trHeight w:val="20"/>
        </w:trPr>
        <w:tc>
          <w:tcPr>
            <w:tcW w:w="2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4"/>
                <w:szCs w:val="14"/>
                <w:color w:val="auto"/>
              </w:rPr>
              <w:t>Balance at April 30, 2021</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24,777,295</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$ 260,327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$ 351,421</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343 $</w:t>
            </w:r>
          </w:p>
        </w:tc>
        <w:tc>
          <w:tcPr>
            <w:tcW w:w="900" w:type="dxa"/>
            <w:vAlign w:val="bottom"/>
          </w:tcPr>
          <w:p>
            <w:pPr>
              <w:jc w:val="right"/>
              <w:spacing w:after="0"/>
              <w:rPr>
                <w:sz w:val="20"/>
                <w:szCs w:val="20"/>
                <w:color w:val="auto"/>
              </w:rPr>
            </w:pPr>
            <w:r>
              <w:rPr>
                <w:rFonts w:ascii="Arial" w:cs="Arial" w:eastAsia="Arial" w:hAnsi="Arial"/>
                <w:sz w:val="14"/>
                <w:szCs w:val="14"/>
                <w:color w:val="auto"/>
              </w:rPr>
              <w:t>612,093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612,107</w:t>
            </w:r>
          </w:p>
        </w:tc>
        <w:tc>
          <w:tcPr>
            <w:tcW w:w="60" w:type="dxa"/>
            <w:vAlign w:val="bottom"/>
          </w:tcPr>
          <w:p>
            <w:pPr>
              <w:spacing w:after="0"/>
              <w:rPr>
                <w:sz w:val="17"/>
                <w:szCs w:val="17"/>
                <w:color w:val="auto"/>
              </w:rPr>
            </w:pPr>
          </w:p>
        </w:tc>
      </w:tr>
      <w:tr>
        <w:trPr>
          <w:trHeight w:val="216"/>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(13,918)</w:t>
            </w:r>
          </w:p>
        </w:tc>
        <w:tc>
          <w:tcPr>
            <w:tcW w:w="60" w:type="dxa"/>
            <w:vAlign w:val="bottom"/>
            <w:shd w:val="clear" w:color="auto" w:fill="CCEEFF"/>
          </w:tcPr>
          <w:p>
            <w:pPr>
              <w:spacing w:after="0"/>
              <w:rPr>
                <w:sz w:val="18"/>
                <w:szCs w:val="18"/>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4"/>
                <w:szCs w:val="14"/>
                <w:color w:val="auto"/>
              </w:rPr>
              <w:t>Unrealized loss on investments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69"/>
              <w:spacing w:after="0"/>
              <w:rPr>
                <w:sz w:val="20"/>
                <w:szCs w:val="20"/>
                <w:color w:val="auto"/>
              </w:rPr>
            </w:pPr>
            <w:r>
              <w:rPr>
                <w:rFonts w:ascii="Arial" w:cs="Arial" w:eastAsia="Arial" w:hAnsi="Arial"/>
                <w:sz w:val="14"/>
                <w:szCs w:val="14"/>
                <w:color w:val="auto"/>
              </w:rPr>
              <w:t>(4)</w:t>
            </w: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8"/>
                <w:szCs w:val="18"/>
                <w:color w:val="auto"/>
              </w:rPr>
            </w:pPr>
          </w:p>
        </w:tc>
      </w:tr>
      <w:tr>
        <w:trPr>
          <w:trHeight w:val="216"/>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(733)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60" w:type="dxa"/>
            <w:vAlign w:val="bottom"/>
            <w:shd w:val="clear" w:color="auto" w:fill="CCEEFF"/>
          </w:tcPr>
          <w:p>
            <w:pPr>
              <w:spacing w:after="0"/>
              <w:rPr>
                <w:sz w:val="18"/>
                <w:szCs w:val="18"/>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tcPr>
          <w:p>
            <w:pPr>
              <w:jc w:val="right"/>
              <w:spacing w:after="0"/>
              <w:rPr>
                <w:sz w:val="20"/>
                <w:szCs w:val="20"/>
                <w:color w:val="auto"/>
              </w:rPr>
            </w:pPr>
            <w:r>
              <w:rPr>
                <w:rFonts w:ascii="Arial" w:cs="Arial" w:eastAsia="Arial" w:hAnsi="Arial"/>
                <w:sz w:val="14"/>
                <w:szCs w:val="14"/>
                <w:color w:val="auto"/>
              </w:rPr>
              <w:t>4,000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w:t>
            </w:r>
          </w:p>
        </w:tc>
        <w:tc>
          <w:tcPr>
            <w:tcW w:w="60" w:type="dxa"/>
            <w:vAlign w:val="bottom"/>
          </w:tcPr>
          <w:p>
            <w:pPr>
              <w:spacing w:after="0"/>
              <w:rPr>
                <w:sz w:val="18"/>
                <w:szCs w:val="18"/>
                <w:color w:val="auto"/>
              </w:rPr>
            </w:pPr>
          </w:p>
        </w:tc>
      </w:tr>
      <w:tr>
        <w:trPr>
          <w:trHeight w:val="216"/>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tcPr>
          <w:p>
            <w:pPr>
              <w:jc w:val="right"/>
              <w:spacing w:after="0"/>
              <w:rPr>
                <w:sz w:val="20"/>
                <w:szCs w:val="20"/>
                <w:color w:val="auto"/>
              </w:rPr>
            </w:pPr>
            <w:r>
              <w:rPr>
                <w:rFonts w:ascii="Arial" w:cs="Arial" w:eastAsia="Arial" w:hAnsi="Arial"/>
                <w:sz w:val="14"/>
                <w:szCs w:val="14"/>
                <w:color w:val="auto"/>
              </w:rPr>
              <w:t>(6,140)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net share settlement of equity awards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60" w:type="dxa"/>
            <w:vAlign w:val="bottom"/>
            <w:shd w:val="clear" w:color="auto" w:fill="CCEEFF"/>
          </w:tcPr>
          <w:p>
            <w:pPr>
              <w:spacing w:after="0"/>
              <w:rPr>
                <w:sz w:val="14"/>
                <w:szCs w:val="14"/>
                <w:color w:val="auto"/>
              </w:rPr>
            </w:pPr>
          </w:p>
        </w:tc>
      </w:tr>
      <w:tr>
        <w:trPr>
          <w:trHeight w:val="216"/>
        </w:trPr>
        <w:tc>
          <w:tcPr>
            <w:tcW w:w="2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Stock based compensation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60" w:type="dxa"/>
            <w:vAlign w:val="bottom"/>
            <w:tcBorders>
              <w:bottom w:val="single" w:sz="8" w:color="CCEEFF"/>
            </w:tcBorders>
          </w:tcPr>
          <w:p>
            <w:pPr>
              <w:spacing w:after="0"/>
              <w:rPr>
                <w:sz w:val="18"/>
                <w:szCs w:val="18"/>
                <w:color w:val="auto"/>
              </w:rPr>
            </w:pPr>
          </w:p>
        </w:tc>
      </w:tr>
      <w:tr>
        <w:trPr>
          <w:trHeight w:val="18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Balance at July 31, 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24,811,802</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$ 261,192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$ 337,440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(394)$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598,240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598,317</w:t>
            </w:r>
          </w:p>
        </w:tc>
        <w:tc>
          <w:tcPr>
            <w:tcW w:w="60" w:type="dxa"/>
            <w:vAlign w:val="bottom"/>
            <w:shd w:val="clear" w:color="auto" w:fill="CCEEFF"/>
          </w:tcPr>
          <w:p>
            <w:pPr>
              <w:spacing w:after="0"/>
              <w:rPr>
                <w:sz w:val="15"/>
                <w:szCs w:val="15"/>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July 30,</w:t>
            </w: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48"/>
              <w:spacing w:after="0" w:line="119" w:lineRule="exact"/>
              <w:rPr>
                <w:sz w:val="20"/>
                <w:szCs w:val="20"/>
                <w:color w:val="auto"/>
              </w:rPr>
            </w:pPr>
            <w:r>
              <w:rPr>
                <w:rFonts w:ascii="Arial" w:cs="Arial" w:eastAsia="Arial" w:hAnsi="Arial"/>
                <w:sz w:val="13"/>
                <w:szCs w:val="13"/>
                <w:b w:val="1"/>
                <w:bCs w:val="1"/>
                <w:color w:val="auto"/>
              </w:rPr>
              <w:t>July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(8,389)</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(13,918)</w:t>
            </w:r>
          </w:p>
        </w:tc>
        <w:tc>
          <w:tcPr>
            <w:tcW w:w="0" w:type="dxa"/>
            <w:vAlign w:val="bottom"/>
          </w:tcPr>
          <w:p>
            <w:pPr>
              <w:spacing w:after="0"/>
              <w:rPr>
                <w:sz w:val="1"/>
                <w:szCs w:val="1"/>
                <w:color w:val="auto"/>
              </w:rPr>
            </w:pPr>
          </w:p>
        </w:tc>
      </w:tr>
      <w:tr>
        <w:trPr>
          <w:trHeight w:val="130"/>
        </w:trPr>
        <w:tc>
          <w:tcPr>
            <w:tcW w:w="5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Adjustments to reconcile net loss from operations to cash provided by (used in) operating</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activities: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13,654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from equity method investments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issuance costs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Other non-cash expense, net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(Gain) loss on foreign currency transactions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(381)</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2,217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8,053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17,914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Unbilled receivables and retentions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(14,684)</w:t>
            </w:r>
          </w:p>
        </w:tc>
        <w:tc>
          <w:tcPr>
            <w:tcW w:w="0" w:type="dxa"/>
            <w:vAlign w:val="bottom"/>
          </w:tcPr>
          <w:p>
            <w:pPr>
              <w:spacing w:after="0"/>
              <w:rPr>
                <w:sz w:val="1"/>
                <w:szCs w:val="1"/>
                <w:color w:val="auto"/>
              </w:rPr>
            </w:pPr>
          </w:p>
        </w:tc>
      </w:tr>
      <w:tr>
        <w:trPr>
          <w:trHeight w:val="149"/>
        </w:trPr>
        <w:tc>
          <w:tcPr>
            <w:tcW w:w="5760" w:type="dxa"/>
            <w:vAlign w:val="bottom"/>
          </w:tcPr>
          <w:p>
            <w:pPr>
              <w:ind w:left="34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(11,707)</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(6,058)</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taxes receivable</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(7,997)</w:t>
            </w: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(9,519)</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(9,283)</w:t>
            </w: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15,887</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(15,304)</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(5,393)</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(2,774)</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(2,692)</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(46,150)</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13,280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17,925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(1,326)</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60" w:type="dxa"/>
            <w:vAlign w:val="bottom"/>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3,787</w:t>
            </w: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(36,345)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Principal payments of term loan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(824)</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Holdback and retention payments for business acquisition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(5,991)</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(3,331)</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(9,556)</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Effects of currency translation on cash and cash equivalents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(391)</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15,952</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(61,316)</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77,231</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157,063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93,183</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95,747</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w:t>
            </w: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Unrealized (gain) loss on available-for-sale investments, net of deferred tax expense of $6 and $0</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for the three months ended July 30, 2022 and July 31, 2021, respectively</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(1,064)</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inventory to property and equipment, ISR in-service assets</w:t>
            </w: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6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4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543</w:t>
            </w:r>
          </w:p>
        </w:tc>
        <w:tc>
          <w:tcPr>
            <w:tcW w:w="16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821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40" w:right="479"/>
        <w:spacing w:after="0" w:line="296" w:lineRule="auto"/>
        <w:rPr>
          <w:sz w:val="20"/>
          <w:szCs w:val="20"/>
          <w:color w:val="auto"/>
        </w:rPr>
      </w:pPr>
      <w:r>
        <w:rPr>
          <w:rFonts w:ascii="Arial" w:cs="Arial" w:eastAsia="Arial" w:hAnsi="Arial"/>
          <w:sz w:val="16"/>
          <w:szCs w:val="16"/>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unmanned ground vehicles (“UGV”) and related services primarily to organizations within the U.S. Department of Defense (“DoD”) and to international allied governments.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30, 2022 are not necessarily indicative of the results for the full year ending April 30, 2023. For further information, refer to the condensed consolidated financial statements and footnotes thereto for the year ended April 30, 2022, included in the Company’s Annual Report on Form 10-K.</w:t>
      </w:r>
    </w:p>
    <w:p>
      <w:pPr>
        <w:spacing w:after="0" w:line="19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pacing w:after="0" w:line="187" w:lineRule="exact"/>
        <w:rPr>
          <w:sz w:val="20"/>
          <w:szCs w:val="20"/>
          <w:color w:val="auto"/>
        </w:rPr>
      </w:pPr>
    </w:p>
    <w:p>
      <w:pPr>
        <w:ind w:left="40" w:right="239"/>
        <w:spacing w:after="0" w:line="308" w:lineRule="auto"/>
        <w:rPr>
          <w:sz w:val="20"/>
          <w:szCs w:val="20"/>
          <w:color w:val="auto"/>
        </w:rPr>
      </w:pPr>
      <w:r>
        <w:rPr>
          <w:rFonts w:ascii="Arial" w:cs="Arial" w:eastAsia="Arial" w:hAnsi="Arial"/>
          <w:sz w:val="17"/>
          <w:szCs w:val="17"/>
          <w:color w:val="auto"/>
        </w:rPr>
        <w:t>The Company’s unaudited condensed consolidated financial statements include the assets, liabilities and operating results of wholly-owned subsidiaries. All intercompany accounts and transactions have been eliminated.</w:t>
      </w:r>
    </w:p>
    <w:p>
      <w:pPr>
        <w:spacing w:after="0" w:line="114" w:lineRule="exact"/>
        <w:rPr>
          <w:sz w:val="20"/>
          <w:szCs w:val="20"/>
          <w:color w:val="auto"/>
        </w:rPr>
      </w:pPr>
    </w:p>
    <w:p>
      <w:pPr>
        <w:ind w:left="40" w:right="59"/>
        <w:spacing w:after="0" w:line="221" w:lineRule="exact"/>
        <w:rPr>
          <w:sz w:val="20"/>
          <w:szCs w:val="20"/>
          <w:color w:val="auto"/>
        </w:rPr>
      </w:pPr>
      <w:r>
        <w:rPr>
          <w:rFonts w:ascii="Arial" w:cs="Arial" w:eastAsia="Arial" w:hAnsi="Arial"/>
          <w:sz w:val="18"/>
          <w:szCs w:val="18"/>
          <w:color w:val="auto"/>
        </w:rPr>
        <w:t>On May 3, 2021, the Company closed its acquisition of Telerob Gesellschaft f</w:t>
      </w:r>
      <w:r>
        <w:rPr>
          <w:rFonts w:ascii="MS PGothic" w:cs="MS PGothic" w:eastAsia="MS PGothic" w:hAnsi="MS PGothic"/>
          <w:sz w:val="18"/>
          <w:szCs w:val="18"/>
          <w:color w:val="auto"/>
        </w:rPr>
        <w:t>✔</w:t>
      </w:r>
      <w:r>
        <w:rPr>
          <w:rFonts w:ascii="Arial" w:cs="Arial" w:eastAsia="Arial" w:hAnsi="Arial"/>
          <w:sz w:val="18"/>
          <w:szCs w:val="18"/>
          <w:color w:val="auto"/>
        </w:rPr>
        <w:t>r Fernhantierungstechnik mbH, a German company based in Ostfildern (near Stuttgart), Germany (“Telerob GmbH”), including Telerob GmbH’s wholly-owned subsidiary, Telerob USA, Inc. (“Telerob USA,” and collectively with Telerob GmbH, “Telerob”) pursuant to its previously announced Share Purchase Agreement (the “Telerob Purchase Agreement”) with Unmanned Systems Investments GmbH, a German limited liability company incorporated under the laws of Germany (the “Telerob Seller”), and each of the unit holders of the Seller, to purchase 100% of the issued and outstanding shares of Telerob Seller’s wholly-owned subsidiary Telerob GmbH (the “Telerob Acquisition”). The assets, liabilities and operating results of Telerob GmbH have been included in the Company’s unaudited condensed consolidated financial statements. Refer to Note 18—Business Acquisitions for further details.</w:t>
      </w:r>
    </w:p>
    <w:p>
      <w:pPr>
        <w:spacing w:after="0" w:line="206" w:lineRule="exact"/>
        <w:rPr>
          <w:sz w:val="20"/>
          <w:szCs w:val="20"/>
          <w:color w:val="auto"/>
        </w:rPr>
      </w:pPr>
    </w:p>
    <w:p>
      <w:pPr>
        <w:ind w:left="40" w:right="119"/>
        <w:spacing w:after="0" w:line="291" w:lineRule="auto"/>
        <w:rPr>
          <w:sz w:val="20"/>
          <w:szCs w:val="20"/>
          <w:color w:val="auto"/>
        </w:rPr>
      </w:pPr>
      <w:r>
        <w:rPr>
          <w:rFonts w:ascii="Arial" w:cs="Arial" w:eastAsia="Arial" w:hAnsi="Arial"/>
          <w:sz w:val="16"/>
          <w:szCs w:val="16"/>
          <w:color w:val="auto"/>
        </w:rPr>
        <w:t>On September 15, 2021, the Company entered into a Share Sale and Purchase Agreement with Toygun Savunma Sanayi ve Havacilik Anonim Sirketi (“Toygun”) whereby the Company sold 35% of the common shares of Altoy to Toygun. As a result of the sale, the Company decreased its interest in Altoy from 85% to 50%. The Company is considered to still have control of Altoy and therefore consolidates Altoy into the condensed consolidated financial statements of the Company as of July 30, 2022. Under the terms of the Purchase Agreement, the Company is expected to sell additional shares to Toygun during the fiscal year ending April 30, 2023 at which point the Company is expected to no longer control, and therefore, expected to no longer consolidate Altoy in the Company’s condensed consolidated financial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77" w:lineRule="auto"/>
        <w:rPr>
          <w:sz w:val="20"/>
          <w:szCs w:val="20"/>
          <w:color w:val="auto"/>
        </w:rPr>
      </w:pPr>
      <w:r>
        <w:rPr>
          <w:rFonts w:ascii="Arial" w:cs="Arial" w:eastAsia="Arial" w:hAnsi="Arial"/>
          <w:sz w:val="18"/>
          <w:szCs w:val="18"/>
          <w:color w:val="auto"/>
        </w:rPr>
        <w:t>statements. At that time, the Company is expected to account for its investment in Altoy as an equity method investment and record its proportion of any gains or losses of Altoy in equity method investments, net of tax.</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right="119"/>
        <w:spacing w:after="0" w:line="275"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(“ASU 2021-08”). ASU 2021-08 requires an acquirer to apply the guidance in ASC 606, Revenue from Contracts with Customers, to recognize and measure contract assets and contract liabilities in a business combination, rather than using fair value. On May 1, 2022, the Company early adopted ASU 2021-08. ASU 2021-08 is adopted prospectively and could impact future acquisitions.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(“ASC 606”).</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revenue from intelligence, surveillance, and reconnaissance (“ISR”) services, is recognized over time as services are rendered. In accordance with ASC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performance obligations satisfied over time, revenue is generally recognized using costs incurred to date relative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99"/>
        <w:spacing w:after="0" w:line="286" w:lineRule="auto"/>
        <w:rPr>
          <w:sz w:val="20"/>
          <w:szCs w:val="20"/>
          <w:color w:val="auto"/>
        </w:rPr>
      </w:pPr>
      <w:r>
        <w:rPr>
          <w:rFonts w:ascii="Arial" w:cs="Arial" w:eastAsia="Arial" w:hAnsi="Arial"/>
          <w:sz w:val="17"/>
          <w:szCs w:val="17"/>
          <w:color w:val="auto"/>
        </w:rPr>
        <w:t>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65"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For performance obligations which are not satisfied over time per the aforementioned criteria above, revenue is recognized at the point in time in which each performance obligation is fully satisfied. The Company’s small UAS, medium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61" w:lineRule="exact"/>
        <w:rPr>
          <w:sz w:val="20"/>
          <w:szCs w:val="20"/>
          <w:color w:val="auto"/>
        </w:rPr>
      </w:pPr>
    </w:p>
    <w:p>
      <w:pPr>
        <w:ind w:left="40" w:right="99"/>
        <w:spacing w:after="0" w:line="286" w:lineRule="auto"/>
        <w:rPr>
          <w:sz w:val="20"/>
          <w:szCs w:val="20"/>
          <w:color w:val="auto"/>
        </w:rPr>
      </w:pPr>
      <w:r>
        <w:rPr>
          <w:rFonts w:ascii="Arial" w:cs="Arial" w:eastAsia="Arial" w:hAnsi="Arial"/>
          <w:sz w:val="17"/>
          <w:szCs w:val="17"/>
          <w:color w:val="auto"/>
        </w:rPr>
        <w:t>Performance obligations satisfied over time accounted for 60% and 61% of revenue during the three months ended July 30, 2022 and July 31, 2021, respectively. Performance obligations satisfied at a point in time accounted for 40% and 39% of revenue during the three months ended July 30, 2022 and July 31, 2021, respectively.</w:t>
      </w:r>
    </w:p>
    <w:p>
      <w:pPr>
        <w:spacing w:after="0" w:line="219"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On July 30, 2022, the Company had approximately $203,877,000 of remaining performance obligations under fully funded contracts with its customers, which the Company also refers to as funded backlog. The Company currently expects to recognize approximately 88% of the remaining performance obligations as revenue in fiscal 2023 and the remaining 12% in fiscal 2024.</w:t>
      </w:r>
    </w:p>
    <w:p>
      <w:pPr>
        <w:spacing w:after="0" w:line="187"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219"/>
        <w:spacing w:after="0" w:line="311"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9"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66" w:lineRule="exact"/>
        <w:rPr>
          <w:sz w:val="20"/>
          <w:szCs w:val="20"/>
          <w:color w:val="auto"/>
        </w:rPr>
      </w:pPr>
    </w:p>
    <w:p>
      <w:pPr>
        <w:ind w:left="40" w:right="319"/>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20"/>
        <w:spacing w:after="0" w:line="290"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month periods ended July 30, 2022 or the three month period ended July 31, 2021. During the three months ended July 30, 2022, the Company revised its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$1,146,000. No adjustment on any one contract was material to the Company’s unaudited condensed consolidated financial statements for the three month ended July 31, 2021.</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10"/>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Revenue by segment</w:t>
            </w: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July 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2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Small UAS</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TMS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MUAS</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HAPS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Total revenue</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101,009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10"/>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24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30,</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July 31,</w:t>
            </w: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2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FFP</w:t>
            </w:r>
          </w:p>
        </w:tc>
        <w:tc>
          <w:tcPr>
            <w:tcW w:w="2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80,829</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CPFF</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2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 revenue</w:t>
            </w:r>
          </w:p>
        </w:tc>
        <w:tc>
          <w:tcPr>
            <w:tcW w:w="2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108,516</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101,009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60"/>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3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July 30,</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July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20" w:type="dxa"/>
            <w:vAlign w:val="bottom"/>
            <w:tcBorders>
              <w:bottom w:val="single" w:sz="8" w:color="CCEEFF"/>
            </w:tcBorders>
            <w:vMerge w:val="continue"/>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Non-U.S. government</w:t>
            </w:r>
          </w:p>
        </w:tc>
        <w:tc>
          <w:tcPr>
            <w:tcW w:w="3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101,009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rPr>
                <w:sz w:val="12"/>
                <w:szCs w:val="12"/>
                <w:color w:val="auto"/>
              </w:rPr>
            </w:pPr>
          </w:p>
        </w:tc>
        <w:tc>
          <w:tcPr>
            <w:tcW w:w="3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119"/>
              <w:spacing w:after="0" w:line="142" w:lineRule="exact"/>
              <w:rPr>
                <w:sz w:val="20"/>
                <w:szCs w:val="20"/>
                <w:color w:val="auto"/>
              </w:rPr>
            </w:pPr>
            <w:r>
              <w:rPr>
                <w:rFonts w:ascii="Arial" w:cs="Arial" w:eastAsia="Arial" w:hAnsi="Arial"/>
                <w:sz w:val="14"/>
                <w:szCs w:val="14"/>
                <w:b w:val="1"/>
                <w:bCs w:val="1"/>
                <w:color w:val="auto"/>
              </w:rPr>
              <w:t>July 30,</w:t>
            </w: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ind w:right="57"/>
              <w:spacing w:after="0" w:line="142" w:lineRule="exact"/>
              <w:rPr>
                <w:sz w:val="20"/>
                <w:szCs w:val="20"/>
                <w:color w:val="auto"/>
              </w:rPr>
            </w:pPr>
            <w:r>
              <w:rPr>
                <w:rFonts w:ascii="Arial" w:cs="Arial" w:eastAsia="Arial" w:hAnsi="Arial"/>
                <w:sz w:val="14"/>
                <w:szCs w:val="14"/>
                <w:b w:val="1"/>
                <w:bCs w:val="1"/>
                <w:color w:val="auto"/>
                <w:w w:val="93"/>
              </w:rPr>
              <w:t>July 31,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by geographic location</w:t>
            </w:r>
          </w:p>
        </w:tc>
        <w:tc>
          <w:tcPr>
            <w:tcW w:w="3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3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101,009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80" w:type="dxa"/>
            <w:vAlign w:val="bottom"/>
            <w:vMerge w:val="restart"/>
          </w:tcPr>
          <w:p>
            <w:pPr>
              <w:jc w:val="right"/>
              <w:ind w:right="225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40" w:top="517" w:right="139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condensed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condensed consolidated balance sheet. However, the Company sometimes receives advances or deposits from its customers before revenue is recognized, resulting in contract liabilities recorded in customer advances on the condensed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condensed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 month period ended July 30, 2022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67"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Revenue recognized for the three month periods ended July 30, 2022 that was included in contract liability balances as of April 30, 2022 was $1,925,000, and revenue recognized for the three month periods ended July 31, 2021 that was included in contract liability balances as of April 30, 2021 was $309,000.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evaluated regularly by the Chief Operating Decision Maker (“CODM”) in deciding how to allocate resources and assess performance. As of July 30, 2022, the Company’s CODM, the Chief Executive Officer, makes operating decisions, assesses performance and makes resource allocation decisions, including the allocation for research and development (“R&amp;D”). Accordingly, the Company identifies four reportable segments. Refer to Note 20—Segments for further details.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The Company’s investments are accounted for as available-for-sale and are reported at fair value. Unrealized gains and losses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8"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color w:val="auto"/>
        </w:rPr>
        <w:t>For example, during the course of its audits, the DCAA may question the Company’s incurred costs, and if the DCAA believes the Company has accounted for such costs in a manner inconsistent with the requirements under Federal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293" w:lineRule="auto"/>
        <w:rPr>
          <w:sz w:val="20"/>
          <w:szCs w:val="20"/>
          <w:color w:val="auto"/>
        </w:rPr>
      </w:pPr>
      <w:r>
        <w:rPr>
          <w:rFonts w:ascii="Arial" w:cs="Arial" w:eastAsia="Arial" w:hAnsi="Arial"/>
          <w:sz w:val="16"/>
          <w:szCs w:val="16"/>
          <w:color w:val="auto"/>
        </w:rPr>
        <w:t>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July 30, 2022 and April 30, 2022, the Company had no reserve for incurred cost claim audits.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Basic loss per share is computed using the weighted-average number of common shares outstanding, excluding shares of unvested restricted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20" w:type="dxa"/>
            <w:vAlign w:val="bottom"/>
            <w:vMerge w:val="restart"/>
          </w:tcPr>
          <w:p>
            <w:pPr>
              <w:spacing w:after="0"/>
              <w:rPr>
                <w:sz w:val="20"/>
                <w:szCs w:val="20"/>
                <w:color w:val="auto"/>
              </w:rPr>
            </w:pPr>
            <w:r>
              <w:rPr>
                <w:rFonts w:ascii="Arial" w:cs="Arial" w:eastAsia="Arial" w:hAnsi="Arial"/>
                <w:sz w:val="18"/>
                <w:szCs w:val="18"/>
                <w:color w:val="auto"/>
              </w:rPr>
              <w:t>Net loss attributable to AeroVironment, Inc.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30, 2022</w:t>
            </w:r>
          </w:p>
        </w:tc>
        <w:tc>
          <w:tcPr>
            <w:tcW w:w="12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2021</w:t>
            </w: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(13,981)</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loss per share: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Weighted average common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24,804,232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24,620,180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Dilutive effect of employee stock options, restricted stock and restricted stock units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Denominator for diluted loss per share</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24,804,232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24,620,180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75" w:lineRule="auto"/>
        <w:rPr>
          <w:sz w:val="20"/>
          <w:szCs w:val="20"/>
          <w:color w:val="auto"/>
        </w:rPr>
      </w:pPr>
      <w:r>
        <w:rPr>
          <w:rFonts w:ascii="Arial" w:cs="Arial" w:eastAsia="Arial" w:hAnsi="Arial"/>
          <w:sz w:val="17"/>
          <w:szCs w:val="17"/>
          <w:color w:val="auto"/>
        </w:rPr>
        <w:t>Due to the net loss for the three months ended July 30, 2022 and July 31, 2021,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164,312 and 279,978 for the three months ended July 30, 2022 and July 31, 2021, respectively.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 recently issued accounting standards expected to impact the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jc w:val="both"/>
        <w:ind w:left="40" w:right="359"/>
        <w:spacing w:after="0" w:line="286" w:lineRule="auto"/>
        <w:rPr>
          <w:sz w:val="20"/>
          <w:szCs w:val="20"/>
          <w:color w:val="auto"/>
        </w:rPr>
      </w:pPr>
      <w:r>
        <w:rPr>
          <w:rFonts w:ascii="Arial" w:cs="Arial" w:eastAsia="Arial" w:hAnsi="Arial"/>
          <w:sz w:val="17"/>
          <w:szCs w:val="17"/>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w:t>
      </w:r>
    </w:p>
    <w:p>
      <w:pPr>
        <w:spacing w:after="0" w:line="165" w:lineRule="exact"/>
        <w:rPr>
          <w:sz w:val="20"/>
          <w:szCs w:val="20"/>
          <w:color w:val="auto"/>
        </w:rPr>
      </w:pPr>
    </w:p>
    <w:p>
      <w:pPr>
        <w:ind w:left="40" w:right="99"/>
        <w:spacing w:after="0" w:line="270" w:lineRule="auto"/>
        <w:rPr>
          <w:sz w:val="20"/>
          <w:szCs w:val="20"/>
          <w:color w:val="auto"/>
        </w:rPr>
      </w:pPr>
      <w:r>
        <w:rPr>
          <w:rFonts w:ascii="Arial" w:cs="Arial" w:eastAsia="Arial" w:hAnsi="Arial"/>
          <w:sz w:val="17"/>
          <w:szCs w:val="17"/>
          <w:color w:val="auto"/>
        </w:rPr>
        <w:t>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announced product recall. Webasto sought to recover the costs of the recall and other damages totaling a minimum of $6,500,000 in addition to attorneys’ fees, costs, and punitive damages. On August 16, 2019, the Company filed a counterclaim against Webasto seeking payment of $6,500,000 in additional cash consideration due under the Purchase Agreement (the “Holdback”) and declaratory relief regarding Webasto’s cancellation of an assigned contract. Webasto again amended the complaint in May 2021 to include additional claims. On June 2, 2021, the Company filed an answer to Webasto’s second amended complaint filed in May 2021.</w:t>
      </w:r>
    </w:p>
    <w:p>
      <w:pPr>
        <w:spacing w:after="0" w:line="181" w:lineRule="exact"/>
        <w:rPr>
          <w:sz w:val="20"/>
          <w:szCs w:val="20"/>
          <w:color w:val="auto"/>
        </w:rPr>
      </w:pPr>
    </w:p>
    <w:p>
      <w:pPr>
        <w:ind w:left="40" w:right="279"/>
        <w:spacing w:after="0" w:line="296" w:lineRule="auto"/>
        <w:rPr>
          <w:sz w:val="20"/>
          <w:szCs w:val="20"/>
          <w:color w:val="auto"/>
        </w:rPr>
      </w:pPr>
      <w:r>
        <w:rPr>
          <w:rFonts w:ascii="Arial" w:cs="Arial" w:eastAsia="Arial" w:hAnsi="Arial"/>
          <w:sz w:val="16"/>
          <w:szCs w:val="16"/>
          <w:color w:val="auto"/>
        </w:rPr>
        <w:t>In order to avoid the future cost, expense, and distraction of continued litigation, the Company engaged in settlement negotiations with Webasto in May 2021. While the negotiations did not result in a settlement of any of the Company’s or Webasto’s claims at such time, as a result of the settlement negotiations, the Company established a litigation reserve, which reflected the scope of a rejected offer intended to communicate the Company’s serious and good faith intention to attempt to reach a settlement for the stated purposes. The offer did not reflect the Company’s view of the merits of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claims made; however, as a result of the preparation of the good faith offer and the Company’s willingness to pursue settlement for that amount, the Company recorded litigation reserve expenses in the amount of $9,300,000 during the year ended April 30, 2021 recorded in other expense on the condensed consolidated statements of operations and in other current liabilities on the condensed consolidated balance sheet. On December 2, 2021, the Company agreed in principle, subject to formal documentation with Webasto, to settle all existing claims related to the sale of its former EES business for $20,000,000 and Webasto keeping the Holdback. As a result of the agreement in principle to settle the litigation, the Company recorded additional litigation reserve expenses in the amount of $10,000,000 during the three months ended October 30, 2021 in other expense on the condensed consolidated statements of operations and in other current liabilities on the condensed consolidated balance sheet. The Company executed a written settlement agreement with Webasto effective December 16, 2021 to officially and fully settle all claims in the lawsuit. Under the terms of the written settlement agreement, the Company’s payment of the settlement amount of $20,000,000 will occur over a 24 month period from the effective date of the settlement agreement and Webasto will retain the Holdback. As of July 30, 2022, $10,000,000 of the settlement has been paid.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July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government securities</w:t>
            </w:r>
          </w:p>
        </w:tc>
        <w:tc>
          <w:tcPr>
            <w:tcW w:w="1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220"/>
              <w:spacing w:after="0"/>
              <w:rPr>
                <w:sz w:val="20"/>
                <w:szCs w:val="20"/>
                <w:color w:val="auto"/>
              </w:rPr>
            </w:pPr>
            <w:r>
              <w:rPr>
                <w:rFonts w:ascii="Arial" w:cs="Arial" w:eastAsia="Arial" w:hAnsi="Arial"/>
                <w:sz w:val="18"/>
                <w:szCs w:val="18"/>
                <w:color w:val="auto"/>
              </w:rPr>
              <w:t>Equity method investments</w:t>
            </w: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limited partnership funds</w:t>
            </w:r>
          </w:p>
        </w:tc>
        <w:tc>
          <w:tcPr>
            <w:tcW w:w="1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 method investments</w:t>
            </w:r>
          </w:p>
        </w:tc>
        <w:tc>
          <w:tcPr>
            <w:tcW w:w="1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As of July 30, 2022 and April 30, 2022, the balance of available-for-sale securities consisted of state and local government municipal securities, U.S. government securities and U.S. government agency securities. Interest earned from these investments is recorded in interest expense, net. Realized gains on sales of these investments on the basis of specific identification are recorded in interest expense, net.</w:t>
      </w:r>
    </w:p>
    <w:p>
      <w:pPr>
        <w:spacing w:after="0" w:line="187"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The following table is a summary of the activity related to the available-for-sale investments recorded in short-term and long-term investments as of July 30, 2022 and April 30, 2022, respectively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July 30, 2022</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1"/>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securities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investments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April 30, 2022</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w w:val="95"/>
              </w:rPr>
              <w:t>Gross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securities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amortized cost and fair value of the available-for-sale debt securities by contractual maturity at July 30,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360" w:right="579" w:hanging="316"/>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60" w:right="239" w:hanging="316"/>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340" w:hanging="296"/>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Company’s financial assets measured at fair value on a recurring basis at July 30, 2022, were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6"/>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5"/>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$ 12,655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Contingently returnable consideration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July 30,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2022, were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17"/>
              <w:spacing w:after="0"/>
              <w:rPr>
                <w:sz w:val="20"/>
                <w:szCs w:val="20"/>
                <w:color w:val="auto"/>
              </w:rPr>
            </w:pPr>
            <w:r>
              <w:rPr>
                <w:rFonts w:ascii="Arial" w:cs="Arial" w:eastAsia="Arial" w:hAnsi="Arial"/>
                <w:sz w:val="14"/>
                <w:szCs w:val="14"/>
                <w:b w:val="1"/>
                <w:bCs w:val="1"/>
                <w:color w:val="auto"/>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$ 24,716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Contingently returnable consideration</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April 30, 2022, were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Measurements Using</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Measurements Using</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 Inputs</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Unobservable Inputs</w:t>
            </w:r>
          </w:p>
        </w:tc>
        <w:tc>
          <w:tcPr>
            <w:tcW w:w="0" w:type="dxa"/>
            <w:vAlign w:val="bottom"/>
          </w:tcPr>
          <w:p>
            <w:pPr>
              <w:spacing w:after="0"/>
              <w:rPr>
                <w:sz w:val="1"/>
                <w:szCs w:val="1"/>
                <w:color w:val="auto"/>
              </w:rPr>
            </w:pPr>
          </w:p>
        </w:tc>
      </w:tr>
      <w:tr>
        <w:trPr>
          <w:trHeight w:val="148"/>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2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2022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Business acquisition</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Total fair value measurement adjustments (realized or unrealized)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Included in selling, general and administrative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July 30, 2022</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The amount of total (gains) or losses for the period included in</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1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w w:val="94"/>
              </w:rPr>
              <w:t>earnings attributable to the change in unrealized gains or losses relating to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or liabilities still held at July 30, 2022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79"/>
        <w:spacing w:after="0" w:line="286" w:lineRule="auto"/>
        <w:rPr>
          <w:sz w:val="20"/>
          <w:szCs w:val="20"/>
          <w:color w:val="auto"/>
        </w:rPr>
      </w:pPr>
      <w:r>
        <w:rPr>
          <w:rFonts w:ascii="Arial" w:cs="Arial" w:eastAsia="Arial" w:hAnsi="Arial"/>
          <w:sz w:val="16"/>
          <w:szCs w:val="16"/>
          <w:color w:val="auto"/>
        </w:rPr>
        <w:t>Pursuant to the Intelligent Systems Group business segment (“ISG”) Purchase Agreement, the sellers may receive up to a maximum of $6,000,000 in additional cash consideration (“contingent consideration”), if certain revenue targets are achieved during the three years following closing. 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 During the fiscal year ended April 30, 2022, the targets for the first and second year were achieved, and the related consideration of $2,000,000 for the first target was released from an escrow account that is not controlled by the Company and therefore not recorded on the condensed consolidated balance sheet. During the three months ended July 30, 2022, the related consideration of $2,000,000 for the second target was released from an escrow account that is not controlled by the Company and therefore not recorded on the condensed consolidated balance sheet. The fair value of the contingently returnable consideration is equal to the difference between the maximum value of the contingent consideration and the fair value of the contingent consideration and is recorded in other assets on the condensed consolidated balance sheet.</w:t>
      </w:r>
    </w:p>
    <w:p>
      <w:pPr>
        <w:spacing w:after="0" w:line="174"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Pursuant to the Telerob Purchase Agreement, the Telerob Sellers may receive up to a maximum of €6,000,000 (approximately $7,272,000)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fair value of the contingent consideration is recorded in other current liabilities on the condensed consolidated balance sheet. The first year earnout of €2,000,000 (approximately $2,424,000) was not achieved.</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Refer to Note 18—Business Acquisitions for further details.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42,310</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28,034</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32,619</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Inventories, gross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111,094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102,963</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(12,334)</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98,603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90,629</w:t>
            </w:r>
          </w:p>
        </w:tc>
        <w:tc>
          <w:tcPr>
            <w:tcW w:w="1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ind w:left="40" w:right="99"/>
        <w:spacing w:after="0" w:line="290" w:lineRule="auto"/>
        <w:rPr>
          <w:sz w:val="20"/>
          <w:szCs w:val="20"/>
          <w:color w:val="auto"/>
        </w:rPr>
      </w:pPr>
      <w:r>
        <w:rPr>
          <w:rFonts w:ascii="Arial" w:cs="Arial" w:eastAsia="Arial" w:hAnsi="Arial"/>
          <w:sz w:val="16"/>
          <w:szCs w:val="16"/>
          <w:color w:val="auto"/>
        </w:rPr>
        <w:t>In December 2017, the Company and SoftBank Corp. (“Softbank”) formed a joint venture, HAPSMobile Inc. (“HAPSMobile”), which is a Japanese corporation. Concurrent with the formation of HAPSMobile, the Company executed a Design and Development Agreement (the “DDA”) with HAPSMobile. In connection with the formation of the joint venture on December 27, 2017, the Company initially purchased shares of HAPSMobile representing a 5% ownership. On December 4, 2019, the Company purchased additional shares of HAPSMobile to increase its ownership stake to approximately 7%. In March 2022, the Company sold its 7% equity interest in HAPSMobile to SoftBank, for 808,008,000 yen ($6,497,000) and a gain was recorded in sale of ownership in HAPSMobile Inc. joint venture. Following the sale, SoftBank owns 100% of HAPSMobile, and, therefore, the Company no longer applies the equity method of accounting.</w:t>
      </w:r>
    </w:p>
    <w:p>
      <w:pPr>
        <w:spacing w:after="0" w:line="165" w:lineRule="exact"/>
        <w:rPr>
          <w:sz w:val="20"/>
          <w:szCs w:val="20"/>
          <w:color w:val="auto"/>
        </w:rPr>
      </w:pPr>
    </w:p>
    <w:p>
      <w:pPr>
        <w:jc w:val="both"/>
        <w:ind w:left="40" w:right="379"/>
        <w:spacing w:after="0" w:line="259" w:lineRule="auto"/>
        <w:rPr>
          <w:sz w:val="20"/>
          <w:szCs w:val="20"/>
          <w:color w:val="auto"/>
        </w:rPr>
      </w:pPr>
      <w:r>
        <w:rPr>
          <w:rFonts w:ascii="Arial" w:cs="Arial" w:eastAsia="Arial" w:hAnsi="Arial"/>
          <w:sz w:val="18"/>
          <w:szCs w:val="18"/>
          <w:color w:val="auto"/>
        </w:rPr>
        <w:t>On May 29, 2021, the Company entered into an amendment to the DDA with HAPSMobile. The parties agreed to the amendment in anticipation of the Company and SoftBank entering into a Master Design and Development Agreement (“MDDA”) with each other to continue the design and development of the Solar High Altitude Pseudo-Satellite (“Solar HAPS”) aircraft developed under the DDA.</w:t>
      </w:r>
    </w:p>
    <w:p>
      <w:pPr>
        <w:spacing w:after="0" w:line="187"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On May 29, 2021, the Company and SoftBank entered into a MDDA to continue the development of Solar HAPS.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 Concurrent with the execution of the MDDA, each of SoftBank and the Company agreed to lend HAPSMobile loans which are convertible into shares of HAPSMobile under certain conditions, and to cooperate with each other to explore restructuring and financing options for HAPSMobile to continue the development of Solar HAPS. The Company committed to lend 500,000,000 yen. On June 7, 2021 the Company funded 130,000,000 yen ($1,195,000) of the loan agreement. On August 13, 2021, the Company made the second payment of the loan agreement in the amount of 180,000,000 yen ($1,638,000). On October 29, 2021, the Company made the final payment under the loan agreement in the amount of 190,000,000 yen ($1,674,000). On March 1, 2022, HAPSMobile repaid the Company the loan in full plus accrued interest in the amount of 503,832,000 yen ($4,345,000). The repayment resulted in equity method income during the fiscal year ended April 30, 2022 up to the extent of the previously recognized equity method losses associate with the loan.</w:t>
      </w:r>
    </w:p>
    <w:p>
      <w:pPr>
        <w:spacing w:after="0" w:line="184" w:lineRule="exact"/>
        <w:rPr>
          <w:sz w:val="20"/>
          <w:szCs w:val="20"/>
          <w:color w:val="auto"/>
        </w:rPr>
      </w:pPr>
    </w:p>
    <w:p>
      <w:pPr>
        <w:ind w:left="40" w:right="179"/>
        <w:spacing w:after="0" w:line="275" w:lineRule="auto"/>
        <w:rPr>
          <w:sz w:val="20"/>
          <w:szCs w:val="20"/>
          <w:color w:val="auto"/>
        </w:rPr>
      </w:pPr>
      <w:r>
        <w:rPr>
          <w:rFonts w:ascii="Arial" w:cs="Arial" w:eastAsia="Arial" w:hAnsi="Arial"/>
          <w:sz w:val="17"/>
          <w:szCs w:val="17"/>
          <w:color w:val="auto"/>
        </w:rPr>
        <w:t>Prior to the sale of the equity interest, the Company had the ability to exercise significant influence over the operating and financial policies of HAPSMobile pursuant to the applicable Joint Venture Agreement and related organizational documents, and therefore, the Company’s investment was accounted for as an equity method investment. For the three months ended July 31, 2021, the Company recorded its ownership percentage of the net loss of HAPSMobile, or $1,655,000, in equity method investment loss, net of tax in the condensed consolidated statements of income.</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 in Limited Partnership Funds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July 2019, the Company made its initial capital contribution to a limited partnership fund focusing on highly relevant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technologies and start-up companies serving defense and industrial markets. Under the terms of the limited partnership agreement, the Company contributed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three months ended July 30, 2022, the Company made its initial contribution of $2,774,000. Under the terms of the limited partnership agreement, the Company has committed to make additional capital contributions of $17,226,000 to the fund. The Company accounts for investments in limited partnerships as equity method investments as the Company is deemed to have influence when it holds more than a minor interest. For the three months ended July 30, 2022 and July 31, 2021, the Company recorded its ownership percentage of the net (loss) gain of the limited partnership, or $(500,000) and $514,000, respectively, in equity method investment loss, net of tax in the unaudited condensed consolidated statements of operations. At July 30, 2022 and April 30, 2022, the carrying value of the investment in the limited partnership of $17,707,000 and $15,433,000, respectively, was recorded in long-term investments on the unaudited condensed consolidated balance sheet.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ind w:left="40" w:right="239"/>
        <w:spacing w:after="0" w:line="301" w:lineRule="auto"/>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months ended July 30, 2022 and July 31, 2021, respectively (in thousands):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July 30,</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Balance acquired from acquisition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8. Intangibles, net</w:t>
            </w: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00" w:type="dxa"/>
            <w:vAlign w:val="bottom"/>
          </w:tcPr>
          <w:p>
            <w:pPr>
              <w:spacing w:after="0"/>
              <w:rPr>
                <w:sz w:val="20"/>
                <w:szCs w:val="20"/>
                <w:color w:val="auto"/>
              </w:rPr>
            </w:pPr>
            <w:r>
              <w:rPr>
                <w:rFonts w:ascii="Arial" w:cs="Arial" w:eastAsia="Arial" w:hAnsi="Arial"/>
                <w:sz w:val="18"/>
                <w:szCs w:val="18"/>
                <w:color w:val="auto"/>
              </w:rPr>
              <w:t>The components of intangibles are as follows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67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56,612</w:t>
            </w:r>
          </w:p>
        </w:tc>
        <w:tc>
          <w:tcPr>
            <w:tcW w:w="2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Backlog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(42,043)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91,009</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99"/>
        <w:spacing w:after="0" w:line="342" w:lineRule="auto"/>
        <w:rPr>
          <w:sz w:val="20"/>
          <w:szCs w:val="20"/>
          <w:color w:val="auto"/>
        </w:rPr>
      </w:pPr>
      <w:r>
        <w:rPr>
          <w:rFonts w:ascii="Arial" w:cs="Arial" w:eastAsia="Arial" w:hAnsi="Arial"/>
          <w:sz w:val="16"/>
          <w:szCs w:val="16"/>
          <w:color w:val="auto"/>
        </w:rPr>
        <w:t>The weighted average amortization period at July 30, 2022 and April 30, 2022 was four years. Amortization expense for the three months ended July 30, 2022 and July 31, 2021 was $5,869,000 and $6,973,000, respectively.</w:t>
      </w:r>
    </w:p>
    <w:p>
      <w:pPr>
        <w:spacing w:after="0" w:line="124"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Technology, backlog and customer relationship intangible assets were recognized in conjunction with the Company’s acquisition of Telerob on May 3, 2021. The intangibles recognized in conjunction with the acquisition of Telerob are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color w:val="auto"/>
        </w:rPr>
        <w:t>recorded in Euros, and the balances change in accordance with the foreign currency translation at reporting date. Refer to Note 18—Business Acquisitions for further details.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ending</w:t>
            </w:r>
          </w:p>
        </w:tc>
      </w:tr>
      <w:tr>
        <w:trPr>
          <w:trHeight w:val="17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r>
      <w:tr>
        <w:trPr>
          <w:trHeight w:val="209"/>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Arial" w:cs="Arial" w:eastAsia="Arial" w:hAnsi="Arial"/>
                <w:sz w:val="18"/>
                <w:szCs w:val="18"/>
                <w:color w:val="auto"/>
                <w:w w:val="84"/>
              </w:rPr>
              <w:t>2023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23,161</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20,879</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15,837</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2027</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20" w:type="dxa"/>
            <w:vAlign w:val="bottom"/>
            <w:shd w:val="clear" w:color="auto" w:fill="CCEEFF"/>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82,701</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Small UAS</w:t>
            </w: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TMS</w:t>
            </w:r>
          </w:p>
        </w:tc>
        <w:tc>
          <w:tcPr>
            <w:tcW w:w="6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MUAS</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HAPS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2022</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$ 290,157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$ 37,850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334,347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Additions to goodwill</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09"/>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30, 2022</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$ 290,157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$ 37,294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333,791</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299"/>
        <w:spacing w:after="0" w:line="308" w:lineRule="auto"/>
        <w:rPr>
          <w:sz w:val="20"/>
          <w:szCs w:val="20"/>
          <w:color w:val="auto"/>
        </w:rPr>
      </w:pPr>
      <w:r>
        <w:rPr>
          <w:rFonts w:ascii="Arial" w:cs="Arial" w:eastAsia="Arial" w:hAnsi="Arial"/>
          <w:sz w:val="17"/>
          <w:szCs w:val="17"/>
          <w:color w:val="auto"/>
        </w:rPr>
        <w:t>The goodwill additions to the column entitled “All other” is attributable to the Telerob acquisition recorded in Euros and translated to dollars at each reporting date. Refer to Note 18—Business Acquisitions for further details.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40" w:right="319"/>
        <w:spacing w:after="0" w:line="301" w:lineRule="auto"/>
        <w:rPr>
          <w:sz w:val="20"/>
          <w:szCs w:val="20"/>
          <w:color w:val="auto"/>
        </w:rPr>
      </w:pPr>
      <w:r>
        <w:rPr>
          <w:rFonts w:ascii="Arial" w:cs="Arial" w:eastAsia="Arial" w:hAnsi="Arial"/>
          <w:sz w:val="16"/>
          <w:szCs w:val="16"/>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57"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9" w:lineRule="exact"/>
        <w:rPr>
          <w:sz w:val="20"/>
          <w:szCs w:val="20"/>
          <w:color w:val="auto"/>
        </w:rPr>
      </w:pPr>
    </w:p>
    <w:p>
      <w:pPr>
        <w:ind w:left="40" w:right="239"/>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119"/>
        <w:spacing w:after="0" w:line="342" w:lineRule="auto"/>
        <w:rPr>
          <w:sz w:val="20"/>
          <w:szCs w:val="20"/>
          <w:color w:val="auto"/>
        </w:rPr>
      </w:pPr>
      <w:r>
        <w:rPr>
          <w:rFonts w:ascii="Arial" w:cs="Arial" w:eastAsia="Arial" w:hAnsi="Arial"/>
          <w:sz w:val="16"/>
          <w:szCs w:val="16"/>
          <w:color w:val="auto"/>
        </w:rPr>
        <w:t>In support of its obligations pursuant to the Credit Facilities, the Company has granted security interests in substantially all of the personal property of the Company and its domestic subsidiaries, including a pledge of the equity interests in its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39"/>
        <w:spacing w:after="0" w:line="263" w:lineRule="auto"/>
        <w:rPr>
          <w:sz w:val="20"/>
          <w:szCs w:val="20"/>
          <w:color w:val="auto"/>
        </w:rPr>
      </w:pPr>
      <w:r>
        <w:rPr>
          <w:rFonts w:ascii="Arial" w:cs="Arial" w:eastAsia="Arial" w:hAnsi="Arial"/>
          <w:sz w:val="18"/>
          <w:szCs w:val="18"/>
          <w:color w:val="auto"/>
        </w:rPr>
        <w:t>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4"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66"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w:t>
      </w:r>
    </w:p>
    <w:p>
      <w:pPr>
        <w:spacing w:after="0" w:line="192" w:lineRule="exact"/>
        <w:rPr>
          <w:sz w:val="20"/>
          <w:szCs w:val="20"/>
          <w:color w:val="auto"/>
        </w:rPr>
      </w:pPr>
    </w:p>
    <w:p>
      <w:pPr>
        <w:ind w:left="40" w:right="239"/>
        <w:spacing w:after="0" w:line="254" w:lineRule="auto"/>
        <w:rPr>
          <w:sz w:val="20"/>
          <w:szCs w:val="20"/>
          <w:color w:val="auto"/>
        </w:rPr>
      </w:pPr>
      <w:r>
        <w:rPr>
          <w:rFonts w:ascii="Arial" w:cs="Arial" w:eastAsia="Arial" w:hAnsi="Arial"/>
          <w:sz w:val="18"/>
          <w:szCs w:val="18"/>
          <w:color w:val="auto"/>
        </w:rPr>
        <w:t>The Credit Agreement, as amended by the First Amendment to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95"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As of July 30, 2022, the Company is in compliance with all amended covenants.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July 30,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360" w:type="dxa"/>
            <w:vAlign w:val="bottom"/>
            <w:gridSpan w:val="4"/>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Revolving credit facility</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 term loans</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Unamortized debt issuance costs - revolving credit facility</w:t>
            </w:r>
          </w:p>
        </w:tc>
        <w:tc>
          <w:tcPr>
            <w:tcW w:w="5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1,004</w:t>
            </w:r>
          </w:p>
        </w:tc>
        <w:tc>
          <w:tcPr>
            <w:tcW w:w="180" w:type="dxa"/>
            <w:vAlign w:val="bottom"/>
            <w:vMerge w:val="continue"/>
          </w:tcPr>
          <w:p>
            <w:pPr>
              <w:spacing w:after="0"/>
              <w:rPr>
                <w:sz w:val="17"/>
                <w:szCs w:val="17"/>
                <w:color w:val="auto"/>
              </w:rPr>
            </w:pPr>
          </w:p>
        </w:tc>
        <w:tc>
          <w:tcPr>
            <w:tcW w:w="180" w:type="dxa"/>
            <w:vAlign w:val="bottom"/>
            <w:gridSpan w:val="3"/>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Current period interest rate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w w:val="99"/>
              </w:rPr>
              <w:t>Future long-term debt principal payments at July 30, 2022 were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3"/>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 on the unaudited condensed consolidated balance sheet.</w:t>
      </w:r>
    </w:p>
    <w:p>
      <w:pPr>
        <w:spacing w:after="0" w:line="187"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The Company does not have any material restrictions or covenants in its lease agreements, sale-leaseback transactions, land easements or residual value guarantees.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7"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The components of lease costs recorded in cost of sales and selling, general and administrative (“SG&amp;A”) expense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8"/>
          </w:tcPr>
          <w:p>
            <w:pPr>
              <w:jc w:val="right"/>
              <w:spacing w:after="0"/>
              <w:rPr>
                <w:sz w:val="20"/>
                <w:szCs w:val="20"/>
                <w:color w:val="auto"/>
              </w:rPr>
            </w:pPr>
            <w:r>
              <w:rPr>
                <w:rFonts w:ascii="Arial" w:cs="Arial" w:eastAsia="Arial" w:hAnsi="Arial"/>
                <w:sz w:val="14"/>
                <w:szCs w:val="14"/>
                <w:b w:val="1"/>
                <w:bCs w:val="1"/>
                <w:color w:val="auto"/>
                <w:w w:val="94"/>
              </w:rPr>
              <w:t>Three Months EndedThree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July 30,</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14"/>
              <w:spacing w:after="0" w:line="119" w:lineRule="exact"/>
              <w:rPr>
                <w:sz w:val="20"/>
                <w:szCs w:val="20"/>
                <w:color w:val="auto"/>
              </w:rPr>
            </w:pPr>
            <w:r>
              <w:rPr>
                <w:rFonts w:ascii="Arial" w:cs="Arial" w:eastAsia="Arial" w:hAnsi="Arial"/>
                <w:sz w:val="13"/>
                <w:szCs w:val="13"/>
                <w:b w:val="1"/>
                <w:bCs w:val="1"/>
                <w:color w:val="auto"/>
              </w:rPr>
              <w:t>July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Short term lease cost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4"/>
                <w:szCs w:val="14"/>
                <w:b w:val="1"/>
                <w:bCs w:val="1"/>
                <w:color w:val="auto"/>
                <w:w w:val="93"/>
              </w:rPr>
              <w:t>Three Months Ended 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July 30,</w:t>
            </w: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14"/>
              <w:spacing w:after="0" w:line="119" w:lineRule="exact"/>
              <w:rPr>
                <w:sz w:val="20"/>
                <w:szCs w:val="20"/>
                <w:color w:val="auto"/>
              </w:rPr>
            </w:pPr>
            <w:r>
              <w:rPr>
                <w:rFonts w:ascii="Arial" w:cs="Arial" w:eastAsia="Arial" w:hAnsi="Arial"/>
                <w:sz w:val="13"/>
                <w:szCs w:val="13"/>
                <w:b w:val="1"/>
                <w:bCs w:val="1"/>
                <w:color w:val="auto"/>
              </w:rPr>
              <w:t>July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5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operating lease liabilities</w:t>
            </w:r>
          </w:p>
        </w:tc>
        <w:tc>
          <w:tcPr>
            <w:tcW w:w="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1,173</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 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7580" w:type="dxa"/>
            <w:vAlign w:val="bottom"/>
            <w:gridSpan w:val="6"/>
          </w:tcPr>
          <w:p>
            <w:pPr>
              <w:spacing w:after="0"/>
              <w:rPr>
                <w:sz w:val="20"/>
                <w:szCs w:val="20"/>
                <w:color w:val="auto"/>
              </w:rPr>
            </w:pPr>
            <w:r>
              <w:rPr>
                <w:rFonts w:ascii="Arial" w:cs="Arial" w:eastAsia="Arial" w:hAnsi="Arial"/>
                <w:sz w:val="18"/>
                <w:szCs w:val="18"/>
                <w:color w:val="auto"/>
              </w:rPr>
              <w:t>Maturities of operating lease liabilities as of July 30, 2022 were as follows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27,400</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jc w:val="right"/>
              <w:ind w:right="137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Accumulated Other Comprehensive Income (Loss) and Reclassifications Adjustments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components of accumulated other comprehensive income (loss) and adjustments are as follows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57"/>
              <w:spacing w:after="0" w:line="119" w:lineRule="exact"/>
              <w:rPr>
                <w:sz w:val="20"/>
                <w:szCs w:val="20"/>
                <w:color w:val="auto"/>
              </w:rPr>
            </w:pPr>
            <w:r>
              <w:rPr>
                <w:rFonts w:ascii="Arial" w:cs="Arial" w:eastAsia="Arial" w:hAnsi="Arial"/>
                <w:sz w:val="13"/>
                <w:szCs w:val="13"/>
                <w:b w:val="1"/>
                <w:bCs w:val="1"/>
                <w:color w:val="auto"/>
              </w:rPr>
              <w:t>July 30,</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7"/>
              <w:spacing w:after="0" w:line="119" w:lineRule="exact"/>
              <w:rPr>
                <w:sz w:val="20"/>
                <w:szCs w:val="20"/>
                <w:color w:val="auto"/>
              </w:rPr>
            </w:pPr>
            <w:r>
              <w:rPr>
                <w:rFonts w:ascii="Arial" w:cs="Arial" w:eastAsia="Arial" w:hAnsi="Arial"/>
                <w:sz w:val="13"/>
                <w:szCs w:val="13"/>
                <w:b w:val="1"/>
                <w:bCs w:val="1"/>
                <w:color w:val="auto"/>
              </w:rPr>
              <w:t>July 31,</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Balance, net of $8 and $1 deferred taxes, as of April 30, 2022 and April 30, 2021,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2"/>
        </w:trPr>
        <w:tc>
          <w:tcPr>
            <w:tcW w:w="5980" w:type="dxa"/>
            <w:vAlign w:val="bottom"/>
          </w:tcPr>
          <w:p>
            <w:pPr>
              <w:ind w:left="220"/>
              <w:spacing w:after="0" w:line="201" w:lineRule="exact"/>
              <w:rPr>
                <w:sz w:val="20"/>
                <w:szCs w:val="20"/>
                <w:color w:val="auto"/>
              </w:rPr>
            </w:pPr>
            <w:r>
              <w:rPr>
                <w:rFonts w:ascii="Arial" w:cs="Arial" w:eastAsia="Arial" w:hAnsi="Arial"/>
                <w:sz w:val="18"/>
                <w:szCs w:val="18"/>
                <w:color w:val="auto"/>
                <w:w w:val="95"/>
              </w:rPr>
              <w:t>Unrealized gain (loss) on available-for-sale investments, net of deferred tax</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w w:val="94"/>
              </w:rPr>
              <w:t>expense of $6 and $0 for the three months ended July 30, 2022 and July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2021,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182"/>
        </w:trPr>
        <w:tc>
          <w:tcPr>
            <w:tcW w:w="5980" w:type="dxa"/>
            <w:vAlign w:val="bottom"/>
          </w:tcPr>
          <w:p>
            <w:pPr>
              <w:spacing w:after="0" w:line="182" w:lineRule="exact"/>
              <w:rPr>
                <w:sz w:val="20"/>
                <w:szCs w:val="20"/>
                <w:color w:val="auto"/>
              </w:rPr>
            </w:pPr>
            <w:r>
              <w:rPr>
                <w:rFonts w:ascii="Arial" w:cs="Arial" w:eastAsia="Arial" w:hAnsi="Arial"/>
                <w:sz w:val="18"/>
                <w:szCs w:val="18"/>
                <w:color w:val="auto"/>
                <w:w w:val="93"/>
              </w:rPr>
              <w:t>Balance, net of $2 and $1 deferred taxes, as of July 30, 2022 and July 31, 2021,</w:t>
            </w:r>
          </w:p>
        </w:tc>
        <w:tc>
          <w:tcPr>
            <w:tcW w:w="3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(7,558)</w:t>
            </w:r>
          </w:p>
        </w:tc>
        <w:tc>
          <w:tcPr>
            <w:tcW w:w="16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respectively</w:t>
            </w:r>
          </w:p>
        </w:tc>
        <w:tc>
          <w:tcPr>
            <w:tcW w:w="3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Customer-Funded Research &amp; Development</w:t>
      </w:r>
    </w:p>
    <w:p>
      <w:pPr>
        <w:spacing w:after="0" w:line="216"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$22,999,000 and $16,911,000 for the three months ended July 30, 2022 and July 31, 2021,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Long-Term Incentive Awards</w:t>
      </w:r>
    </w:p>
    <w:p>
      <w:pPr>
        <w:spacing w:after="0" w:line="216"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During the three months ended July 30, 2022, the Company granted awards under its amended and restated 2006 Equity Incentive Plan (the “Restated 2006 Plan”) to key employees (“Fiscal 2023 LTIP”). Awards under the Fiscal 2023 LTIP consist of: (i) time-based restricted stock awards and time-based restricted stock units, which vest in equal tranches in July 2023, July 2024 and July 2025, and (ii) performance-based restricted stock units (“PRSUs”), which vest based on the Company’s achievement of revenue and non-GAAP operating income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months ended July 30, 2022, the Company recorded $397,000 of compensation expense related to the Fiscal 2023 LTIP. The Company recorded no compensation expense related to the Fiscal 2023 LTIP for the three months ended July 31, 2021. At July 30, 2022, the maximum compensation expense that may be recorded for the performance-based portion of the Fiscal 2023 LTIP is $12,829,000.</w:t>
      </w:r>
    </w:p>
    <w:p>
      <w:pPr>
        <w:spacing w:after="0" w:line="167"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During the three months ended July 31, 2021, the Company granted awards under the Restated 2006 Plan to key employees (“Fiscal 2022 LTIP”). Awards under the Fiscal 2022 LTIP consist of: (i) time-based restricted stock awards and time-based restricted stock units, which vest in equal tranches in July 2022, July 2023 and July 2024, and (ii) PRSUs, which vest based on the Company’s achievement of revenue and non-GAAP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months ended July 30, 2022 and July 31, 2021, the Company recorded $195,000 and $308,000 of compensation expense related to the Fiscal 2022 LTIP, respectively. At July 30, 2022, the maximum compensation expense that may be recorded for the performance-based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portion of the Fiscal 2022 LTIP is $10,148,000.</w:t>
      </w:r>
    </w:p>
    <w:p>
      <w:pPr>
        <w:spacing w:after="0" w:line="225"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During the three months ended August 1, 2020, the Company granted awards under the Restated 2006 Plan to key employees (“Fiscal 2021 LTIP”). Awards under the Fiscal 2021 LTIP consist of: (i) time-based restricted stock awards, which vest in equal tranches in July 2021, July 2022 and July 2023, and (ii)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the Company’s common stock. For the three months ended July 30, 2022 and July 31, 2021, the Company recorded $76,000 and $65,000 of compensation expense related to the Fiscal 2021 LTIP, respectively. At July 30, 2022, the maximum compensation expense that may be recorded for the performance-based portion of the Fiscal 2021 LTIP is $5,858,000.</w:t>
      </w:r>
    </w:p>
    <w:p>
      <w:pPr>
        <w:spacing w:after="0" w:line="174" w:lineRule="exact"/>
        <w:rPr>
          <w:sz w:val="20"/>
          <w:szCs w:val="20"/>
          <w:color w:val="auto"/>
        </w:rPr>
      </w:pPr>
    </w:p>
    <w:p>
      <w:pPr>
        <w:ind w:left="40" w:right="259"/>
        <w:spacing w:after="0" w:line="254" w:lineRule="auto"/>
        <w:rPr>
          <w:sz w:val="20"/>
          <w:szCs w:val="20"/>
          <w:color w:val="auto"/>
        </w:rPr>
      </w:pPr>
      <w:r>
        <w:rPr>
          <w:rFonts w:ascii="Arial" w:cs="Arial" w:eastAsia="Arial" w:hAnsi="Arial"/>
          <w:sz w:val="18"/>
          <w:szCs w:val="18"/>
          <w:color w:val="auto"/>
        </w:rPr>
        <w:t>During the three months ended July 27, 2019, the Company also granted awards under the Restated 2006 Plan to key employees (“Fiscal 2020 LTIP”). Awards under the Fiscal 2020 LTIP consist of: (i) time-based restricted stock awards, which vest in equal tranches in July 2020, July 2021 and July 2022, and (ii) PRSUs, which vest based on the Company’s achievement of revenue and operating income targets for the three-year period ending April 30, 2022. During the three months ended July 31, 2022, the Company issued a total of 5,678 fully-vested shares of the Company’s common stock to settle the PRSUs in the Fiscal 2020 LTIP. For the three months ended July 30, 2022 and July 31, 2021, the Company recorded no compensation expense and a reversal of $(1,000) of compensation expense related to the Fiscal 2020 LTIP, respectively.</w:t>
      </w:r>
    </w:p>
    <w:p>
      <w:pPr>
        <w:spacing w:after="0" w:line="192" w:lineRule="exact"/>
        <w:rPr>
          <w:sz w:val="20"/>
          <w:szCs w:val="20"/>
          <w:color w:val="auto"/>
        </w:rPr>
      </w:pPr>
    </w:p>
    <w:p>
      <w:pPr>
        <w:ind w:left="40" w:right="159"/>
        <w:spacing w:after="0" w:line="275" w:lineRule="auto"/>
        <w:rPr>
          <w:sz w:val="20"/>
          <w:szCs w:val="20"/>
          <w:color w:val="auto"/>
        </w:rPr>
      </w:pPr>
      <w:r>
        <w:rPr>
          <w:rFonts w:ascii="Arial" w:cs="Arial" w:eastAsia="Arial" w:hAnsi="Arial"/>
          <w:sz w:val="17"/>
          <w:szCs w:val="17"/>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Income Taxes</w:t>
      </w:r>
    </w:p>
    <w:p>
      <w:pPr>
        <w:spacing w:after="0" w:line="216"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For the three months ended July 30, 2022, the Company recorded a provision for income taxes of $2,606,000 yielding an effective tax rate of (49.3)%. For the three months ended July 31, 2021, the Company recorded a benefit from income taxes of $(957,000) yielding an effective tax rate of 7.0%. The variance from statutory rates for the three months ended July 30, 2022 was primarily due to a combination of federal R&amp;D credits and the foreign-derived intangible income deduction and projected fiscal 2023 pre-tax income. The variance from statutory rates for the three months ended July 31, 2021 was primarily due to federal R&amp;D credits, foreign derived intangible income deductions and the recording of discrete excess tax benefits resulting from the vesting of restricted stock awards and exercises of stock options.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Share Repurchase</w:t>
      </w:r>
    </w:p>
    <w:p>
      <w:pPr>
        <w:spacing w:after="0" w:line="216" w:lineRule="exact"/>
        <w:rPr>
          <w:sz w:val="20"/>
          <w:szCs w:val="20"/>
          <w:color w:val="auto"/>
        </w:rPr>
      </w:pPr>
    </w:p>
    <w:p>
      <w:pPr>
        <w:ind w:left="40" w:right="539"/>
        <w:spacing w:after="0" w:line="296" w:lineRule="auto"/>
        <w:rPr>
          <w:sz w:val="20"/>
          <w:szCs w:val="20"/>
          <w:color w:val="auto"/>
        </w:rPr>
      </w:pPr>
      <w:r>
        <w:rPr>
          <w:rFonts w:ascii="Arial" w:cs="Arial" w:eastAsia="Arial" w:hAnsi="Arial"/>
          <w:sz w:val="16"/>
          <w:szCs w:val="16"/>
          <w:color w:val="auto"/>
        </w:rPr>
        <w:t>In September 2015, the Company’s Board of Directors authorized a program to repurchase up to $25,000,000 of the Company’s common stock with no specified termination date for the program. No shares were repurchased under the program during the three months ended July 30, 2022 or July 31, 2021. As of July 30, 2022 and April 30, 2022, approximately $21,200,000 remained authorized for future repurchases under this program. In September 2022, the Company’s Board of Directors terminated the repurchase program effective immediately.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jc w:val="both"/>
        <w:ind w:left="40" w:right="159"/>
        <w:spacing w:after="0" w:line="279" w:lineRule="auto"/>
        <w:rPr>
          <w:sz w:val="20"/>
          <w:szCs w:val="20"/>
          <w:color w:val="auto"/>
        </w:rPr>
      </w:pPr>
      <w:r>
        <w:rPr>
          <w:rFonts w:ascii="Arial" w:cs="Arial" w:eastAsia="Arial" w:hAnsi="Arial"/>
          <w:sz w:val="17"/>
          <w:szCs w:val="17"/>
          <w:color w:val="auto"/>
        </w:rPr>
        <w:t>Related party transactions are defined as transactions between the Company and entities either controlled by the Company or that the Company can significantly influence. Prior to the Company’s sale of all of its equity interest in HAPSMobile in March 2022, the Company determined that it had the ability to exercise significant influence over HAPSMobile. As such, HAPSMobile and SoftBank were considered related parties of the Company prior to the sale.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72" w:lineRule="auto"/>
        <w:rPr>
          <w:sz w:val="20"/>
          <w:szCs w:val="20"/>
          <w:color w:val="auto"/>
        </w:rPr>
      </w:pPr>
      <w:r>
        <w:rPr>
          <w:rFonts w:ascii="Arial" w:cs="Arial" w:eastAsia="Arial" w:hAnsi="Arial"/>
          <w:sz w:val="17"/>
          <w:szCs w:val="17"/>
          <w:color w:val="auto"/>
        </w:rPr>
        <w:t>Subsequent to the sale, the Company had no ownership stake in HAPSMobile and SoftBank and HAPSMobile are no longer considered related parties. Under the DDA and related efforts with HAPSMobile, the Company designed and built prototype solar powered high altitude aircraft and ground control stations for HAPSMobile and conducted low altitude and high altitude flight tests of the prototype aircraft on a best efforts basis. The Company will continue the development of Solar HAPS with Softbank under the MDDA. Upon the execution of the MDDA, SoftBank issued the first order under the MDDA, which has a maximum value of approximately $51,200,000. The Company recorded revenue under both the MDDA and DDA of $10,352,000 for the three months ended July 31, 2021.</w:t>
      </w:r>
    </w:p>
    <w:p>
      <w:pPr>
        <w:spacing w:after="0" w:line="173" w:lineRule="exact"/>
        <w:rPr>
          <w:sz w:val="20"/>
          <w:szCs w:val="20"/>
          <w:color w:val="auto"/>
        </w:rPr>
      </w:pPr>
    </w:p>
    <w:p>
      <w:pPr>
        <w:ind w:left="40" w:right="7059" w:firstLine="4"/>
        <w:spacing w:after="0" w:line="603" w:lineRule="auto"/>
        <w:tabs>
          <w:tab w:leader="none" w:pos="31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Business Acquisitions Telerob Acquisition</w:t>
      </w:r>
    </w:p>
    <w:p>
      <w:pPr>
        <w:spacing w:after="0" w:line="1" w:lineRule="exact"/>
        <w:rPr>
          <w:sz w:val="20"/>
          <w:szCs w:val="20"/>
          <w:color w:val="auto"/>
        </w:rPr>
      </w:pPr>
    </w:p>
    <w:p>
      <w:pPr>
        <w:jc w:val="both"/>
        <w:ind w:left="40" w:right="199"/>
        <w:spacing w:after="0" w:line="263" w:lineRule="auto"/>
        <w:rPr>
          <w:sz w:val="20"/>
          <w:szCs w:val="20"/>
          <w:color w:val="auto"/>
        </w:rPr>
      </w:pPr>
      <w:r>
        <w:rPr>
          <w:rFonts w:ascii="Arial" w:cs="Arial" w:eastAsia="Arial" w:hAnsi="Arial"/>
          <w:sz w:val="18"/>
          <w:szCs w:val="18"/>
          <w:color w:val="auto"/>
        </w:rPr>
        <w:t>On May 3, 2021, the Company closed its acquisition of Telerob pursuant to the terms of the Telerob Purchase Agreement. Telerob develops, manufactures, sells, and services remote-controlled unmanned ground robots and transport vehicles for civil and defense applications.</w:t>
      </w:r>
    </w:p>
    <w:p>
      <w:pPr>
        <w:spacing w:after="0" w:line="184" w:lineRule="exact"/>
        <w:rPr>
          <w:sz w:val="20"/>
          <w:szCs w:val="20"/>
          <w:color w:val="auto"/>
        </w:rPr>
      </w:pPr>
    </w:p>
    <w:p>
      <w:pPr>
        <w:ind w:left="40" w:right="159"/>
        <w:spacing w:after="0" w:line="285" w:lineRule="auto"/>
        <w:rPr>
          <w:sz w:val="20"/>
          <w:szCs w:val="20"/>
          <w:color w:val="auto"/>
        </w:rPr>
      </w:pPr>
      <w:r>
        <w:rPr>
          <w:rFonts w:ascii="Arial" w:cs="Arial" w:eastAsia="Arial" w:hAnsi="Arial"/>
          <w:sz w:val="16"/>
          <w:szCs w:val="16"/>
          <w:color w:val="auto"/>
        </w:rPr>
        <w:t>Pursuant to the Telerob Purchase Agreement at closing, the Company paid €37,455,000 (approximately $45,400,000) in cash to the Telerob Seller (subject to certain purchase price adjustments as set forth in the Telerob Purchase Agreement), less (a) €3,000,000 (approximately $3,636,000) to be held in escrow for breaches of the Telerob Seller’s fundamental warranties or any other of Telerob Seller’s warranties to the extent not covered by a representation and warranty insurance policy (the “RWI Policy”) obtained by the Company in support of certain indemnifications provided by the Telerob Seller;</w:t>
      </w:r>
    </w:p>
    <w:p>
      <w:pPr>
        <w:spacing w:after="0" w:line="2" w:lineRule="exact"/>
        <w:rPr>
          <w:sz w:val="20"/>
          <w:szCs w:val="20"/>
          <w:color w:val="auto"/>
        </w:rPr>
      </w:pPr>
    </w:p>
    <w:p>
      <w:pPr>
        <w:ind w:left="40" w:right="79" w:firstLine="4"/>
        <w:spacing w:after="0" w:line="290" w:lineRule="auto"/>
        <w:tabs>
          <w:tab w:leader="none" w:pos="295"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transaction-related fees and costs incurred by the Telerob Seller, including change in control payments triggered by the transaction; and (c) 50% of the cost of obtaining the RWI Policy. In addition, at closing the Company paid off approximately €7,811,000 (approximately $9,468,000), of certain indebtedness of Telerob, which amount was paid in combination to the Telerob Seller and the lender under an agreement between Telerob GmbH and the lender providing for a reduced payoff amount. This indebtedness was offset by cash on hand at Telerob at closing. The escrow amount is to be released to the Telerob Seller, less any amounts paid or reserved, 30 months following the closing date.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addition to the consideration paid at closing, the Telerob Seller may receive €2,000,000 (approximately $2,424,000) 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cash consideration if specific revenue targets for Telerob are achieved during the 12 month period after closing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beginning on the first day of the calendar month following the closing (the “First Earnout Year”) and an additional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€2,000,000 (approximately $2,424,000) in cash consideration if specific revenue targets for Telerob are achieved in the 12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month period following the First Earnout Year. The Telerob Seller may also receive up to €2,000,000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$2,424,000) in additional cash consideration if specific awards and/or orders from the U.S. military are achieved prior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end of a 36-month post-closing period. The first year earnout of €2,000,000 (approximately $2,424,000) was not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achieved.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86" w:lineRule="auto"/>
        <w:rPr>
          <w:sz w:val="20"/>
          <w:szCs w:val="20"/>
          <w:color w:val="auto"/>
        </w:rPr>
      </w:pPr>
      <w:r>
        <w:rPr>
          <w:rFonts w:ascii="Arial" w:cs="Arial" w:eastAsia="Arial" w:hAnsi="Arial"/>
          <w:sz w:val="17"/>
          <w:szCs w:val="17"/>
          <w:color w:val="auto"/>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201"/>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Fair value of assets acquired:</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Unbilled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Operating lease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Backlog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liabilities assumed: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Wages and related accruals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Customer advances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operating lease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consideration, net of cash acquired</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Telerob Supplemental Pro Forma Information (unaudited)</w:t>
      </w:r>
    </w:p>
    <w:p>
      <w:pPr>
        <w:spacing w:after="0" w:line="22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The following unaudited pro forma summary presents condensed consolidated information of the Company as if the business acquisition had occurred on May 1, 2020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Three Months Ended</w:t>
            </w:r>
          </w:p>
        </w:tc>
      </w:tr>
      <w:tr>
        <w:trPr>
          <w:trHeight w:val="211"/>
        </w:trPr>
        <w:tc>
          <w:tcPr>
            <w:tcW w:w="5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July 31,</w:t>
            </w:r>
          </w:p>
        </w:tc>
      </w:tr>
      <w:tr>
        <w:trPr>
          <w:trHeight w:val="201"/>
        </w:trPr>
        <w:tc>
          <w:tcPr>
            <w:tcW w:w="50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2021</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101,009</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loss attributable to AeroVironment, Inc.</w:t>
            </w:r>
          </w:p>
        </w:tc>
        <w:tc>
          <w:tcPr>
            <w:tcW w:w="2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(12,298)</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spacing w:after="0" w:line="171"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color w:val="auto"/>
        </w:rPr>
        <w:t>The Company incurred approximately $411,000 of acquisition-related expenses for the three months ended July 31,2021. These expenses are included in selling, general and administrative on the Company’s unaudited condensed consolidated statement of operations.</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2020,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Pension</w:t>
      </w:r>
    </w:p>
    <w:p>
      <w:pPr>
        <w:spacing w:after="0" w:line="229"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2022.</w:t>
      </w:r>
    </w:p>
    <w:p>
      <w:pPr>
        <w:spacing w:after="0" w:line="188" w:lineRule="exact"/>
        <w:rPr>
          <w:sz w:val="20"/>
          <w:szCs w:val="20"/>
          <w:color w:val="auto"/>
        </w:rPr>
      </w:pPr>
    </w:p>
    <w:p>
      <w:pPr>
        <w:ind w:left="40" w:right="419"/>
        <w:spacing w:after="0" w:line="263" w:lineRule="auto"/>
        <w:rPr>
          <w:sz w:val="20"/>
          <w:szCs w:val="20"/>
          <w:color w:val="auto"/>
        </w:rPr>
      </w:pPr>
      <w:r>
        <w:rPr>
          <w:rFonts w:ascii="Arial" w:cs="Arial" w:eastAsia="Arial" w:hAnsi="Arial"/>
          <w:sz w:val="18"/>
          <w:szCs w:val="18"/>
          <w:color w:val="auto"/>
        </w:rPr>
        <w:t>The table below includes the projected benefit obligation and fair value of plan assets as of April 30, 2022. The net projected benefit obligation (in thousands) is recorded in other assets on the unaudited condensed consolidated balance sheet.</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24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w:t>
            </w:r>
          </w:p>
        </w:tc>
        <w:tc>
          <w:tcPr>
            <w:tcW w:w="2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r>
      <w:tr>
        <w:trPr>
          <w:trHeight w:val="21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of the plan</w:t>
            </w:r>
          </w:p>
        </w:tc>
        <w:tc>
          <w:tcPr>
            <w:tcW w:w="2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The projected benefit obligation includes assumptions of a discount rate of 1.7% and pension increase for in-payment benefits of 1.5% for July 30, 2022 and April 30, 2022.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2023. The Company assumed expected return on plan assets of 2.9% for July 30, 2022 and April 30, 2022.</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Expected benefits payments as of April 30, 2022 (in thousands):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2028-2032</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benefit payments</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w w:val="95"/>
              </w:rPr>
              <w:t>Net periodic benefit cost (in thousands) is recorded in interest expense, net.</w:t>
            </w: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July 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 Segments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reportable segments are as follows:</w:t>
      </w:r>
    </w:p>
    <w:p>
      <w:pPr>
        <w:spacing w:after="0" w:line="225" w:lineRule="exact"/>
        <w:rPr>
          <w:sz w:val="20"/>
          <w:szCs w:val="20"/>
          <w:color w:val="auto"/>
        </w:rPr>
      </w:pPr>
    </w:p>
    <w:p>
      <w:pPr>
        <w:jc w:val="both"/>
        <w:ind w:left="40" w:right="79"/>
        <w:spacing w:after="0" w:line="259" w:lineRule="auto"/>
        <w:rPr>
          <w:sz w:val="20"/>
          <w:szCs w:val="20"/>
          <w:color w:val="auto"/>
        </w:rPr>
      </w:pPr>
      <w:r>
        <w:rPr>
          <w:rFonts w:ascii="Arial" w:cs="Arial" w:eastAsia="Arial" w:hAnsi="Arial"/>
          <w:sz w:val="18"/>
          <w:szCs w:val="18"/>
          <w:i w:val="1"/>
          <w:iCs w:val="1"/>
          <w:color w:val="auto"/>
        </w:rPr>
        <w:t>Small Unmanned Aircraft Systems</w:t>
      </w:r>
      <w:r>
        <w:rPr>
          <w:rFonts w:ascii="Arial" w:cs="Arial" w:eastAsia="Arial" w:hAnsi="Arial"/>
          <w:sz w:val="18"/>
          <w:szCs w:val="18"/>
          <w:color w:val="auto"/>
        </w:rPr>
        <w:t>—The Small UAS segment focuses primarily on products designed to operate reliably at</w:t>
      </w:r>
      <w:r>
        <w:rPr>
          <w:rFonts w:ascii="Arial" w:cs="Arial" w:eastAsia="Arial" w:hAnsi="Arial"/>
          <w:sz w:val="18"/>
          <w:szCs w:val="18"/>
          <w:i w:val="1"/>
          <w:iCs w:val="1"/>
          <w:color w:val="auto"/>
        </w:rPr>
        <w:t xml:space="preserve"> </w:t>
      </w:r>
      <w:r>
        <w:rPr>
          <w:rFonts w:ascii="Arial" w:cs="Arial" w:eastAsia="Arial" w:hAnsi="Arial"/>
          <w:sz w:val="18"/>
          <w:szCs w:val="18"/>
          <w:color w:val="auto"/>
        </w:rPr>
        <w:t>very low altitudes in a wide range of environmental conditions, providing a vantage point from which to collect and deliver valuable information as well as related support services including training, spare parts, product repair, product replacement, and the customer contracted operation.</w:t>
      </w:r>
    </w:p>
    <w:p>
      <w:pPr>
        <w:spacing w:after="0" w:line="187" w:lineRule="exact"/>
        <w:rPr>
          <w:sz w:val="20"/>
          <w:szCs w:val="20"/>
          <w:color w:val="auto"/>
        </w:rPr>
      </w:pPr>
    </w:p>
    <w:p>
      <w:pPr>
        <w:ind w:left="40" w:right="359"/>
        <w:spacing w:after="0" w:line="279" w:lineRule="auto"/>
        <w:rPr>
          <w:sz w:val="20"/>
          <w:szCs w:val="20"/>
          <w:color w:val="auto"/>
        </w:rPr>
      </w:pPr>
      <w:r>
        <w:rPr>
          <w:rFonts w:ascii="Arial" w:cs="Arial" w:eastAsia="Arial" w:hAnsi="Arial"/>
          <w:sz w:val="17"/>
          <w:szCs w:val="17"/>
          <w:i w:val="1"/>
          <w:iCs w:val="1"/>
          <w:color w:val="auto"/>
        </w:rPr>
        <w:t>Tactical Missile Systems</w:t>
      </w:r>
      <w:r>
        <w:rPr>
          <w:rFonts w:ascii="Arial" w:cs="Arial" w:eastAsia="Arial" w:hAnsi="Arial"/>
          <w:sz w:val="17"/>
          <w:szCs w:val="17"/>
          <w:color w:val="auto"/>
        </w:rPr>
        <w:t>—The TMS segment focuses primarily on TMS products, which are tube-launched aircraft that</w:t>
      </w:r>
      <w:r>
        <w:rPr>
          <w:rFonts w:ascii="Arial" w:cs="Arial" w:eastAsia="Arial" w:hAnsi="Arial"/>
          <w:sz w:val="17"/>
          <w:szCs w:val="17"/>
          <w:i w:val="1"/>
          <w:iCs w:val="1"/>
          <w:color w:val="auto"/>
        </w:rPr>
        <w:t xml:space="preserve"> </w:t>
      </w:r>
      <w:r>
        <w:rPr>
          <w:rFonts w:ascii="Arial" w:cs="Arial" w:eastAsia="Arial" w:hAnsi="Arial"/>
          <w:sz w:val="17"/>
          <w:szCs w:val="17"/>
          <w:color w:val="auto"/>
        </w:rPr>
        <w:t>deploy with the push of a button, fly at higher speeds than small UAS products, and perform either effects delivery or reconnaissance missions, and related support services including training, spare parts, product repair, and product replacement. The TMS segment also includes customer-funded research and development programs.</w:t>
      </w:r>
    </w:p>
    <w:p>
      <w:pPr>
        <w:spacing w:after="0" w:line="171"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i w:val="1"/>
          <w:iCs w:val="1"/>
          <w:color w:val="auto"/>
        </w:rPr>
        <w:t>Medium Unmanned Aircraft Systems</w:t>
      </w:r>
      <w:r>
        <w:rPr>
          <w:rFonts w:ascii="Arial" w:cs="Arial" w:eastAsia="Arial" w:hAnsi="Arial"/>
          <w:sz w:val="18"/>
          <w:szCs w:val="18"/>
          <w:color w:val="auto"/>
        </w:rPr>
        <w:t>—The MUAS segment, which originates with the acquisition of Arcturus, focuses 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designs, engineers, tools, and manufactures unmanned aerial and aircraft systems including airborne platforms, payloads and payload integration, ground control systems, and ground support equipment and other items and services related generally to unmanned aircraft systems including ISR services.</w:t>
      </w:r>
    </w:p>
    <w:p>
      <w:pPr>
        <w:spacing w:after="0" w:line="187"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i w:val="1"/>
          <w:iCs w:val="1"/>
          <w:color w:val="auto"/>
        </w:rPr>
        <w:t xml:space="preserve">High Altitude Pseudo-Satellite Unmanned Aircraft Systems </w:t>
      </w:r>
      <w:r>
        <w:rPr>
          <w:rFonts w:ascii="Arial" w:cs="Arial" w:eastAsia="Arial" w:hAnsi="Arial"/>
          <w:sz w:val="18"/>
          <w:szCs w:val="18"/>
          <w:color w:val="auto"/>
        </w:rPr>
        <w:t>(“HAPS”)—The HAPS segment consists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development of High Altitude Pseudo-Satellite systems in conjunction with SoftBank.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All other</w:t>
      </w:r>
      <w:r>
        <w:rPr>
          <w:rFonts w:ascii="Arial" w:cs="Arial" w:eastAsia="Arial" w:hAnsi="Arial"/>
          <w:sz w:val="16"/>
          <w:szCs w:val="16"/>
          <w:color w:val="auto"/>
        </w:rPr>
        <w:t>—All other segments include MacCready Works (which includes the recently acquired ISG business) and Telerob.</w:t>
      </w:r>
    </w:p>
    <w:p>
      <w:pPr>
        <w:spacing w:after="0" w:line="248" w:lineRule="exact"/>
        <w:rPr>
          <w:sz w:val="20"/>
          <w:szCs w:val="20"/>
          <w:color w:val="auto"/>
        </w:rPr>
      </w:pPr>
    </w:p>
    <w:p>
      <w:pPr>
        <w:ind w:left="40" w:right="299"/>
        <w:spacing w:after="0" w:line="273" w:lineRule="auto"/>
        <w:rPr>
          <w:sz w:val="20"/>
          <w:szCs w:val="20"/>
          <w:color w:val="auto"/>
        </w:rPr>
      </w:pPr>
      <w:r>
        <w:rPr>
          <w:rFonts w:ascii="Arial" w:cs="Arial" w:eastAsia="Arial" w:hAnsi="Arial"/>
          <w:sz w:val="17"/>
          <w:szCs w:val="17"/>
          <w:color w:val="auto"/>
        </w:rPr>
        <w:t>The accounting policies of the segments are the same as those described in Note 1, “Organization and Significant Accounting Policies.” The operating segments do not make sales to each other. The following table (in thousands) sets forth segment revenue, gross margin, income (loss) from operations and adjusted income (loss) from operations for the periods indicated. Adjusted income (loss) from operations is defined as income (loss) from operations before intangible amortization, amortization of purchase accounting adjustment related to increasing the carrying value of certain assets to fair value, and acquisition related expenses.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Small UAS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TMS</w:t>
            </w:r>
          </w:p>
        </w:tc>
        <w:tc>
          <w:tcPr>
            <w:tcW w:w="23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July 30, 2022</w:t>
            </w: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$ 43,256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21,296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July 31, 2021</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Small UAS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$ 39,924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101,009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16,920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Segment assets are summarized in the table below. Corporate assets primarily consist of cash and cash equivalents, short-term investments, prepaid expenses and other current assets, long-term investments, property and equipment, net, operating lease right-of-use assets, deferred income taxes and other assets managed centrally on behalf of the business segments.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July 30, 2022</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MUAS</w:t>
            </w:r>
          </w:p>
        </w:tc>
        <w:tc>
          <w:tcPr>
            <w:tcW w:w="140" w:type="dxa"/>
            <w:vAlign w:val="bottom"/>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HAPS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Corporate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$ 102,098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$ 83,864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$ 383,579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$ 9,863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$ 85,133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$ 232,121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896,658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80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16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MUAS</w:t>
            </w: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April 30, 2022</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Corporate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HAPS</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$ 110,286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$ 91,862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$ 388,058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$ 8,148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$ 86,617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$ 229,229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914,200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ind w:left="40" w:right="159"/>
        <w:spacing w:after="0" w:line="270" w:lineRule="auto"/>
        <w:rPr>
          <w:sz w:val="20"/>
          <w:szCs w:val="20"/>
          <w:color w:val="auto"/>
        </w:rPr>
      </w:pPr>
      <w:r>
        <w:rPr>
          <w:rFonts w:ascii="Arial" w:cs="Arial" w:eastAsia="Arial" w:hAnsi="Arial"/>
          <w:sz w:val="17"/>
          <w:szCs w:val="17"/>
          <w:color w:val="auto"/>
        </w:rPr>
        <w:t>On August 17, 2022 the Company closed its acquisition of Planck Aerosystems, Inc. (“Planck”), a leading provider of advanced unmanned aircraft navigation solutions based in San Diego, California. Pursuant to the purchase agreement, the Company paid a total purchase price of $5,600,000 from cash-on-hand for certain assets of Planck. Planck is a small technology company and post-acquisition will be incorporated into AeroVironment’s MUAS segment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operation from moving vehicles and vessels in any environment, and a suite of machine-learning object detection and tracking systems that are customized for specific end-user needs.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9"/>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left="40" w:right="119"/>
        <w:spacing w:after="0" w:line="287" w:lineRule="auto"/>
        <w:rPr>
          <w:sz w:val="20"/>
          <w:szCs w:val="20"/>
          <w:color w:val="auto"/>
        </w:rPr>
      </w:pPr>
      <w:r>
        <w:rPr>
          <w:rFonts w:ascii="Arial" w:cs="Arial" w:eastAsia="Arial" w:hAnsi="Arial"/>
          <w:sz w:val="16"/>
          <w:szCs w:val="16"/>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2022, as updated by our subsequent filings under the Securities and Exchange Act of 1934, as amended (“the Exchange Act”).</w:t>
      </w:r>
    </w:p>
    <w:p>
      <w:pPr>
        <w:spacing w:after="0" w:line="1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2022.</w:t>
      </w:r>
    </w:p>
    <w:p>
      <w:pPr>
        <w:spacing w:after="0" w:line="170"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9" w:lineRule="exact"/>
        <w:rPr>
          <w:sz w:val="20"/>
          <w:szCs w:val="20"/>
          <w:color w:val="auto"/>
        </w:rPr>
      </w:pPr>
    </w:p>
    <w:p>
      <w:pPr>
        <w:ind w:left="40" w:right="139"/>
        <w:spacing w:after="0" w:line="286" w:lineRule="auto"/>
        <w:rPr>
          <w:sz w:val="20"/>
          <w:szCs w:val="20"/>
          <w:color w:val="auto"/>
        </w:rPr>
      </w:pPr>
      <w:r>
        <w:rPr>
          <w:rFonts w:ascii="Arial" w:cs="Arial" w:eastAsia="Arial" w:hAnsi="Arial"/>
          <w:sz w:val="17"/>
          <w:szCs w:val="17"/>
          <w:color w:val="auto"/>
        </w:rPr>
        <w:t xml:space="preserve">We recognize revenue in accordance with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requires revenue to be recognized when promised goods or services are transferred to customers in amounts that reflect the consideration to which we expect to be entitled in exchange for those goods or services.</w:t>
      </w:r>
    </w:p>
    <w:p>
      <w:pPr>
        <w:spacing w:after="0" w:line="165" w:lineRule="exact"/>
        <w:rPr>
          <w:sz w:val="20"/>
          <w:szCs w:val="20"/>
          <w:color w:val="auto"/>
        </w:rPr>
      </w:pPr>
    </w:p>
    <w:p>
      <w:pPr>
        <w:ind w:left="40" w:right="139"/>
        <w:spacing w:after="0" w:line="287" w:lineRule="auto"/>
        <w:rPr>
          <w:sz w:val="20"/>
          <w:szCs w:val="20"/>
          <w:color w:val="auto"/>
        </w:rPr>
      </w:pPr>
      <w:r>
        <w:rPr>
          <w:rFonts w:ascii="Arial" w:cs="Arial" w:eastAsia="Arial" w:hAnsi="Arial"/>
          <w:sz w:val="16"/>
          <w:szCs w:val="16"/>
          <w:color w:val="auto"/>
        </w:rPr>
        <w:t>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small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months ended July 30, 2022 and July 31, 2021, changes in accounting estimates on contracts recognized over time are presented below.</w:t>
      </w:r>
    </w:p>
    <w:p>
      <w:pPr>
        <w:spacing w:after="0" w:line="177"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For the three months ended July 30, 2022 and July 31, 2021,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July 30,</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r>
      <w:tr>
        <w:trPr>
          <w:trHeight w:val="171"/>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(2,093)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r>
      <w:tr>
        <w:trPr>
          <w:trHeight w:val="210"/>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(unfavorable) favorable adjustments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For the three months ended July 30, 2022, favorable cumulative catch-up adjustments of $1.3 million were primarily due to final cost adjustments on 14 contracts, which individually were not material. For the same period, unfavorable cumulative catch-up adjustments of $2.1 million were primarily related to higher than expected costs on four contracts. During the three months ended July 30, 2022,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$1.1 million.</w:t>
      </w:r>
    </w:p>
    <w:p>
      <w:pPr>
        <w:spacing w:after="0" w:line="178"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For the three months ended July 31, 2021, favorable cumulative catch-up adjustments of $0.6 million were primarily due to final cost adjustments on 17 contracts, which individually were not material. For the same period, unfavorable cumulative catch-up adjustments of $0.8 million were primarily related to higher than expected costs on 10 contracts, which individually were not material.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40" w:right="139"/>
        <w:spacing w:after="0" w:line="311"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2023 fiscal year ends on April 30, 2023 and our fiscal quarters end on July 30, 2022, October 29, 2022 and January 28, 2023, respectively.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tables set forth our results of operations for the periods indicated (in thousands):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July 30, 2022 Compared to Three Months Ended July 31, 2021</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July 30,</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r>
      <w:tr>
        <w:trPr>
          <w:trHeight w:val="171"/>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101,009</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28,723</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27,128</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(13,734)</w:t>
            </w:r>
          </w:p>
        </w:tc>
        <w:tc>
          <w:tcPr>
            <w:tcW w:w="100" w:type="dxa"/>
            <w:vAlign w:val="bottom"/>
          </w:tcPr>
          <w:p>
            <w:pPr>
              <w:spacing w:after="0"/>
              <w:rPr>
                <w:sz w:val="18"/>
                <w:szCs w:val="18"/>
                <w:color w:val="auto"/>
              </w:rPr>
            </w:pPr>
          </w:p>
        </w:tc>
      </w:tr>
      <w:tr>
        <w:trPr>
          <w:trHeight w:val="22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Equity method investment loss, net of tax</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r>
      <w:tr>
        <w:trPr>
          <w:trHeight w:val="210"/>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We have identified four reportable segments, Small Unmanned Aircraft Systems (“Small UAS”), Tactical Missile Systems (“TMS”), Medium Unmanned Aircraft Systems (“MUAS”) and High Altitude Pseudo-Satellite Unmanned Aircraft Systems (“HAPS”). The Small UAS segment consists of our existing small UAS product lines. The TMS segment consists of our existing tactical missile systems product lines. The MUAS segment consists of our acquired Arcturus business. The HAPS segment consists of the Company’s existing development of High Altitude Pseudo-Satellite systems in conjunction with SoftBank. The category entitled “All other” includes MacCready Works, which includes the recently acquired ISG, and Telerob businesses.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 All corporate and headquarter expenses are allocated to the reportable segments.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Small UAS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TMS</w:t>
            </w:r>
          </w:p>
        </w:tc>
        <w:tc>
          <w:tcPr>
            <w:tcW w:w="23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July 30, 2022</w:t>
            </w: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43,256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July 31, 2021</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Small UAS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39,924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16,920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28,723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right="599"/>
        <w:spacing w:after="0" w:line="308" w:lineRule="auto"/>
        <w:rPr>
          <w:sz w:val="20"/>
          <w:szCs w:val="20"/>
          <w:color w:val="auto"/>
        </w:rPr>
      </w:pPr>
      <w:r>
        <w:rPr>
          <w:rFonts w:ascii="Arial" w:cs="Arial" w:eastAsia="Arial" w:hAnsi="Arial"/>
          <w:sz w:val="17"/>
          <w:szCs w:val="17"/>
          <w:color w:val="auto"/>
        </w:rPr>
        <w:t>The Company recorded intangible amortization expense and other purchase accounting adjustments in the following categories on the accompanying unaudited condensed consolidated statements of operations: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78"/>
              <w:spacing w:after="0" w:line="119" w:lineRule="exact"/>
              <w:rPr>
                <w:sz w:val="20"/>
                <w:szCs w:val="20"/>
                <w:color w:val="auto"/>
              </w:rPr>
            </w:pPr>
            <w:r>
              <w:rPr>
                <w:rFonts w:ascii="Arial" w:cs="Arial" w:eastAsia="Arial" w:hAnsi="Arial"/>
                <w:sz w:val="13"/>
                <w:szCs w:val="13"/>
                <w:b w:val="1"/>
                <w:bCs w:val="1"/>
                <w:color w:val="auto"/>
              </w:rPr>
              <w:t>July 30,</w:t>
            </w: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77"/>
              <w:spacing w:after="0" w:line="119" w:lineRule="exact"/>
              <w:rPr>
                <w:sz w:val="20"/>
                <w:szCs w:val="20"/>
                <w:color w:val="auto"/>
              </w:rPr>
            </w:pPr>
            <w:r>
              <w:rPr>
                <w:rFonts w:ascii="Arial" w:cs="Arial" w:eastAsia="Arial" w:hAnsi="Arial"/>
                <w:sz w:val="13"/>
                <w:szCs w:val="13"/>
                <w:b w:val="1"/>
                <w:bCs w:val="1"/>
                <w:color w:val="auto"/>
              </w:rPr>
              <w:t>July 31,</w:t>
            </w:r>
          </w:p>
        </w:tc>
        <w:tc>
          <w:tcPr>
            <w:tcW w:w="140" w:type="dxa"/>
            <w:vAlign w:val="bottom"/>
          </w:tcPr>
          <w:p>
            <w:pPr>
              <w:spacing w:after="0"/>
              <w:rPr>
                <w:sz w:val="10"/>
                <w:szCs w:val="10"/>
                <w:color w:val="auto"/>
              </w:rPr>
            </w:pPr>
          </w:p>
        </w:tc>
      </w:tr>
      <w:tr>
        <w:trPr>
          <w:trHeight w:val="171"/>
        </w:trPr>
        <w:tc>
          <w:tcPr>
            <w:tcW w:w="43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0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1,026</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July 30, 2022 was $108.5 million, as compared to $101.0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July 31, 2021, representing an increase of $7.5 million, or 7%. The increase in revenue was due to an increase in product revenue of $4.9 million and service revenue of $2.6 million. The increase in product revenue was primarily due to an increase in small UAS and UGV product revenue. The increase in service revenue was primarily due to an increase in revenue from customer-funded research and development efforts, partially offset by a decrease in TMS service revenue and a decrease in MUAS service revenue.</w:t>
      </w:r>
    </w:p>
    <w:p>
      <w:pPr>
        <w:spacing w:after="0" w:line="178" w:lineRule="exact"/>
        <w:rPr>
          <w:sz w:val="20"/>
          <w:szCs w:val="20"/>
          <w:color w:val="auto"/>
        </w:rPr>
      </w:pPr>
    </w:p>
    <w:p>
      <w:pPr>
        <w:ind w:left="40" w:right="99"/>
        <w:spacing w:after="0" w:line="290"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July 30, 2022 was $74.8 million, as compared to $72.3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July 31, 2021, representing an increase of $2.5 million, or 3%. The increase in cost of sales was a result of an increase in service cost of sales of $2.2 million and an increase in product costs of sales of $0.3 million. The increase in service cost of sales was primarily due to the increase in service revenues. The increase in product costs of sales was primarily due to an increase in product revenue, partially offset by a favorable product mix. Cost of sales for the three months ended July 30, 2022 included $3.0 million of intangible amortization and other related non-cash purchase accounting expenses as compared to $4.0 million for the three months ended July 31, 2021. As a percentage of revenue, cost of sales decreased from 72% to 69%, primarily due to a favorable product mix.</w:t>
      </w:r>
    </w:p>
    <w:p>
      <w:pPr>
        <w:spacing w:after="0" w:line="165" w:lineRule="exact"/>
        <w:rPr>
          <w:sz w:val="20"/>
          <w:szCs w:val="20"/>
          <w:color w:val="auto"/>
        </w:rPr>
      </w:pPr>
    </w:p>
    <w:p>
      <w:pPr>
        <w:ind w:left="40" w:right="59"/>
        <w:spacing w:after="0" w:line="291"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July 30, 2022 was $33.7 million, as compared to $28.7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July 31, 2021, representing an increase of $5.0 million, or 17%. The increase in gross margin was due to an increase in product margin of $4.5 million and an increase in service margin of $0.4 million. The increase in product margin was primarily due to the increase in product sales and a favorable product mix. The increase in service margin was primarily due to an increase in service revenue. As a percentage of revenue, gross margin increased from 28% to 31%, primarily due to a favorable product mix. Additionally, we expect inflationary and supply chain constraint trends to continue throughout our fiscal year 2023, which will negatively impact our gross margin across all our segments.</w:t>
      </w:r>
    </w:p>
    <w:p>
      <w:pPr>
        <w:spacing w:after="0" w:line="162" w:lineRule="exact"/>
        <w:rPr>
          <w:sz w:val="20"/>
          <w:szCs w:val="20"/>
          <w:color w:val="auto"/>
        </w:rPr>
      </w:pPr>
    </w:p>
    <w:p>
      <w:pPr>
        <w:jc w:val="both"/>
        <w:ind w:left="40" w:right="139"/>
        <w:spacing w:after="0" w:line="314"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for the three months ended July 30, 2022 was $21.9 million, or 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as compared to SG&amp;A expense of $27.1 million, or 27% of revenue, for the three months ended July 31, 2021. The decrease in SG&amp;A expense was primarily due to a decrease in acquisition-related expenses of $2.9</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million, a decrease in intangible amortization and other related non-cash purchase accounting expenses of $1.2 million, and a decrease in employee related expenses.</w:t>
      </w:r>
    </w:p>
    <w:p>
      <w:pPr>
        <w:spacing w:after="0" w:line="170" w:lineRule="exact"/>
        <w:rPr>
          <w:sz w:val="20"/>
          <w:szCs w:val="20"/>
          <w:color w:val="auto"/>
        </w:rPr>
      </w:pPr>
    </w:p>
    <w:p>
      <w:pPr>
        <w:ind w:left="40" w:right="379"/>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30, 2022 was $15.0 million, or 14%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$13.7 million, or 14% of revenue, for the three months ended July 31, 2021, primarily due to an increase in development activities regarding enhanced capabilities for our products, development of new product lines and to support our acquired businesses.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three months ended July 30, 2022 was $1.6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net of $1.3 million for the three months ended July 31, 2021. The increase in interest expense, net was primarily due to an increase in interest expense resulting from higher interest rates on our debt facility, partially offset by lower average outstanding balances.</w:t>
      </w:r>
    </w:p>
    <w:p>
      <w:pPr>
        <w:spacing w:after="0" w:line="187"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three months ended July 30, 2022 was $0.4 million compared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net of $0.3 million for the three months ended July 31, 2021.</w:t>
      </w:r>
    </w:p>
    <w:p>
      <w:pPr>
        <w:spacing w:after="0" w:line="170" w:lineRule="exact"/>
        <w:rPr>
          <w:sz w:val="20"/>
          <w:szCs w:val="20"/>
          <w:color w:val="auto"/>
        </w:rPr>
      </w:pPr>
    </w:p>
    <w:p>
      <w:pPr>
        <w:ind w:left="40" w:right="79"/>
        <w:spacing w:after="0" w:line="301" w:lineRule="auto"/>
        <w:rPr>
          <w:sz w:val="20"/>
          <w:szCs w:val="20"/>
          <w:color w:val="auto"/>
        </w:rPr>
      </w:pPr>
      <w:r>
        <w:rPr>
          <w:rFonts w:ascii="Arial" w:cs="Arial" w:eastAsia="Arial" w:hAnsi="Arial"/>
          <w:sz w:val="16"/>
          <w:szCs w:val="16"/>
          <w:b w:val="1"/>
          <w:bCs w:val="1"/>
          <w:i w:val="1"/>
          <w:iCs w:val="1"/>
          <w:color w:val="auto"/>
        </w:rPr>
        <w:t xml:space="preserve">Provision for (Benefit from) Income Taxes. </w:t>
      </w:r>
      <w:r>
        <w:rPr>
          <w:rFonts w:ascii="Arial" w:cs="Arial" w:eastAsia="Arial" w:hAnsi="Arial"/>
          <w:sz w:val="16"/>
          <w:szCs w:val="16"/>
          <w:color w:val="auto"/>
        </w:rPr>
        <w:t>Our effective income tax rate was (49.3)% for the three months ended July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as compared to 7.0% for the three months ended July 31, 2021. The decrease in our effective income tax rate was primarily due to the projected negative full fiscal year 2023 effective tax rate which was primarily driven by our projected pre-tax income combined with federal R&amp;D tax credits and foreign-derived intangible income deductions.</w:t>
      </w:r>
    </w:p>
    <w:p>
      <w:pPr>
        <w:spacing w:after="0" w:line="157"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three months ended July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was $0.5 million as compared to $1.1 million for the three months ended July 31, 2021. In March 2022, the Company sold its 7% equity interest in HAPSMobile to SoftBank. Subsequent to the equity interest sale in HAPSMobile during the three months ended April 30, 2022, equity method investment loss, net of tax relates to activity related to investments in limited partnership funds.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July 30, 2022, our funded backlog was approximately $203.9 million.</w:t>
      </w:r>
    </w:p>
    <w:p>
      <w:pPr>
        <w:spacing w:after="0" w:line="184" w:lineRule="exact"/>
        <w:rPr>
          <w:sz w:val="20"/>
          <w:szCs w:val="20"/>
          <w:color w:val="auto"/>
        </w:rPr>
      </w:pPr>
    </w:p>
    <w:p>
      <w:pPr>
        <w:ind w:left="40" w:right="119"/>
        <w:spacing w:after="0" w:line="268" w:lineRule="auto"/>
        <w:rPr>
          <w:sz w:val="20"/>
          <w:szCs w:val="20"/>
          <w:color w:val="auto"/>
        </w:rPr>
      </w:pPr>
      <w:r>
        <w:rPr>
          <w:rFonts w:ascii="Arial" w:cs="Arial" w:eastAsia="Arial" w:hAnsi="Arial"/>
          <w:sz w:val="17"/>
          <w:szCs w:val="17"/>
          <w:color w:val="auto"/>
        </w:rPr>
        <w:t>In addition to our funded backlog, we also had unfunded backlog of $327.9 million as of July 30, 2022. Unfunded backlog does not meet the definition of a performance obligation under ASC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includes a $235.2 million contract with a third party that is pending export license approval prior to the funding of the contract. Unfunded backlog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 Additionally, unfunded backlog on the SOCOM MEUAS contract reflects only those sites which have been awarded to Arcturus UAV, Inc. (“Arcturus”) and does not include the remaining potential value associated with the entire SOCOM MEUAV III/IV contract.</w:t>
      </w:r>
    </w:p>
    <w:p>
      <w:pPr>
        <w:spacing w:after="0" w:line="186"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On February 19, 2021 in connection with the consummation of the Arcturus acquisition, we entered into the Credit Agreement for (i) the Revolving Facility, and (ii) the Term Loan Facility, and together with the Revolving Credit Facility,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$3.8 million as of July 30, 2022. As of July 30, 2022, approximately $96.2 million was available under the Revolving Facility. Borrowings under the Revolving Facility may be used for working capital and other general corporate purposes. Refer to Note 10— Debt to our unaudited condensed consolidated financial statements in Part I, Item 1 of this Quarterly Report on Form 10-Q for further details. In addition, Telerob has a line of credit of €5.5 million ($5.6 million) available for issuing letters of credit of which €1.7 million ($1.7 million) was outstanding as of July 30, 2022.</w:t>
      </w:r>
    </w:p>
    <w:p>
      <w:pPr>
        <w:spacing w:after="0" w:line="168" w:lineRule="exact"/>
        <w:rPr>
          <w:sz w:val="20"/>
          <w:szCs w:val="20"/>
          <w:color w:val="auto"/>
        </w:rPr>
      </w:pPr>
    </w:p>
    <w:p>
      <w:pPr>
        <w:ind w:left="40" w:right="139"/>
        <w:spacing w:after="0" w:line="288" w:lineRule="auto"/>
        <w:rPr>
          <w:sz w:val="20"/>
          <w:szCs w:val="20"/>
          <w:color w:val="auto"/>
        </w:rPr>
      </w:pPr>
      <w:r>
        <w:rPr>
          <w:rFonts w:ascii="Arial" w:cs="Arial" w:eastAsia="Arial" w:hAnsi="Arial"/>
          <w:sz w:val="16"/>
          <w:szCs w:val="16"/>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ISG and Telerob.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68"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Agreement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7"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ongoing COVID-19 pandemic, we continue to hold a significant portion of our investments in U.S. government and U.S. government agency securities.</w:t>
      </w:r>
    </w:p>
    <w:p>
      <w:pPr>
        <w:spacing w:after="0" w:line="188" w:lineRule="exact"/>
        <w:rPr>
          <w:sz w:val="20"/>
          <w:szCs w:val="20"/>
          <w:color w:val="auto"/>
        </w:rPr>
      </w:pPr>
    </w:p>
    <w:p>
      <w:pPr>
        <w:ind w:left="40" w:right="259"/>
        <w:spacing w:after="0" w:line="296" w:lineRule="auto"/>
        <w:rPr>
          <w:sz w:val="20"/>
          <w:szCs w:val="20"/>
          <w:color w:val="auto"/>
        </w:rPr>
      </w:pPr>
      <w:r>
        <w:rPr>
          <w:rFonts w:ascii="Arial" w:cs="Arial" w:eastAsia="Arial" w:hAnsi="Arial"/>
          <w:sz w:val="16"/>
          <w:szCs w:val="16"/>
          <w:color w:val="auto"/>
        </w:rPr>
        <w:t>During the fiscal year ended April 30, 2022, we made certain commitments outside of the ordinary course of business, including capital contribution commitments to a second limited partnership fund. Under the terms of the new limited partnership agreement, we have committed to make capital contributions to such fund totaling $20.0 million, inclusive of the expected reinvestment of distributions from our existing limited partnership fund, of which $17.2 million was remaining at July 30, 2022. The contributions are anticipated to be paid over the next five fiscal years. As of July 30,</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spacing w:after="0" w:line="311" w:lineRule="auto"/>
        <w:rPr>
          <w:sz w:val="20"/>
          <w:szCs w:val="20"/>
          <w:color w:val="auto"/>
        </w:rPr>
      </w:pPr>
      <w:r>
        <w:rPr>
          <w:rFonts w:ascii="Arial" w:cs="Arial" w:eastAsia="Arial" w:hAnsi="Arial"/>
          <w:sz w:val="16"/>
          <w:szCs w:val="16"/>
          <w:color w:val="auto"/>
        </w:rPr>
        <w:t>2022, $10 million remains of the obligation under the legal settlement with Webasto which will be paid during the fiscal year ending April 30, 2023. On August 17, 2022 the Company acquired certain assets of Planck Aerosystems, Inc. (“Planck”), for $5.1 million plus a $0.5 million holdback, which was financed entirely from existing cash on hand.</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our cash flow data for the three months ended July 30, 2022 and July 31, 2021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1"/>
              <w:spacing w:after="0" w:line="119" w:lineRule="exact"/>
              <w:rPr>
                <w:sz w:val="20"/>
                <w:szCs w:val="20"/>
                <w:color w:val="auto"/>
              </w:rPr>
            </w:pPr>
            <w:r>
              <w:rPr>
                <w:rFonts w:ascii="Arial" w:cs="Arial" w:eastAsia="Arial" w:hAnsi="Arial"/>
                <w:sz w:val="13"/>
                <w:szCs w:val="13"/>
                <w:b w:val="1"/>
                <w:bCs w:val="1"/>
                <w:color w:val="auto"/>
              </w:rPr>
              <w:t>July 30,</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28"/>
        </w:trPr>
        <w:tc>
          <w:tcPr>
            <w:tcW w:w="5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gridSpan w:val="4"/>
          </w:tcPr>
          <w:p>
            <w:pPr>
              <w:jc w:val="right"/>
              <w:ind w:right="678"/>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(15,304)</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3,787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(36,345)</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59"/>
        <w:spacing w:after="0" w:line="273" w:lineRule="auto"/>
        <w:rPr>
          <w:sz w:val="20"/>
          <w:szCs w:val="20"/>
          <w:color w:val="auto"/>
        </w:rPr>
      </w:pPr>
      <w:r>
        <w:rPr>
          <w:rFonts w:ascii="Arial" w:cs="Arial" w:eastAsia="Arial" w:hAnsi="Arial"/>
          <w:sz w:val="17"/>
          <w:szCs w:val="17"/>
          <w:b w:val="1"/>
          <w:bCs w:val="1"/>
          <w:i w:val="1"/>
          <w:iCs w:val="1"/>
          <w:color w:val="auto"/>
        </w:rPr>
        <w:t xml:space="preserve">Cash Provided by (Used in) Operating Activities. </w:t>
      </w:r>
      <w:r>
        <w:rPr>
          <w:rFonts w:ascii="Arial" w:cs="Arial" w:eastAsia="Arial" w:hAnsi="Arial"/>
          <w:sz w:val="17"/>
          <w:szCs w:val="17"/>
          <w:color w:val="auto"/>
        </w:rPr>
        <w:t>Net cash provided by operating activities for the three months ended July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2022 increased by $31.2 million to $15.9 million, as compared to net cash used in operating activities of $15.3 million for the three months ended July 31, 2021. The increase in net cash provided by operating activities was primarily due to an increase in cash as a result of changes in operating assets and liabilities of $25.3 million, largely related to unbilled receivables and retentions and accounts payable, partially offset by a decrease in accounts receivable and inventories due to year over year timing differences and a decrease in net loss of $5.5 million.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 xml:space="preserve">Cash Provided by (Used in) Investing Activities. </w:t>
      </w:r>
      <w:r>
        <w:rPr>
          <w:rFonts w:ascii="Arial" w:cs="Arial" w:eastAsia="Arial" w:hAnsi="Arial"/>
          <w:sz w:val="16"/>
          <w:szCs w:val="16"/>
          <w:color w:val="auto"/>
        </w:rPr>
        <w:t>Net cash provided by investing activities increased by $40.1 million to</w:t>
      </w:r>
    </w:p>
    <w:p>
      <w:pPr>
        <w:spacing w:after="0" w:line="46" w:lineRule="exact"/>
        <w:rPr>
          <w:sz w:val="20"/>
          <w:szCs w:val="20"/>
          <w:color w:val="auto"/>
        </w:rPr>
      </w:pPr>
    </w:p>
    <w:p>
      <w:pPr>
        <w:jc w:val="both"/>
        <w:ind w:left="40" w:right="99"/>
        <w:spacing w:after="0" w:line="253" w:lineRule="auto"/>
        <w:rPr>
          <w:sz w:val="20"/>
          <w:szCs w:val="20"/>
          <w:color w:val="auto"/>
        </w:rPr>
      </w:pPr>
      <w:r>
        <w:rPr>
          <w:rFonts w:ascii="Arial" w:cs="Arial" w:eastAsia="Arial" w:hAnsi="Arial"/>
          <w:sz w:val="18"/>
          <w:szCs w:val="18"/>
          <w:color w:val="auto"/>
        </w:rPr>
        <w:t>$3.8 million for the three months ended July 30, 2022, as compared to net cash used in investing activities of $36.3 million for the three months ended July 31, 2021. The increase in net cash provided by investing activities was primarily due to the acquisition of Telerob for $46.2 million in the prior year quarter, partially offset by a decrease in redemptions of available-for-sale investments of $4.6 million.</w:t>
      </w:r>
    </w:p>
    <w:p>
      <w:pPr>
        <w:spacing w:after="0" w:line="193"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 xml:space="preserve">Cash Used in Financing Activities. </w:t>
      </w:r>
      <w:r>
        <w:rPr>
          <w:rFonts w:ascii="Arial" w:cs="Arial" w:eastAsia="Arial" w:hAnsi="Arial"/>
          <w:sz w:val="18"/>
          <w:szCs w:val="18"/>
          <w:color w:val="auto"/>
        </w:rPr>
        <w:t>Net cash used in financing activities decreased by $6.2 million to $3.3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July 30, 2022, as compared to net cash used by financing activities of $9.6 million for the three months ended July 31, 2021. The decrease in net cash used by financing activities was primarily due to a decrease in holdback and retention payments related to business acquisitions of $6.0 million.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40" w:right="679"/>
        <w:spacing w:after="0" w:line="311" w:lineRule="auto"/>
        <w:rPr>
          <w:sz w:val="20"/>
          <w:szCs w:val="20"/>
          <w:color w:val="auto"/>
        </w:rPr>
      </w:pPr>
      <w:r>
        <w:rPr>
          <w:rFonts w:ascii="Arial" w:cs="Arial" w:eastAsia="Arial" w:hAnsi="Arial"/>
          <w:sz w:val="16"/>
          <w:szCs w:val="16"/>
          <w:color w:val="auto"/>
        </w:rPr>
        <w:t>Please refer to Note 1—Organization and Significant Accounting Policies to our unaudited condensed consolidated financial statements in Part I, Item 1 of this Quarterly Report on Form 10-Q for a discussion of new accounting pronouncements and accounting pronouncements adopted during the three months ended July 30, 2022.</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$187.5 million and bears a variable interest rate. The market interest rate has increased significantly, and if market interest rates continue to increase, interest due on the Credit Facilities would increase.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6"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July 30, 2022, the end of the period covered by this Quarterly Report on Form 10-Q.</w:t>
      </w:r>
    </w:p>
    <w:p>
      <w:pPr>
        <w:spacing w:after="0" w:line="187" w:lineRule="exact"/>
        <w:rPr>
          <w:sz w:val="20"/>
          <w:szCs w:val="20"/>
          <w:color w:val="auto"/>
        </w:rPr>
      </w:pPr>
    </w:p>
    <w:p>
      <w:pPr>
        <w:ind w:left="40" w:right="119"/>
        <w:spacing w:after="0" w:line="286" w:lineRule="auto"/>
        <w:rPr>
          <w:sz w:val="20"/>
          <w:szCs w:val="20"/>
          <w:color w:val="auto"/>
        </w:rPr>
      </w:pPr>
      <w:r>
        <w:rPr>
          <w:rFonts w:ascii="Arial" w:cs="Arial" w:eastAsia="Arial" w:hAnsi="Arial"/>
          <w:sz w:val="17"/>
          <w:szCs w:val="17"/>
          <w:color w:val="auto"/>
        </w:rPr>
        <w:t>Based on the foregoing, and in light of the material weaknesses identified in our internal control over financial reporting as disclosed in our Form 10-K for the fiscal year ended April 30, 2022, our Chief Executive Officer and Chief Financial Officer concluded that, as of July 30, 2022, our disclosure controls and procedures were not effective.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225" w:lineRule="exact"/>
        <w:rPr>
          <w:sz w:val="20"/>
          <w:szCs w:val="20"/>
          <w:color w:val="auto"/>
        </w:rPr>
      </w:pPr>
    </w:p>
    <w:p>
      <w:pPr>
        <w:ind w:left="40" w:right="59"/>
        <w:spacing w:after="0" w:line="255" w:lineRule="auto"/>
        <w:rPr>
          <w:sz w:val="20"/>
          <w:szCs w:val="20"/>
          <w:color w:val="auto"/>
        </w:rPr>
      </w:pPr>
      <w:r>
        <w:rPr>
          <w:rFonts w:ascii="Arial" w:cs="Arial" w:eastAsia="Arial" w:hAnsi="Arial"/>
          <w:sz w:val="18"/>
          <w:szCs w:val="18"/>
          <w:color w:val="auto"/>
        </w:rPr>
        <w:t>As of the date of this report, management has implemented measures it believes will remediate the identified deficiencies for one of the newly acquired businesses as certain IT systems at certain newly acquired businesses related to inventory and cost of sales were transitioned to the Corporate ERP system in late May 2022. Regarding the material weaknesses identified in the other acquisition, management’s remediation efforts are ongoing, and management has committed to a remediation plan to address the deficiencies and enhance the internal control environment. The remediation plan includes, but is not limited to:</w:t>
      </w:r>
    </w:p>
    <w:p>
      <w:pPr>
        <w:spacing w:after="0" w:line="192" w:lineRule="exact"/>
        <w:rPr>
          <w:sz w:val="20"/>
          <w:szCs w:val="20"/>
          <w:color w:val="auto"/>
        </w:rPr>
      </w:pPr>
    </w:p>
    <w:p>
      <w:pPr>
        <w:ind w:left="720" w:right="259" w:hanging="325"/>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rationalizing access privileges for all system users and documenting the assignment of access privileges and the rationale for allowing access for each authorized user to address segregation of duties;</w:t>
      </w:r>
    </w:p>
    <w:p>
      <w:pPr>
        <w:spacing w:after="0" w:line="146" w:lineRule="exact"/>
        <w:rPr>
          <w:rFonts w:ascii="Arial" w:cs="Arial" w:eastAsia="Arial" w:hAnsi="Arial"/>
          <w:sz w:val="17"/>
          <w:szCs w:val="17"/>
          <w:color w:val="auto"/>
        </w:rPr>
      </w:pPr>
    </w:p>
    <w:p>
      <w:pPr>
        <w:ind w:left="720" w:right="2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implementing controls that require the periodic re-evaluation of user access privileges, including administrative access;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enhancing system monitoring controls to confirm the adequacy of program change management controls;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25"/>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of personnel on the design and operation of our internal controls over financial reporting, as well as the hiring of additional resources with experience with the Committee of Sponsoring Organizations, or COSO, guidance.</w:t>
      </w:r>
    </w:p>
    <w:p>
      <w:pPr>
        <w:spacing w:after="0" w:line="184" w:lineRule="exact"/>
        <w:rPr>
          <w:sz w:val="20"/>
          <w:szCs w:val="20"/>
          <w:color w:val="auto"/>
        </w:rPr>
      </w:pPr>
    </w:p>
    <w:p>
      <w:pPr>
        <w:ind w:left="40" w:right="79"/>
        <w:spacing w:after="0" w:line="296" w:lineRule="auto"/>
        <w:rPr>
          <w:sz w:val="20"/>
          <w:szCs w:val="20"/>
          <w:color w:val="auto"/>
        </w:rPr>
      </w:pPr>
      <w:r>
        <w:rPr>
          <w:rFonts w:ascii="Arial" w:cs="Arial" w:eastAsia="Arial" w:hAnsi="Arial"/>
          <w:sz w:val="16"/>
          <w:szCs w:val="16"/>
          <w:color w:val="auto"/>
        </w:rPr>
        <w:t>However, remedial controls must operate for a sufficient period of time for a definitive conclusion, through testing, that the deficiencies have been fully remediated and, as such, management can give no assurance that the measures it has undertaken have fully remediated the material weaknesses that it has identified or that additional material weaknesses will not arise in the future. Management will continue to monitor the effectiveness of these and other processes, procedures, and controls and will make any further changes that management determines to be appropriate.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139"/>
        <w:spacing w:after="0" w:line="301" w:lineRule="auto"/>
        <w:rPr>
          <w:sz w:val="20"/>
          <w:szCs w:val="20"/>
          <w:color w:val="auto"/>
        </w:rPr>
      </w:pPr>
      <w:r>
        <w:rPr>
          <w:rFonts w:ascii="Arial" w:cs="Arial" w:eastAsia="Arial" w:hAnsi="Arial"/>
          <w:sz w:val="16"/>
          <w:szCs w:val="16"/>
          <w:color w:val="auto"/>
        </w:rPr>
        <w:t>Except for the remediation activities related to the material weaknesses described above, there were no changes in our internal control over financial reporting or in other factors identified in connection with the evaluation required by paragraph (d) of Rules 13a-15 or 15d-15 under the Exchange Act that occurred during the quarter ended July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filed our answer on December 16, 2021. Discovery in this lawsuit has begun and is ongoing. We continue to mount a vigorous defense.</w:t>
      </w:r>
    </w:p>
    <w:p>
      <w:pPr>
        <w:spacing w:after="0" w:line="176" w:lineRule="exact"/>
        <w:rPr>
          <w:sz w:val="20"/>
          <w:szCs w:val="20"/>
          <w:color w:val="auto"/>
        </w:rPr>
      </w:pPr>
    </w:p>
    <w:p>
      <w:pPr>
        <w:jc w:val="both"/>
        <w:ind w:left="40" w:right="139"/>
        <w:spacing w:after="0" w:line="311"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There have been no material changes to the risk factors disclosed under Part I, Item 1A, “Risk Factors,” of our Annual Report on Form 10-K for the fiscal year ended April 30, 2022. Please refer to that section for disclosures regarding the risks and uncertainties related to our business.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79"/>
        <w:spacing w:after="0" w:line="289"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 our Board of Directors. No shares were repurchased in the three months ended July 30, 2022. As of July 30, 2022, approximately $21.2 million remained authorized for future repurchases under the Share Repurchase Program. In September 2022, the Company’s Board of Directors terminated the repurchase program effective immediately.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3"/>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c>
          <w:tcPr>
            <w:tcW w:w="5380" w:type="dxa"/>
            <w:vAlign w:val="bottom"/>
            <w:tcBorders>
              <w:bottom w:val="single" w:sz="8" w:color="auto"/>
            </w:tcBorders>
            <w:gridSpan w:val="7"/>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89"/>
              </w:rPr>
              <w:t>3.1(1)</w:t>
            </w:r>
          </w:p>
        </w:tc>
        <w:tc>
          <w:tcPr>
            <w:tcW w:w="20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5400" w:type="dxa"/>
            <w:vAlign w:val="bottom"/>
            <w:tcBorders>
              <w:bottom w:val="single" w:sz="8" w:color="0000EE"/>
            </w:tcBorders>
            <w:gridSpan w:val="4"/>
          </w:tcPr>
          <w:p>
            <w:pPr>
              <w:spacing w:after="0" w:line="189"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Amended and Restated Certificate of Incorporation of AeroVironment, Inc.</w:t>
              </w:r>
            </w:hyperlink>
          </w:p>
        </w:tc>
        <w:tc>
          <w:tcPr>
            <w:tcW w:w="2500" w:type="dxa"/>
            <w:vAlign w:val="bottom"/>
            <w:gridSpan w:val="4"/>
          </w:tcPr>
          <w:p>
            <w:pPr>
              <w:spacing w:after="0"/>
              <w:rPr>
                <w:sz w:val="16"/>
                <w:szCs w:val="16"/>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89"/>
              </w:rPr>
              <w:t>3.2(2)</w:t>
            </w:r>
          </w:p>
        </w:tc>
        <w:tc>
          <w:tcPr>
            <w:tcW w:w="200" w:type="dxa"/>
            <w:vAlign w:val="bottom"/>
          </w:tcPr>
          <w:p>
            <w:pPr>
              <w:spacing w:after="0"/>
              <w:rPr>
                <w:sz w:val="19"/>
                <w:szCs w:val="19"/>
                <w:color w:val="auto"/>
              </w:rPr>
            </w:pPr>
          </w:p>
        </w:tc>
        <w:tc>
          <w:tcPr>
            <w:tcW w:w="7920" w:type="dxa"/>
            <w:vAlign w:val="bottom"/>
            <w:gridSpan w:val="9"/>
          </w:tcPr>
          <w:p>
            <w:pPr>
              <w:spacing w:after="0"/>
              <w:rPr>
                <w:rFonts w:ascii="Arial" w:cs="Arial" w:eastAsia="Arial" w:hAnsi="Arial"/>
                <w:sz w:val="18"/>
                <w:szCs w:val="18"/>
                <w:color w:val="0000EE"/>
              </w:rPr>
            </w:pPr>
            <w:hyperlink r:id="rId52">
              <w:r>
                <w:rPr>
                  <w:rFonts w:ascii="Arial" w:cs="Arial" w:eastAsia="Arial" w:hAnsi="Arial"/>
                  <w:sz w:val="18"/>
                  <w:szCs w:val="18"/>
                  <w:color w:val="0000EE"/>
                </w:rPr>
                <w:t>Third Amended and Restated Bylaws of AeroVironment, Inc.</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amended as of February 25, 2022</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19"/>
                <w:szCs w:val="19"/>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0000EE"/>
                <w:w w:val="96"/>
              </w:rPr>
              <w:t>Certification of Chief Executive Officer pursuant to Rule 13a-14(a) and Rule 15d-14(a) of the Securities</w:t>
            </w: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Exchange Act of 1934, as amended</w:t>
            </w:r>
            <w:r>
              <w:rPr>
                <w:rFonts w:ascii="Arial" w:cs="Arial" w:eastAsia="Arial" w:hAnsi="Arial"/>
                <w:sz w:val="18"/>
                <w:szCs w:val="18"/>
                <w:color w:val="000000"/>
              </w:rPr>
              <w:t>.</w:t>
            </w:r>
          </w:p>
        </w:tc>
        <w:tc>
          <w:tcPr>
            <w:tcW w:w="420" w:type="dxa"/>
            <w:vAlign w:val="bottom"/>
            <w:gridSpan w:val="2"/>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20"/>
                <w:szCs w:val="20"/>
                <w:color w:val="auto"/>
              </w:rPr>
            </w:pPr>
          </w:p>
        </w:tc>
        <w:tc>
          <w:tcPr>
            <w:tcW w:w="74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Certification of Chief Financial Officer pursuant to Rule 13a-14(a) and Rule 15d-14(a) of the Securities</w:t>
            </w:r>
          </w:p>
        </w:tc>
        <w:tc>
          <w:tcPr>
            <w:tcW w:w="460" w:type="dxa"/>
            <w:vAlign w:val="bottom"/>
            <w:gridSpan w:val="3"/>
          </w:tcPr>
          <w:p>
            <w:pPr>
              <w:spacing w:after="0"/>
              <w:rPr>
                <w:sz w:val="20"/>
                <w:szCs w:val="20"/>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0000EE"/>
              </w:rPr>
              <w:t>Exchange Act of 1934, as amended</w:t>
            </w:r>
            <w:r>
              <w:rPr>
                <w:rFonts w:ascii="Arial" w:cs="Arial" w:eastAsia="Arial" w:hAnsi="Arial"/>
                <w:sz w:val="18"/>
                <w:szCs w:val="18"/>
                <w:color w:val="000000"/>
              </w:rPr>
              <w:t>.</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20"/>
                <w:szCs w:val="20"/>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0000EE"/>
                <w:w w:val="94"/>
              </w:rPr>
              <w:t>Certification of Chief Executive Officer and Chief Financial Officer pursuant to 18 U.S.C. Section 1350, as</w:t>
            </w: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p>
        </w:tc>
        <w:tc>
          <w:tcPr>
            <w:tcW w:w="20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Files because its</w:t>
            </w:r>
          </w:p>
        </w:tc>
      </w:tr>
      <w:tr>
        <w:trPr>
          <w:trHeight w:val="243"/>
        </w:trPr>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57"/>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22"/>
                <w:szCs w:val="22"/>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040" w:hanging="728"/>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360" w:right="139" w:hanging="316"/>
        <w:spacing w:after="0" w:line="223" w:lineRule="exact"/>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89" w:lineRule="exact"/>
        <w:rPr>
          <w:rFonts w:ascii="Arial" w:cs="Arial" w:eastAsia="Arial" w:hAnsi="Arial"/>
          <w:sz w:val="18"/>
          <w:szCs w:val="18"/>
          <w:color w:val="auto"/>
        </w:rPr>
      </w:pPr>
    </w:p>
    <w:p>
      <w:pPr>
        <w:ind w:left="360" w:right="359" w:hanging="316"/>
        <w:spacing w:after="0" w:line="223" w:lineRule="exact"/>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March 3, 2022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89" w:lineRule="exact"/>
        <w:rPr>
          <w:sz w:val="20"/>
          <w:szCs w:val="20"/>
          <w:color w:val="auto"/>
        </w:rPr>
      </w:pPr>
    </w:p>
    <w:p>
      <w:pPr>
        <w:ind w:left="360" w:right="79" w:hanging="316"/>
        <w:spacing w:after="0" w:line="257" w:lineRule="auto"/>
        <w:tabs>
          <w:tab w:leader="none" w:pos="3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 September 7, 2022</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Vice President and Chief Accounting Officer</w:t>
      </w:r>
    </w:p>
    <w:p>
      <w:pPr>
        <w:spacing w:after="0" w:line="5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79" w:hanging="316"/>
        <w:spacing w:after="0" w:line="256"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360" w:right="239" w:hanging="316"/>
        <w:spacing w:after="0" w:line="278" w:lineRule="auto"/>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32"/>
        <w:spacing w:after="0" w:line="259"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60" w:right="319" w:hanging="316"/>
        <w:spacing w:after="0" w:line="263"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56"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7, 2022</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79" w:hanging="316"/>
        <w:spacing w:after="0" w:line="256"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360" w:right="239" w:hanging="316"/>
        <w:spacing w:after="0" w:line="278" w:lineRule="auto"/>
        <w:tabs>
          <w:tab w:leader="none" w:pos="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32"/>
        <w:spacing w:after="0" w:line="259"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60" w:right="319" w:hanging="316"/>
        <w:spacing w:after="0" w:line="263"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56"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7, 2022</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Certification</w:t>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9" w:lineRule="exact"/>
        <w:rPr>
          <w:sz w:val="20"/>
          <w:szCs w:val="20"/>
          <w:color w:val="auto"/>
        </w:rPr>
      </w:pPr>
    </w:p>
    <w:p>
      <w:pPr>
        <w:jc w:val="both"/>
        <w:ind w:left="40" w:right="119" w:firstLine="486"/>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4" w:lineRule="exact"/>
        <w:rPr>
          <w:sz w:val="20"/>
          <w:szCs w:val="20"/>
          <w:color w:val="auto"/>
        </w:rPr>
      </w:pPr>
    </w:p>
    <w:p>
      <w:pPr>
        <w:ind w:left="40" w:right="59" w:firstLine="486"/>
        <w:spacing w:after="0" w:line="254" w:lineRule="auto"/>
        <w:rPr>
          <w:sz w:val="20"/>
          <w:szCs w:val="20"/>
          <w:color w:val="auto"/>
        </w:rPr>
      </w:pPr>
      <w:r>
        <w:rPr>
          <w:rFonts w:ascii="Arial" w:cs="Arial" w:eastAsia="Arial" w:hAnsi="Arial"/>
          <w:sz w:val="18"/>
          <w:szCs w:val="18"/>
          <w:color w:val="auto"/>
        </w:rPr>
        <w:t>The Quarterly Report on Form 10-Q for the quarter ended July 30, 2022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September 7, 2022</w:t>
      </w:r>
    </w:p>
    <w:p>
      <w:pPr>
        <w:spacing w:after="0" w:line="225" w:lineRule="exact"/>
        <w:rPr>
          <w:sz w:val="20"/>
          <w:szCs w:val="20"/>
          <w:color w:val="auto"/>
        </w:rPr>
      </w:pPr>
    </w:p>
    <w:p>
      <w:pPr>
        <w:ind w:left="40" w:right="299" w:firstLine="486"/>
        <w:spacing w:after="0" w:line="283"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8"/>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1" Type="http://schemas.openxmlformats.org/officeDocument/2006/relationships/hyperlink" Target="http://www.sec.gov/Archives/edgar/data/1368622/000095015007000008/a28119exv3w1.htm" TargetMode="External"/><Relationship Id="rId52" Type="http://schemas.openxmlformats.org/officeDocument/2006/relationships/hyperlink" Target="https://www.sec.gov/Archives/edgar/data/1368622/000110465922029772/tm228251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2022-09-08T05:35:59Z</dcterms:created>
  <dcterms:modified xsi:type="dcterms:W3CDTF">2022-09-08T05:35:59Z</dcterms:modified>
</cp:coreProperties>
</file>