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60" w:right="320" w:hanging="328"/>
        <w:spacing w:after="0" w:line="262" w:lineRule="auto"/>
        <w:tabs>
          <w:tab w:leader="none" w:pos="525"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30, 2010</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660" w:right="280" w:hanging="328"/>
        <w:spacing w:after="0" w:line="262" w:lineRule="auto"/>
        <w:tabs>
          <w:tab w:leader="none" w:pos="56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840"/>
        <w:spacing w:after="0"/>
        <w:tabs>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95-2705790</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181 W. Huntington Drive, Suite 202</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Monrovia, California</w:t>
            </w:r>
          </w:p>
        </w:tc>
        <w:tc>
          <w:tcPr>
            <w:tcW w:w="38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91016</w:t>
            </w:r>
          </w:p>
        </w:tc>
      </w:tr>
      <w:tr>
        <w:trPr>
          <w:trHeight w:val="234"/>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(626) 357-9983</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7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2" w:lineRule="exact"/>
        <w:rPr>
          <w:sz w:val="24"/>
          <w:szCs w:val="24"/>
          <w:color w:val="auto"/>
        </w:rPr>
      </w:pPr>
    </w:p>
    <w:p>
      <w:pPr>
        <w:ind w:left="1940"/>
        <w:spacing w:after="0"/>
        <w:tabs>
          <w:tab w:leader="none" w:pos="794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27"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(Do not check if smaller reporting company)</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26, 2010, the number of shares outstanding of the registrant’s common stock, $0.0001 par value, was 21,822,839.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229"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340"/>
          </w:cols>
          <w:pgMar w:left="240" w:top="229" w:right="319" w:bottom="0" w:gutter="0" w:footer="0" w:header="0"/>
          <w:type w:val="continuous"/>
        </w:sectPr>
      </w:pPr>
    </w:p>
    <w:bookmarkStart w:id="1" w:name="page2"/>
    <w:bookmarkEnd w:id="1"/>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AeroVironment, Inc.</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20" w:type="dxa"/>
            <w:vAlign w:val="bottom"/>
            <w:gridSpan w:val="23"/>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 FINANCIAL INFORMATION</w:t>
              </w:r>
            </w:hyperlink>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2">
              <w:r>
                <w:rPr>
                  <w:rFonts w:ascii="Times New Roman" w:cs="Times New Roman" w:eastAsia="Times New Roman" w:hAnsi="Times New Roman"/>
                  <w:sz w:val="18"/>
                  <w:szCs w:val="18"/>
                  <w:color w:val="0000EE"/>
                  <w:w w:val="94"/>
                </w:rPr>
                <w:t>Item 1.</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15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Financial Statements:</w:t>
              </w:r>
            </w:hyperlink>
          </w:p>
        </w:tc>
        <w:tc>
          <w:tcPr>
            <w:tcW w:w="5160" w:type="dxa"/>
            <w:vAlign w:val="bottom"/>
            <w:tcBorders>
              <w:bottom w:val="single" w:sz="8" w:color="CCEEFF"/>
            </w:tcBorders>
            <w:gridSpan w:val="8"/>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20" w:type="dxa"/>
            <w:vAlign w:val="bottom"/>
            <w:gridSpan w:val="18"/>
          </w:tcPr>
          <w:p>
            <w:pPr>
              <w:ind w:left="180"/>
              <w:spacing w:after="0" w:line="176"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Consolidated Balance Sheets as of October 30, 2010 (Unaudited) and April 30, 2010</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100" w:type="dxa"/>
            <w:vAlign w:val="bottom"/>
            <w:gridSpan w:val="27"/>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Operations for the three and six months ended October 30, 2010 (Unaudited) and October 31, 2009</w:t>
              </w:r>
            </w:hyperlink>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0000EE"/>
            </w:tcBorders>
            <w:gridSpan w:val="17"/>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w:t>
              </w:r>
            </w:hyperlink>
          </w:p>
        </w:tc>
        <w:tc>
          <w:tcPr>
            <w:tcW w:w="2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18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80" w:type="dxa"/>
            <w:vAlign w:val="bottom"/>
            <w:gridSpan w:val="24"/>
          </w:tcPr>
          <w:p>
            <w:pPr>
              <w:ind w:left="18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Cash Flows for the six months ended October 30, 2010 (Unaudited) and October 31, 2009</w:t>
              </w:r>
            </w:hyperlink>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40" w:type="dxa"/>
            <w:vAlign w:val="bottom"/>
            <w:tcBorders>
              <w:top w:val="single" w:sz="8" w:color="0000EE"/>
            </w:tcBorders>
            <w:gridSpan w:val="17"/>
          </w:tcPr>
          <w:p>
            <w:pPr>
              <w:ind w:left="18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w:t>
              </w:r>
            </w:hyperlink>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720" w:type="dxa"/>
            <w:vAlign w:val="bottom"/>
            <w:gridSpan w:val="18"/>
            <w:shd w:val="clear" w:color="auto" w:fill="CCEEFF"/>
          </w:tcPr>
          <w:p>
            <w:pPr>
              <w:ind w:left="18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Notes to Consolidated Financial Statements (Unaudited)</w:t>
              </w:r>
            </w:hyperlink>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5"/>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Item 2.</w:t>
              </w:r>
            </w:hyperlink>
          </w:p>
        </w:tc>
        <w:tc>
          <w:tcPr>
            <w:tcW w:w="6720" w:type="dxa"/>
            <w:vAlign w:val="bottom"/>
            <w:gridSpan w:val="18"/>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2">
              <w:r>
                <w:rPr>
                  <w:rFonts w:ascii="Times New Roman" w:cs="Times New Roman" w:eastAsia="Times New Roman" w:hAnsi="Times New Roman"/>
                  <w:sz w:val="18"/>
                  <w:szCs w:val="18"/>
                  <w:color w:val="0000EE"/>
                  <w:w w:val="94"/>
                </w:rPr>
                <w:t>Item 3.</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43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Quantitative and Qualitative Disclosures About Market Risk</w:t>
              </w:r>
            </w:hyperlink>
          </w:p>
        </w:tc>
        <w:tc>
          <w:tcPr>
            <w:tcW w:w="2360" w:type="dxa"/>
            <w:vAlign w:val="bottom"/>
            <w:tcBorders>
              <w:bottom w:val="single" w:sz="8" w:color="CCEEFF"/>
            </w:tcBorders>
            <w:gridSpan w:val="3"/>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5"/>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4.</w:t>
              </w:r>
            </w:hyperlink>
          </w:p>
        </w:tc>
        <w:tc>
          <w:tcPr>
            <w:tcW w:w="6720" w:type="dxa"/>
            <w:vAlign w:val="bottom"/>
            <w:gridSpan w:val="18"/>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Controls and Procedures</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20" w:type="dxa"/>
            <w:vAlign w:val="bottom"/>
            <w:gridSpan w:val="23"/>
          </w:tcPr>
          <w:p>
            <w:pPr>
              <w:spacing w:after="0" w:line="176" w:lineRule="exact"/>
              <w:rPr>
                <w:rFonts w:ascii="Times New Roman" w:cs="Times New Roman" w:eastAsia="Times New Roman" w:hAnsi="Times New Roman"/>
                <w:sz w:val="18"/>
                <w:szCs w:val="18"/>
                <w:b w:val="1"/>
                <w:bCs w:val="1"/>
                <w:color w:val="0000EE"/>
              </w:rPr>
            </w:pPr>
            <w:hyperlink w:anchor="page13">
              <w:r>
                <w:rPr>
                  <w:rFonts w:ascii="Times New Roman" w:cs="Times New Roman" w:eastAsia="Times New Roman" w:hAnsi="Times New Roman"/>
                  <w:sz w:val="18"/>
                  <w:szCs w:val="18"/>
                  <w:b w:val="1"/>
                  <w:bCs w:val="1"/>
                  <w:color w:val="0000EE"/>
                </w:rPr>
                <w:t>PART II. OTHER INFORMATION</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5"/>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w:t>
              </w:r>
            </w:hyperlink>
          </w:p>
        </w:tc>
        <w:tc>
          <w:tcPr>
            <w:tcW w:w="6720" w:type="dxa"/>
            <w:vAlign w:val="bottom"/>
            <w:gridSpan w:val="18"/>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Legal Proceedings</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1A.</w:t>
              </w:r>
            </w:hyperlink>
          </w:p>
        </w:tc>
        <w:tc>
          <w:tcPr>
            <w:tcW w:w="672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2.</w:t>
              </w:r>
            </w:hyperlink>
          </w:p>
        </w:tc>
        <w:tc>
          <w:tcPr>
            <w:tcW w:w="680" w:type="dxa"/>
            <w:vAlign w:val="bottom"/>
            <w:gridSpan w:val="3"/>
          </w:tcPr>
          <w:p>
            <w:pPr>
              <w:spacing w:after="0"/>
              <w:rPr>
                <w:sz w:val="15"/>
                <w:szCs w:val="15"/>
                <w:color w:val="auto"/>
              </w:rPr>
            </w:pPr>
          </w:p>
        </w:tc>
        <w:tc>
          <w:tcPr>
            <w:tcW w:w="6720" w:type="dxa"/>
            <w:vAlign w:val="bottom"/>
            <w:gridSpan w:val="18"/>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Unregistered Sales of Equity Securities and Use of Proceeds</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3.</w:t>
              </w:r>
            </w:hyperlink>
          </w:p>
        </w:tc>
        <w:tc>
          <w:tcPr>
            <w:tcW w:w="800" w:type="dxa"/>
            <w:vAlign w:val="bottom"/>
            <w:gridSpan w:val="4"/>
            <w:shd w:val="clear" w:color="auto" w:fill="CCEEFF"/>
          </w:tcPr>
          <w:p>
            <w:pPr>
              <w:spacing w:after="0"/>
              <w:rPr>
                <w:sz w:val="17"/>
                <w:szCs w:val="17"/>
                <w:color w:val="auto"/>
              </w:rPr>
            </w:pPr>
          </w:p>
        </w:tc>
        <w:tc>
          <w:tcPr>
            <w:tcW w:w="672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Defaults Upon Senior Securities</w:t>
              </w:r>
            </w:hyperlink>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4.</w:t>
              </w:r>
            </w:hyperlink>
          </w:p>
        </w:tc>
        <w:tc>
          <w:tcPr>
            <w:tcW w:w="800" w:type="dxa"/>
            <w:vAlign w:val="bottom"/>
            <w:tcBorders>
              <w:top w:val="single" w:sz="8" w:color="CCEEFF"/>
            </w:tcBorders>
            <w:gridSpan w:val="4"/>
          </w:tcPr>
          <w:p>
            <w:pPr>
              <w:spacing w:after="0"/>
              <w:rPr>
                <w:sz w:val="15"/>
                <w:szCs w:val="15"/>
                <w:color w:val="auto"/>
              </w:rPr>
            </w:pPr>
          </w:p>
        </w:tc>
        <w:tc>
          <w:tcPr>
            <w:tcW w:w="232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Reserved</w:t>
              </w:r>
            </w:hyperlink>
          </w:p>
        </w:tc>
        <w:tc>
          <w:tcPr>
            <w:tcW w:w="4400" w:type="dxa"/>
            <w:vAlign w:val="bottom"/>
            <w:tcBorders>
              <w:top w:val="single" w:sz="8" w:color="CCEEFF"/>
            </w:tcBorders>
            <w:gridSpan w:val="6"/>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13">
              <w:r>
                <w:rPr>
                  <w:rFonts w:ascii="Times New Roman" w:cs="Times New Roman" w:eastAsia="Times New Roman" w:hAnsi="Times New Roman"/>
                  <w:sz w:val="18"/>
                  <w:szCs w:val="18"/>
                  <w:color w:val="0000EE"/>
                  <w:w w:val="94"/>
                </w:rPr>
                <w:t>Item 5.</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13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3">
              <w:r>
                <w:rPr>
                  <w:rFonts w:ascii="Times New Roman" w:cs="Times New Roman" w:eastAsia="Times New Roman" w:hAnsi="Times New Roman"/>
                  <w:sz w:val="18"/>
                  <w:szCs w:val="18"/>
                  <w:color w:val="0000EE"/>
                  <w:w w:val="98"/>
                </w:rPr>
                <w:t>Other Information</w:t>
              </w:r>
            </w:hyperlink>
          </w:p>
        </w:tc>
        <w:tc>
          <w:tcPr>
            <w:tcW w:w="5400" w:type="dxa"/>
            <w:vAlign w:val="bottom"/>
            <w:tcBorders>
              <w:bottom w:val="single" w:sz="8" w:color="CCEEFF"/>
            </w:tcBorders>
            <w:gridSpan w:val="11"/>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5"/>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6.</w:t>
              </w:r>
            </w:hyperlink>
          </w:p>
        </w:tc>
        <w:tc>
          <w:tcPr>
            <w:tcW w:w="6720" w:type="dxa"/>
            <w:vAlign w:val="bottom"/>
            <w:gridSpan w:val="18"/>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Exhibits</w:t>
              </w:r>
            </w:hyperlink>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Signatures</w:t>
              </w:r>
            </w:hyperlink>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gridSpan w:val="16"/>
          </w:tcPr>
          <w:p>
            <w:pPr>
              <w:jc w:val="center"/>
              <w:ind w:left="24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AeroVironment, Inc.</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October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76,664</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80,677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2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$993 at October 30, 2010 and $745 at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gridSpan w:val="2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April 30, 2010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33,299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241,989</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276,207</w:t>
            </w:r>
          </w:p>
        </w:tc>
        <w:tc>
          <w:tcPr>
            <w:tcW w:w="28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281,971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20" w:type="dxa"/>
            <w:vAlign w:val="bottom"/>
            <w:tcBorders>
              <w:top w:val="single" w:sz="8" w:color="CCEEFF"/>
            </w:tcBorders>
            <w:gridSpan w:val="2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21,764</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w:t>
            </w: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-5928360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-5928360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Preferred stock, $0.0001 par value:</w:t>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shares — 10,000,000</w:t>
      </w:r>
    </w:p>
    <w:p>
      <w:pPr>
        <w:sectPr>
          <w:pgSz w:w="11900" w:h="16902" w:orient="portrait"/>
          <w:cols w:equalWidth="0" w:num="1">
            <w:col w:w="11460"/>
          </w:cols>
          <w:pgMar w:left="240" w:top="333" w:right="199" w:bottom="0" w:gutter="0" w:footer="0" w:header="0"/>
        </w:sectPr>
      </w:pPr>
    </w:p>
    <w:bookmarkStart w:id="2" w:name="page3"/>
    <w:bookmarkEnd w:id="2"/>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None issued or outstanding</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shares — 100,000,000</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shares — 21,822,632 at October 30, 2010 and 21,732,413 at April 30, 2010</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116,938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115,602</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115,395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118,576</w:t>
            </w:r>
          </w:p>
        </w:tc>
      </w:tr>
      <w:tr>
        <w:trPr>
          <w:trHeight w:val="21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231,560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233,420</w:t>
            </w:r>
          </w:p>
        </w:tc>
        <w:tc>
          <w:tcPr>
            <w:tcW w:w="100" w:type="dxa"/>
            <w:vAlign w:val="bottom"/>
            <w:tcBorders>
              <w:bottom w:val="single" w:sz="8" w:color="CCEEFF"/>
            </w:tcBorders>
          </w:tcPr>
          <w:p>
            <w:pPr>
              <w:spacing w:after="0"/>
              <w:rPr>
                <w:sz w:val="18"/>
                <w:szCs w:val="18"/>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276,207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32,494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19,134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31,287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102,009</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sales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20,646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29,332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services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21,360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20,635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12,685</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24,056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 data:</w:t>
            </w: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21,565,969</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21,348,325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21,555,864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21,332,379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22,027,155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21,937,784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21,555,864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21,332,379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7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r>
      <w:tr>
        <w:trPr>
          <w:trHeight w:val="173"/>
        </w:trPr>
        <w:tc>
          <w:tcPr>
            <w:tcW w:w="75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5"/>
                <w:szCs w:val="15"/>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and cash equivalents used in operating activities: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5,493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benefit from exercise of stock options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10,251</w:t>
            </w:r>
          </w:p>
        </w:tc>
      </w:tr>
      <w:tr>
        <w:trPr>
          <w:trHeight w:val="216"/>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(8,001)</w:t>
            </w: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(13,504)</w:t>
            </w:r>
          </w:p>
        </w:tc>
      </w:tr>
    </w:tbl>
    <w:p>
      <w:pPr>
        <w:sectPr>
          <w:pgSz w:w="11900" w:h="16929"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(purchases) of held-to-maturity investments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55,093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sales of available-for-sale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28,665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116,501</w:t>
            </w:r>
          </w:p>
        </w:tc>
        <w:tc>
          <w:tcPr>
            <w:tcW w:w="0" w:type="dxa"/>
            <w:vAlign w:val="bottom"/>
          </w:tcPr>
          <w:p>
            <w:pPr>
              <w:spacing w:after="0"/>
              <w:rPr>
                <w:sz w:val="1"/>
                <w:szCs w:val="1"/>
                <w:color w:val="auto"/>
              </w:rPr>
            </w:pPr>
          </w:p>
        </w:tc>
      </w:tr>
      <w:tr>
        <w:trPr>
          <w:trHeight w:val="250"/>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76,664</w:t>
            </w:r>
          </w:p>
        </w:tc>
        <w:tc>
          <w:tcPr>
            <w:tcW w:w="2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(losses) gains on long-term investments recorded in other comprehensive loss, net of deferred taxes</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$10 and $45, respectively</w:t>
            </w:r>
          </w:p>
        </w:tc>
        <w:tc>
          <w:tcPr>
            <w:tcW w:w="6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AeroVironment, Inc., a Delaware corporation (the “Company”), is engaged in the design, development, production and support of unmanned aircraft systems and efficient energy systems for various industries and governmental agencies.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for interim financial information and with the instructions of Form 10-Q and Article 10 of Regulation S-X. Accordingly, they do not include all of the information and footnotes required by accounting principles generally accepted in the United States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October 30, 2010 are not necessarily indicative of the results for the full year ending April 30, 2011. For further information, refer to the consolidated financial statements and footnotes thereto for the year ended April 30, 2010, included in AeroVironment, Inc.’s Annual Report on Form 10-K.</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7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assets, liabilities and operating results of wholly-owned subsidiaries.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are accounted for as held-to-maturity and available-for-sale and reported at amortized cost and fair value,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retentions and accounts payable approximate cost due to the short period of time to maturity.</w:t>
      </w:r>
    </w:p>
    <w:p>
      <w:pPr>
        <w:sectPr>
          <w:pgSz w:w="11900" w:h="16838"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2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project costs, and if the DCAA believes the Company has accounted for such costs in a manner inconsistent with the requirements under Federal Acquisition Regulations, the DCAA auditor may recommend to the Company’s administrative contracting officer to disallow such costs. The Company can provide no assurance that the DCAA or other government audits will not result in material disallowances for incurred costs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excluding shares of unvested restricted stock. The dilutive effect of potential common shares outstanding is included in diluted earnings per share and excludes any anti-dilutive effects of options and shares of unvested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diluted to basic shares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33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13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1380" w:type="dxa"/>
            <w:vAlign w:val="bottom"/>
            <w:tcBorders>
              <w:top w:val="single" w:sz="8" w:color="auto"/>
            </w:tcBorders>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gridSpan w:val="2"/>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2009</w:t>
            </w: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5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earnings (loss) per share:</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5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excluding</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21,565,969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21,348,325</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21,555,864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21,332,379</w:t>
            </w:r>
          </w:p>
        </w:tc>
        <w:tc>
          <w:tcPr>
            <w:tcW w:w="80" w:type="dxa"/>
            <w:vAlign w:val="bottom"/>
          </w:tcPr>
          <w:p>
            <w:pPr>
              <w:spacing w:after="0"/>
              <w:rPr>
                <w:sz w:val="20"/>
                <w:szCs w:val="20"/>
                <w:color w:val="auto"/>
              </w:rPr>
            </w:pPr>
          </w:p>
        </w:tc>
      </w:tr>
      <w:tr>
        <w:trPr>
          <w:trHeight w:val="198"/>
        </w:trPr>
        <w:tc>
          <w:tcPr>
            <w:tcW w:w="5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and unvested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461,186</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589,459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diluted earnings (loss)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22,027,155</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21,937,784</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21,555,864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21,332,379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30, 2010 and October 31, 2009, certain options and shares of unvested restricted stock were not included in the computation of diluted earnings per share because their inclusion would have been anti-dilutive. The number of options and shares of unvested restricted stock which met this anti-dilutive criterion for the three months ended October 30, 2010 and October 31, 2009 was approximately 16,000 and 900, respectively. Due to the net loss for the six months ended October 30, 2010 and October 31, 2009, no shares reserved for issuance upon exercise of stock options or shares of unvested restricted stock were included in the computation of diluted loss per share as their inclusion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2009, the Financial Accounting Standards Board issued an accounting standards update that requires an entity to allocate arrangement consideration at the inception of an arrangement to all of its deliverables based on their relative selling prices, eliminates the use of the residual method of allocation, and requires the relative-selling-price method in all circumstances in which an entity recognizes revenue of an arrangement with multiple deliverables. This guidance will be effective for the Company beginning on May 1, 2011, however, early adoption is permitted. The Company does not expect that this new guidance will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34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54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bills</w:t>
            </w:r>
          </w:p>
        </w:tc>
        <w:tc>
          <w:tcPr>
            <w:tcW w:w="3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80,677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135,770</w:t>
            </w:r>
          </w:p>
        </w:tc>
        <w:tc>
          <w:tcPr>
            <w:tcW w:w="80" w:type="dxa"/>
            <w:vAlign w:val="bottom"/>
            <w:shd w:val="clear" w:color="auto" w:fill="CCEEFF"/>
          </w:tcPr>
          <w:p>
            <w:pPr>
              <w:spacing w:after="0"/>
              <w:rPr>
                <w:sz w:val="18"/>
                <w:szCs w:val="18"/>
                <w:color w:val="auto"/>
              </w:rPr>
            </w:pPr>
          </w:p>
        </w:tc>
      </w:tr>
      <w:tr>
        <w:trPr>
          <w:trHeight w:val="250"/>
        </w:trPr>
        <w:tc>
          <w:tcPr>
            <w:tcW w:w="54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8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2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70"/>
        </w:trPr>
        <w:tc>
          <w:tcPr>
            <w:tcW w:w="54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Long-term investments:</w:t>
            </w:r>
          </w:p>
        </w:tc>
        <w:tc>
          <w:tcPr>
            <w:tcW w:w="2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Auction rate securities</w:t>
            </w:r>
          </w:p>
        </w:tc>
        <w:tc>
          <w:tcPr>
            <w:tcW w:w="3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6,290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shd w:val="clear" w:color="auto" w:fill="CCEEFF"/>
          </w:tcPr>
          <w:p>
            <w:pPr>
              <w:spacing w:after="0"/>
              <w:rPr>
                <w:sz w:val="18"/>
                <w:szCs w:val="18"/>
                <w:color w:val="auto"/>
              </w:rPr>
            </w:pPr>
          </w:p>
        </w:tc>
      </w:tr>
      <w:tr>
        <w:trPr>
          <w:trHeight w:val="210"/>
        </w:trPr>
        <w:tc>
          <w:tcPr>
            <w:tcW w:w="5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At October 30, 2010, the balance of held-to-maturity securities consisted of U.S. Treasury bills. Interest earned from these investments is recorded in interest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20"/>
          </w:cols>
          <w:pgMar w:left="240" w:top="117" w:right="239" w:bottom="0" w:gutter="0" w:footer="0" w:header="0"/>
          <w:type w:val="continuous"/>
        </w:sectPr>
      </w:pPr>
    </w:p>
    <w:bookmarkStart w:id="5" w:name="page6"/>
    <w:bookmarkEnd w:id="5"/>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 investments as of October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held-to-maturity investments as of April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6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held-to-maturity investments</w:t>
            </w: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135,770</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Company’s held-to-maturity securities by contractual maturity at October 30, 2010,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428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80,677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October 30, 2010, the entire balance of available-for-sale securities consisted of four investment grade auction rate municipal bonds with maturities ranging from 9 to 24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October 30, 2010, until a future auction of these securities is successful or a buyer is found outside of the auction process.</w:t>
      </w:r>
    </w:p>
    <w:p>
      <w:pPr>
        <w:spacing w:after="0" w:line="18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As a result of the failed auctions, the fair values of these securities are estimated utilizing a discounted cash flow analysis as of October 30, 2010.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Company’s ability to access its cash and cash equivalents, expected operating cash flows, and other sources of cash, the Company does not anticipate the current lack of liquidity of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other-than-temporary impairment. The auction rate securities have been in an unrealized loss position for more than 12 months. The Company has the ability and the intent to hold these investments until a recovery of fair value, which may be at maturity, and as of October 30, 2010, it did not consider these investments to be other-than-temporarily impaired.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available-for-sale investments as of October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 of the available-for-sale investments as of April 30, 2010,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29" w:orient="portrait"/>
          <w:cols w:equalWidth="0" w:num="1">
            <w:col w:w="11420"/>
          </w:cols>
          <w:pgMar w:left="240" w:top="333" w:right="239" w:bottom="0" w:gutter="0" w:footer="0" w:header="0"/>
        </w:sectPr>
      </w:pPr>
    </w:p>
    <w:bookmarkStart w:id="6" w:name="page7"/>
    <w:bookmarkEnd w:id="6"/>
    <w:p>
      <w:pPr>
        <w:jc w:val="both"/>
        <w:ind w:left="5000"/>
        <w:spacing w:after="0"/>
        <w:tabs>
          <w:tab w:leader="none" w:pos="5940" w:val="left"/>
          <w:tab w:leader="none" w:pos="6640" w:val="left"/>
          <w:tab w:leader="none" w:pos="7840" w:val="left"/>
          <w:tab w:leader="none" w:pos="8300" w:val="left"/>
          <w:tab w:leader="none" w:pos="9200" w:val="left"/>
          <w:tab w:leader="none" w:pos="9940" w:val="left"/>
          <w:tab w:leader="none" w:pos="108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(1,260</w:t>
        <w:tab/>
        <w:t>$</w:t>
      </w:r>
      <w:r>
        <w:rPr>
          <w:sz w:val="20"/>
          <w:szCs w:val="20"/>
          <w:color w:val="auto"/>
        </w:rPr>
        <w:tab/>
      </w:r>
      <w:r>
        <w:rPr>
          <w:rFonts w:ascii="Times New Roman" w:cs="Times New Roman" w:eastAsia="Times New Roman" w:hAnsi="Times New Roman"/>
          <w:sz w:val="18"/>
          <w:szCs w:val="18"/>
          <w:color w:val="auto"/>
        </w:rPr>
        <w:t>6,515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17145</wp:posOffset>
            </wp:positionV>
            <wp:extent cx="401320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13200" cy="260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the Company’s auction rate securities by contractual maturity at October 30, 2010,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through 10 years</w:t>
            </w:r>
          </w:p>
        </w:tc>
        <w:tc>
          <w:tcPr>
            <w:tcW w:w="2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10 years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 net</w:t>
            </w: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0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October 30,</w:t>
            </w:r>
          </w:p>
        </w:tc>
        <w:tc>
          <w:tcPr>
            <w:tcW w:w="220" w:type="dxa"/>
            <w:vAlign w:val="bottom"/>
          </w:tcPr>
          <w:p>
            <w:pPr>
              <w:spacing w:after="0"/>
              <w:rPr>
                <w:sz w:val="24"/>
                <w:szCs w:val="24"/>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9,676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12,526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2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62" w:lineRule="exact"/>
        <w:rPr>
          <w:sz w:val="20"/>
          <w:szCs w:val="20"/>
          <w:color w:val="auto"/>
        </w:rPr>
      </w:pPr>
    </w:p>
    <w:p>
      <w:pPr>
        <w:ind w:left="1080" w:right="320" w:hanging="1072"/>
        <w:spacing w:after="0" w:line="261"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based upon quoted prices (unadjusted) for identical assets or liabilities in active markets that are accessible as of the measurement date.</w:t>
      </w:r>
    </w:p>
    <w:p>
      <w:pPr>
        <w:ind w:left="1080" w:right="340" w:hanging="1072"/>
        <w:spacing w:after="0" w:line="250" w:lineRule="auto"/>
        <w:tabs>
          <w:tab w:leader="none" w:pos="2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that are unobservable inputs for the asset or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October 30, 2010,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0"/>
                <w:szCs w:val="10"/>
                <w:color w:val="auto"/>
              </w:rPr>
            </w:pPr>
          </w:p>
        </w:tc>
        <w:tc>
          <w:tcPr>
            <w:tcW w:w="154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Pr>
          <w:p>
            <w:pPr>
              <w:spacing w:after="0"/>
              <w:rPr>
                <w:sz w:val="10"/>
                <w:szCs w:val="10"/>
                <w:color w:val="auto"/>
              </w:rPr>
            </w:pPr>
          </w:p>
        </w:tc>
        <w:tc>
          <w:tcPr>
            <w:tcW w:w="15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4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24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5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2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Auction rate securities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Due to the auction failures of the Company’s auction rate securities that began in the fourth quarter of fiscal 2008, there are still no quoted prices in active markets for identical assets as of October 30, 2010. Therefore, the Company has classified its auction rate securities as Level 3 financial assets. The following table provides a reconciliation between the beginning and ending balances of items measured at fair value on a recurring basis in the table above that used significant unobservable inputs (Level 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8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Auction Rate Securities</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(realized or unrealized)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30, 2010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or (losses) for the period included in earnings (or change in net assets) attributable to the change</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unrealized gains or losses relating to assets still held at October 30, 2010</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w:t>
      </w:r>
    </w:p>
    <w:p>
      <w:pPr>
        <w:sectPr>
          <w:pgSz w:w="11900" w:h="16838" w:orient="portrait"/>
          <w:cols w:equalWidth="0" w:num="1">
            <w:col w:w="11420"/>
          </w:cols>
          <w:pgMar w:left="240" w:top="121" w:right="239" w:bottom="95" w:gutter="0" w:footer="0" w:header="0"/>
        </w:sectPr>
      </w:pPr>
    </w:p>
    <w:bookmarkStart w:id="7" w:name="page8"/>
    <w:bookmarkEnd w:id="7"/>
    <w:p>
      <w:pPr>
        <w:ind w:right="140"/>
        <w:spacing w:after="0" w:line="258" w:lineRule="auto"/>
        <w:rPr>
          <w:sz w:val="20"/>
          <w:szCs w:val="20"/>
          <w:color w:val="auto"/>
        </w:rPr>
      </w:pPr>
      <w:r>
        <w:rPr>
          <w:rFonts w:ascii="Times New Roman" w:cs="Times New Roman" w:eastAsia="Times New Roman" w:hAnsi="Times New Roman"/>
          <w:sz w:val="18"/>
          <w:szCs w:val="18"/>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allowing the Company to recover the original cost of $7.6 million. The Company will continue to monitor the value of its auction rate securities at each reporting period for a possible other-than-temporary impairment.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comprehensive income (loss)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2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900" w:type="dxa"/>
            <w:vAlign w:val="bottom"/>
            <w:gridSpan w:val="2"/>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2009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00" w:type="dxa"/>
            <w:vAlign w:val="bottom"/>
            <w:gridSpan w:val="2"/>
            <w:shd w:val="clear" w:color="auto" w:fill="CCEEFF"/>
          </w:tcPr>
          <w:p>
            <w:pPr>
              <w:jc w:val="right"/>
              <w:ind w:right="90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losses on long-term investments</w:t>
            </w:r>
          </w:p>
        </w:tc>
        <w:tc>
          <w:tcPr>
            <w:tcW w:w="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90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six months ended October 30, 2010 and October 31, 2009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7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80" w:type="dxa"/>
            <w:vAlign w:val="bottom"/>
            <w:gridSpan w:val="2"/>
            <w:shd w:val="clear" w:color="auto" w:fill="CCEEFF"/>
          </w:tcPr>
          <w:p>
            <w:pPr>
              <w:jc w:val="right"/>
              <w:ind w:right="88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799</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332</w:t>
            </w:r>
          </w:p>
        </w:tc>
        <w:tc>
          <w:tcPr>
            <w:tcW w:w="10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(297)</w:t>
            </w: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(402)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Customer-Funded Research &amp; Development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$9.7 million and $21.6 million for the three and six months ended October 30, 2010, respectively. Revenue from customer-funded R&amp;D was approximately $23.3 million and $47.8 million for the three and six months ended October 31, 2009,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For the three and six months ended October 30, 2010, the Company recorded a provision (benefit) for income taxes of $0.2 million and ($3.6) million, respectively, yielding an effective tax rate of 41.3% and 52.8%, respectively. The variance from statutory rates for the three and six months ended October 30, 2010 was primarily due to a reduction in the liability for uncertain tax positions of approximately $1.7 million related to the conclusion of the examination of the Company’s fiscal 2003 and 2004 tax returns. The examination concluded in May of 2010, and no change was required to the tax returns filed. For the three and six months ended October 31, 2009, the Company recorded a provision (benefit) for income taxes of $1.2 million and ($0.6) million, respectively, yielding an effective tax rate of 35.3% and 30.4%, respectively. The variance from statutory rates is primarily due to lower federal R&amp;D tax credits.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 segments are as follows:</w:t>
      </w:r>
    </w:p>
    <w:p>
      <w:pPr>
        <w:spacing w:after="0" w:line="225" w:lineRule="exact"/>
        <w:rPr>
          <w:sz w:val="20"/>
          <w:szCs w:val="20"/>
          <w:color w:val="auto"/>
        </w:rPr>
      </w:pPr>
    </w:p>
    <w:p>
      <w:pPr>
        <w:ind w:left="980" w:right="120" w:hanging="648"/>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Aircraft Systems (“UAS”) — The UAS segment consists primarily of the design, development, production and support of unmanned aircraft systems solutions.</w:t>
      </w:r>
    </w:p>
    <w:p>
      <w:pPr>
        <w:spacing w:after="0" w:line="161" w:lineRule="exact"/>
        <w:rPr>
          <w:rFonts w:ascii="Times New Roman" w:cs="Times New Roman" w:eastAsia="Times New Roman" w:hAnsi="Times New Roman"/>
          <w:sz w:val="18"/>
          <w:szCs w:val="18"/>
          <w:color w:val="auto"/>
        </w:rPr>
      </w:pPr>
    </w:p>
    <w:p>
      <w:pPr>
        <w:ind w:left="980" w:right="660" w:hanging="648"/>
        <w:spacing w:after="0" w:line="282" w:lineRule="auto"/>
        <w:tabs>
          <w:tab w:leader="none" w:pos="9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Energy Systems (“EES”) — The EES segment consists primarily of the design, development, production and support of system solutions for the electric transportation markets.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w:t>
      </w:r>
    </w:p>
    <w:p>
      <w:pPr>
        <w:sectPr>
          <w:pgSz w:w="11900" w:h="16838" w:orient="portrait"/>
          <w:cols w:equalWidth="0" w:num="1">
            <w:col w:w="11460"/>
          </w:cols>
          <w:pgMar w:left="240" w:top="121" w:right="199" w:bottom="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results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5"/>
                <w:szCs w:val="15"/>
                <w:color w:val="auto"/>
              </w:rPr>
            </w:pPr>
          </w:p>
        </w:tc>
      </w:tr>
      <w:tr>
        <w:trPr>
          <w:trHeight w:val="117"/>
        </w:trPr>
        <w:tc>
          <w:tcPr>
            <w:tcW w:w="3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37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14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53,616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43,690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77,000</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10,165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12,307</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17,434</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27,804</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24,801</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5,563</w:t>
            </w:r>
          </w:p>
        </w:tc>
        <w:tc>
          <w:tcPr>
            <w:tcW w:w="40" w:type="dxa"/>
            <w:vAlign w:val="bottom"/>
          </w:tcPr>
          <w:p>
            <w:pPr>
              <w:spacing w:after="0"/>
              <w:rPr>
                <w:sz w:val="18"/>
                <w:szCs w:val="18"/>
                <w:color w:val="auto"/>
              </w:rPr>
            </w:pPr>
          </w:p>
        </w:tc>
      </w:tr>
      <w:tr>
        <w:trPr>
          <w:trHeight w:val="210"/>
        </w:trPr>
        <w:tc>
          <w:tcPr>
            <w:tcW w:w="3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11,449</w:t>
            </w:r>
          </w:p>
        </w:tc>
        <w:tc>
          <w:tcPr>
            <w:tcW w:w="40" w:type="dxa"/>
            <w:vAlign w:val="bottom"/>
          </w:tcPr>
          <w:p>
            <w:pPr>
              <w:spacing w:after="0"/>
              <w:rPr>
                <w:sz w:val="18"/>
                <w:szCs w:val="18"/>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18"/>
                <w:szCs w:val="18"/>
                <w:color w:val="auto"/>
              </w:rPr>
            </w:pP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II, Item 1A, “Risk Factors.”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long-term investments,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made to the critical accounting estimates during the periods presented in the consolidated financial statements from those disclosed in the Form 10-K for the fiscal year ended April 30, 2010.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2011 fiscal year ends on April 30, 2011 and our fiscal quarters end on July 31, 2010, October 30, 2010 and January 29, 2011.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operating segments are Unmanned Aircraft Systems, or UAS, and Efficient Energy Systems, or EES. The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and gross margin generated by each operating segment for the periods indicated (in thousands):</w:t>
      </w:r>
    </w:p>
    <w:p>
      <w:pPr>
        <w:sectPr>
          <w:pgSz w:w="11900" w:h="16838" w:orient="portrait"/>
          <w:cols w:equalWidth="0" w:num="1">
            <w:col w:w="11460"/>
          </w:cols>
          <w:pgMar w:left="240" w:top="364" w:right="199" w:bottom="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30, 2010 Compared to Three Months Ended October 31, 2009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3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53,616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51,367</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17,434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8,689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5,776</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October 30, 2010 was $63.8 million, as compared to $51.4 million for the three months ended October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2009, representing an increase of $12.4 million, or 24%. UAS revenue increased by $9.9 million to $53.6 million for the three months ended October 30, 2010, primarily due to an increase in UAS product deliveries of $11.7 million and service revenue of $11.2 million, partially offset by a decrease in customer-funded R&amp;D work of $13.0 million. The increase in UAS product deliveries and service revenue was primarily due to increased deliveries of digital Puma® All Environment unmanned aircraft systems, or Puma AE systems, and retrofits of Raven B systems with our Digital Data Link, or DDL, technology. The decrease in customer-funded R&amp;D work was primarily due to decreased activity on the Global Observer program. EES revenue increased by $2.5 million, or 32%, to $10.2 million for the three months ended October 30, 2010. The increase in EES revenue was primarily due to increased product deliveries of industrial electric vehicle charging systems.</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October 30, 2010 was $42.0 million, as compared to $31.7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31, 2009, representing an increase of $10.3 million, or 32%. The increase in cost of sales was caused primarily by increases in UAS cost of sales of $8.3 million and EES cost of sales of $2.0 million due to increased revenues.</w:t>
      </w:r>
    </w:p>
    <w:p>
      <w:pPr>
        <w:spacing w:after="0" w:line="17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October 30, 2010 was $21.8 million, as compared to $19.6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31, 2009, representing an increase of $2.1 million, or 11%. UAS gross margin increased $1.6 million, or 10%, to $17.4 million for the three months ended October 30, 2010. As a percentage of revenue, gross margin for UAS decreased from 36% to 33%, primarily due to higher program costs and higher unabsorbed engineering overhead support costs. EES gross margin increased $0.5 million, or 13%, to $4.3 million for the three months ended October 30, 2010. As a percentage of revenue, EES gross margin decreased from 50% to 43%, primarily due to higher manufacturing overhead support costs to increase production capability and capacity.</w:t>
      </w:r>
    </w:p>
    <w:p>
      <w:pPr>
        <w:spacing w:after="0" w:line="1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October 30, 2010 was $12.7 million, or 20% of revenue,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of $10.5 million, or 20% of revenue, for the three months ended October 31, 2009. SG&amp;A expense increased $2.2 million primarily due to higher marketing and business development costs and higher administrative infrastructure costs.</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October 30, 2010 was $8.7 million, or 14% of revenue, compared to R&amp;D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$5.8 million, or 11% of revenue, for the three months ended October 31, 2009. R&amp;D expense increased $2.9 million primarily due to increased investment in various UAS and EES technology development initiatives.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for the three months ended October 30, 2010 and October 31, 2009 remained unchanged at $0.1 million.</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Our effective income tax rate was 41.3% for the three months ended October 30, 2010, as compared to 35.3%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October 31, 2009. The increase was primarily due to the expiration of federal R&amp;D tax credits.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30, 2010 Compared to Six Months Ended October 31, 2009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4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r>
      <w:tr>
        <w:trPr>
          <w:trHeight w:val="173"/>
        </w:trPr>
        <w:tc>
          <w:tcPr>
            <w:tcW w:w="54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CCEEFF"/>
            </w:tcBorders>
          </w:tcPr>
          <w:p>
            <w:pPr>
              <w:spacing w:after="0"/>
              <w:rPr>
                <w:sz w:val="15"/>
                <w:szCs w:val="15"/>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3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87,063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12,307</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w:t>
            </w:r>
          </w:p>
        </w:tc>
        <w:tc>
          <w:tcPr>
            <w:tcW w:w="100" w:type="dxa"/>
            <w:vAlign w:val="bottom"/>
            <w:tcBorders>
              <w:bottom w:val="single" w:sz="8" w:color="CCEEFF"/>
            </w:tcBorders>
          </w:tcPr>
          <w:p>
            <w:pPr>
              <w:spacing w:after="0"/>
              <w:rPr>
                <w:sz w:val="18"/>
                <w:szCs w:val="18"/>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UAS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27,804</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5,563</w:t>
            </w:r>
          </w:p>
        </w:tc>
      </w:tr>
      <w:tr>
        <w:trPr>
          <w:trHeight w:val="210"/>
        </w:trPr>
        <w:tc>
          <w:tcPr>
            <w:tcW w:w="5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0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11,449</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17" w:right="239" w:bottom="9" w:gutter="0" w:footer="0" w:header="0"/>
        </w:sectPr>
      </w:pPr>
    </w:p>
    <w:bookmarkStart w:id="10" w:name="page11"/>
    <w:bookmarkEnd w:id="10"/>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six months ended October 30, 2010 was $102.0 million, as compared to $89.3 million for the six months ended October 31, 2009,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an increase of $12.7 million, or 14%. UAS revenue increased $10.1 million, or 13%, to $87.1 million for the six months ended October 30, 2010, primarily due to increased UAS service revenue of $20.2 million and product deliveries of $15.4 million, partially offset by lower customer-funded R&amp;D work of $25.5 million. The increase in UAS service revenue was primarily due to increased retrofits of Raven B systems with our DDL technology. The increase in product deliveries was primarily due to increased deliveries of Raven B and Puma AE systems with our DDL technology. The decrease in UAS customer-funded R&amp;D revenue was primarily due to decreased activity on the Global Observer program. EES revenue increased by $2.6 million, or 21%, to $14.9 million for the six months ended October 30, 2010. The increase in EES revenue was primarily due to increased product deliveries of industrial electric vehicle charging systems.</w:t>
      </w:r>
    </w:p>
    <w:p>
      <w:pPr>
        <w:spacing w:after="0" w:line="18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six months ended October 30, 2010 was $68.2 million, as compared to $58.9 million for the six months ended October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2009, representing an increase of $9.3 million, or 16%. The increase in cost of sales was caused by higher UAS cost of sales of $7.1 million and EES cost of sales of $2.2 million due to increased revenues.</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six months ended October 30, 2010 was $33.8 million, as compared to $30.4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31, 2009, representing an increase of $3.4 million, or 11%. UAS gross margin increased $3.0 million, or 12%, to $27.8 million for the six months ended October 30, 2010. As a percentage of revenue, gross margin for UAS remained unchanged at 32%. EES gross margin increased $0.4 million, or 8%, to $6.0 million for the six months ended October 30, 2010. As a percentage of revenue, EES gross margin decreased from 45% to 40%, due to higher manufacturing overhead support costs to increase production capability and capacity.</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six months ended October 30, 2010 was $24.1 million, or 24% of revenue, compared to SG&amp;A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$21.0 million, or 24% of revenue, for the six months ended October 31, 2009. SG&amp;A expense increased $3.1 million primarily due to higher marketing and business development costs and higher administrative infrastructure costs.</w:t>
      </w:r>
    </w:p>
    <w:p>
      <w:pPr>
        <w:spacing w:after="0" w:line="171"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six months ended October 30, 2010 was $16.7 million, or 16% of revenue, compared to R&amp;D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$11.4 million, or 13% of revenue, for the six months ended October 31, 2009. The increase in R&amp;D expense of $5.2 million was primarily due to increased investment in various UAS and EES technology development initiatives.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for the six months ended October 30, 2010 was $0.2 million, compared to $0.1 million for the six months ended October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2009.</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Our effective income tax rate was 52.8% for the six months ended October 30, 2010, as compared to 30.4%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31, 2009. The increase in the effective tax rate was primarily due to a reduction in the liability for uncertain tax positions of approximately $1.7 million related to the conclusion of the examination of our fiscal 2003 and 2004 tax returns. The examination concluded in May of 2010, and no change was required to the tax returns filed.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Backlog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define funded backlog as unfilled firm orders for products and services for which funding currently is appropriated to us under the contract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customer. As of October 30, 2010 and April 30, 2010, our funded backlog was approximately $103.8 million and $72.3 million, respectively.</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$205.6 million and $269.4 million as of October 30, 2010 and April 30, 2010,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global credit crisis has imposed exceptional levels of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introducing new products and enhancing existing products and services, and promoting market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To the extent we require additional funding, we cannot be certain that such funding will be available to us on acceptable terms, or at all.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ectPr>
          <w:pgSz w:w="11900" w:h="16838" w:orient="portrait"/>
          <w:cols w:equalWidth="0" w:num="1">
            <w:col w:w="11400"/>
          </w:cols>
          <w:pgMar w:left="240" w:top="117" w:right="259" w:bottom="0" w:gutter="0" w:footer="0" w:header="0"/>
        </w:sectPr>
      </w:pPr>
    </w:p>
    <w:bookmarkStart w:id="11" w:name="page12"/>
    <w:bookmarkEnd w:id="11"/>
    <w:p>
      <w:pPr>
        <w:ind w:right="40"/>
        <w:spacing w:after="0" w:line="254" w:lineRule="auto"/>
        <w:rPr>
          <w:sz w:val="20"/>
          <w:szCs w:val="20"/>
          <w:color w:val="auto"/>
        </w:rPr>
      </w:pPr>
      <w:r>
        <w:rPr>
          <w:rFonts w:ascii="Times New Roman" w:cs="Times New Roman" w:eastAsia="Times New Roman" w:hAnsi="Times New Roman"/>
          <w:sz w:val="18"/>
          <w:szCs w:val="18"/>
          <w:color w:val="auto"/>
        </w:rPr>
        <w:t>Recent global market and economic conditions have been unprecedented and challenging with tighter credit conditions and recession in most major economies. As a result of these market conditions, the cost and availability of credit has been and may continue to be adversely affected by illiquid credit markets and wider credit spreads. Concern about the stability of the markets generally and the strength of counterparties specifically has led many lenders and institutional investors to reduce, and in some cases, cease to provide credit to businesses and consumers. These factors have led to a decrease in spending by businesses and consumers alike, and a corresponding decrease in global infrastructure spending. Continued turbulence in the U.S. and international markets and economies and prolonged declines in business and consumer spending may adversely affect our liquidity and financial condition, and the liquidity and financial condition of our customers, including our ability to access the capital markets to meet liquidity needs. In addition, we maintain significant amounts of cash and cash equivalents at one or more financial institutions that are in excess of federally insured limits. Given the current instability of financial institutions, we cannot be assured that we will not experience losses on these deposits.</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cash flow data for the six months ended October 30, 2010 and October 31, 2009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61"/>
              <w:spacing w:after="0" w:line="118" w:lineRule="exact"/>
              <w:rPr>
                <w:sz w:val="20"/>
                <w:szCs w:val="20"/>
                <w:color w:val="auto"/>
              </w:rPr>
            </w:pPr>
            <w:r>
              <w:rPr>
                <w:rFonts w:ascii="Times New Roman" w:cs="Times New Roman" w:eastAsia="Times New Roman" w:hAnsi="Times New Roman"/>
                <w:sz w:val="13"/>
                <w:szCs w:val="13"/>
                <w:b w:val="1"/>
                <w:bCs w:val="1"/>
                <w:color w:val="auto"/>
              </w:rPr>
              <w:t>October 30,</w:t>
            </w: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0"/>
                <w:szCs w:val="10"/>
                <w:color w:val="auto"/>
              </w:rPr>
            </w:pPr>
          </w:p>
        </w:tc>
      </w:tr>
      <w:tr>
        <w:trPr>
          <w:trHeight w:val="173"/>
        </w:trPr>
        <w:tc>
          <w:tcPr>
            <w:tcW w:w="60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2010</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(4,015)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51,834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(10,457)</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bl>
    <w:p>
      <w:pPr>
        <w:spacing w:after="0" w:line="1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Operating Activities. </w:t>
      </w:r>
      <w:r>
        <w:rPr>
          <w:rFonts w:ascii="Times New Roman" w:cs="Times New Roman" w:eastAsia="Times New Roman" w:hAnsi="Times New Roman"/>
          <w:sz w:val="18"/>
          <w:szCs w:val="18"/>
          <w:color w:val="auto"/>
        </w:rPr>
        <w:t>Net cash used in operating activities for the six months ended October 30, 2010 decreased by $4.4 million to $4.0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net cash used in operating activities of $8.4 million for the six months ended October 31, 2009. This decrease in net cash used in operating activities was primarily due to lower working capital needs of $4.7 million and higher depreciation of $1.3 million, partially offset by an increased loss of $1.8 million.</w:t>
      </w:r>
    </w:p>
    <w:p>
      <w:pPr>
        <w:spacing w:after="0" w:line="177"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Investing Activities. </w:t>
      </w:r>
      <w:r>
        <w:rPr>
          <w:rFonts w:ascii="Times New Roman" w:cs="Times New Roman" w:eastAsia="Times New Roman" w:hAnsi="Times New Roman"/>
          <w:sz w:val="18"/>
          <w:szCs w:val="18"/>
          <w:color w:val="auto"/>
        </w:rPr>
        <w:t>Net cash provided by investing activities increased by $62.3 million to $51.8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30, 2010, compared to net cash used in investing activities of $10.5 million for the six months ended October 31, 2009. The increase in net cash provided by investing activities was primarily due to net sales of investments of $60.0 million and lower acquisitions of property and equipment of $2.2 million.</w:t>
      </w:r>
    </w:p>
    <w:p>
      <w:pPr>
        <w:spacing w:after="0" w:line="17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Financing Activities. </w:t>
      </w:r>
      <w:r>
        <w:rPr>
          <w:rFonts w:ascii="Times New Roman" w:cs="Times New Roman" w:eastAsia="Times New Roman" w:hAnsi="Times New Roman"/>
          <w:sz w:val="18"/>
          <w:szCs w:val="18"/>
          <w:color w:val="auto"/>
        </w:rPr>
        <w:t>Net cash provided by financing activities decreased by $0.3 million to $0.2 million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30, 2010, compared to $0.5 million for the six months ended October 31, 2009. During the three months ended October 30, 2010, we received proceeds from stock option exercises of $0.2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second quarter, there were no material changes in our off balance sheet arrangements or contractual obligations and commercial commitments from those disclosed in the Form 10-K for the fiscal year ended April 30, 2010.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refer to Note 1 “Organization and Significant Accounting Policies” to our unaudited consolidated financial statements in Part I, Item 1 of this quarterly report for a discussion of new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policy not to enter into interest rate derivative financial instruments. We do not currently have any significant interest rate exposure.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7" w:right="239" w:bottom="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6"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the end of the period covered by this report, our disclosure controls and procedures were effective and were operating at a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w:t>
      </w:r>
    </w:p>
    <w:p>
      <w:pPr>
        <w:spacing w:after="0" w:line="27" w:lineRule="exact"/>
        <w:rPr>
          <w:sz w:val="20"/>
          <w:szCs w:val="20"/>
          <w:color w:val="auto"/>
        </w:rPr>
      </w:pPr>
    </w:p>
    <w:p>
      <w:pPr>
        <w:ind w:right="180" w:firstLine="8"/>
        <w:spacing w:after="0" w:line="26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October 30, 2010,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 We are, however, subject to lawsuits from time to time in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I, Item 1A, “Risk Factors,” in our Annual Report on Form 10-K for the fiscal year ended April 30, 2010. Please refer to that section for disclosures regarding the risks and uncertainties related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1012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10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6"/>
                <w:szCs w:val="16"/>
                <w:color w:val="auto"/>
              </w:rPr>
            </w:pPr>
          </w:p>
        </w:tc>
        <w:tc>
          <w:tcPr>
            <w:tcW w:w="10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34"/>
        </w:trPr>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31.2</w:t>
            </w:r>
          </w:p>
        </w:tc>
        <w:tc>
          <w:tcPr>
            <w:tcW w:w="10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Certification of Chief Financial Officer pursuant to Rule 13a-14(a) and Rule 15d-14(a) of the Securities Exchange Act of 1934, as amended.</w:t>
            </w:r>
          </w:p>
        </w:tc>
        <w:tc>
          <w:tcPr>
            <w:tcW w:w="0" w:type="dxa"/>
            <w:vAlign w:val="bottom"/>
          </w:tcPr>
          <w:p>
            <w:pPr>
              <w:spacing w:after="0"/>
              <w:rPr>
                <w:sz w:val="1"/>
                <w:szCs w:val="1"/>
                <w:color w:val="auto"/>
              </w:rPr>
            </w:pPr>
          </w:p>
        </w:tc>
      </w:tr>
    </w:tbl>
    <w:p>
      <w:pPr>
        <w:ind w:left="1300" w:right="20" w:hanging="869"/>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420"/>
          </w:cols>
          <w:pgMar w:left="240" w:top="513" w:right="239" w:bottom="0" w:gutter="0" w:footer="0" w:header="0"/>
        </w:sectPr>
      </w:pPr>
    </w:p>
    <w:bookmarkStart w:id="13" w:name="page14"/>
    <w:bookmarkEnd w:id="13"/>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jc w:val="right"/>
              <w:ind w:right="4430"/>
              <w:spacing w:after="0"/>
              <w:rPr>
                <w:sz w:val="20"/>
                <w:szCs w:val="20"/>
                <w:color w:val="auto"/>
              </w:rPr>
            </w:pPr>
            <w:r>
              <w:rPr>
                <w:rFonts w:ascii="Times New Roman" w:cs="Times New Roman" w:eastAsia="Times New Roman" w:hAnsi="Times New Roman"/>
                <w:sz w:val="18"/>
                <w:szCs w:val="18"/>
                <w:color w:val="auto"/>
                <w:w w:val="98"/>
              </w:rPr>
              <w:t>Date: December 7, 2010</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AEROVIRONMENT, INC.</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E. Conver</w:t>
            </w:r>
          </w:p>
        </w:tc>
        <w:tc>
          <w:tcPr>
            <w:tcW w:w="40" w:type="dxa"/>
            <w:vAlign w:val="bottom"/>
          </w:tcPr>
          <w:p>
            <w:pPr>
              <w:spacing w:after="0"/>
              <w:rPr>
                <w:sz w:val="24"/>
                <w:szCs w:val="24"/>
                <w:color w:val="auto"/>
              </w:rPr>
            </w:pP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Timothy E. Conver</w:t>
            </w:r>
          </w:p>
        </w:tc>
        <w:tc>
          <w:tcPr>
            <w:tcW w:w="4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4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0" w:type="dxa"/>
            <w:vAlign w:val="bottom"/>
          </w:tcPr>
          <w:p>
            <w:pPr>
              <w:spacing w:after="0"/>
              <w:rPr>
                <w:sz w:val="20"/>
                <w:szCs w:val="20"/>
                <w:color w:val="auto"/>
              </w:rPr>
            </w:pPr>
          </w:p>
        </w:tc>
      </w:tr>
      <w:tr>
        <w:trPr>
          <w:trHeight w:val="432"/>
        </w:trPr>
        <w:tc>
          <w:tcPr>
            <w:tcW w:w="628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Jikun Kim</w:t>
            </w:r>
          </w:p>
        </w:tc>
        <w:tc>
          <w:tcPr>
            <w:tcW w:w="40" w:type="dxa"/>
            <w:vAlign w:val="bottom"/>
          </w:tcPr>
          <w:p>
            <w:pPr>
              <w:spacing w:after="0"/>
              <w:rPr>
                <w:sz w:val="24"/>
                <w:szCs w:val="24"/>
                <w:color w:val="auto"/>
              </w:rPr>
            </w:pP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Jikun Kim</w:t>
            </w:r>
          </w:p>
        </w:tc>
        <w:tc>
          <w:tcPr>
            <w:tcW w:w="40" w:type="dxa"/>
            <w:vAlign w:val="bottom"/>
          </w:tcPr>
          <w:p>
            <w:pPr>
              <w:spacing w:after="0"/>
              <w:rPr>
                <w:sz w:val="16"/>
                <w:szCs w:val="16"/>
                <w:color w:val="auto"/>
              </w:rPr>
            </w:pP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Timothy E. Conver, certify that:</w:t>
      </w:r>
    </w:p>
    <w:p>
      <w:pPr>
        <w:spacing w:after="0" w:line="225" w:lineRule="exact"/>
        <w:rPr>
          <w:sz w:val="20"/>
          <w:szCs w:val="20"/>
          <w:color w:val="auto"/>
        </w:rPr>
      </w:pPr>
    </w:p>
    <w:p>
      <w:pPr>
        <w:ind w:left="340" w:hanging="329"/>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ind w:left="340" w:right="120" w:hanging="329"/>
        <w:spacing w:after="0" w:line="313"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29"/>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40" w:hanging="329"/>
        <w:spacing w:after="0" w:line="266"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480" w:hanging="329"/>
        <w:spacing w:after="0" w:line="282" w:lineRule="auto"/>
        <w:tabs>
          <w:tab w:leader="none" w:pos="3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2010</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Timothy E. Conver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Jikun Kim, certify that:</w:t>
      </w:r>
    </w:p>
    <w:p>
      <w:pPr>
        <w:spacing w:after="0" w:line="225" w:lineRule="exact"/>
        <w:rPr>
          <w:sz w:val="20"/>
          <w:szCs w:val="20"/>
          <w:color w:val="auto"/>
        </w:rPr>
      </w:pPr>
    </w:p>
    <w:p>
      <w:pPr>
        <w:ind w:left="340" w:hanging="329"/>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ind w:left="340" w:right="120" w:hanging="329"/>
        <w:spacing w:after="0" w:line="313" w:lineRule="auto"/>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29"/>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0" w:hanging="329"/>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29"/>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2010</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Jikun Kim</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October 30, 2010 (the “Periodic Report”) of the Company fully complies with the requirements of Section 13(a) of the Securities Exchange Act of 1934 (15 U.S.C. 78m or 78o(d)) and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Timothy E. Conver</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Jikun Kim</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7, 2010</w:t>
      </w:r>
    </w:p>
    <w:p>
      <w:pPr>
        <w:spacing w:after="0" w:line="225"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1"/>
      <w:numFmt w:val="decimal"/>
      <w:start w:val="32"/>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2019-12-15T14:19:48Z</dcterms:created>
  <dcterms:modified xsi:type="dcterms:W3CDTF">2019-12-15T14:19:48Z</dcterms:modified>
</cp:coreProperties>
</file>