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62026_040740.xml.htm"/>
      <w:bookmarkStart w:id="1" w:name="ksform407162026_0407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PAGE STEPHEN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241 18TH STREET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AeroVironment Inc</w:t>
              </w:r>
            </w:hyperlink>
            <w:r>
              <w:rPr/>
              <w:t xml:space="preserve"> [ </w:t>
            </w:r>
            <w:r>
              <w:rPr>
                <w:rFonts w:ascii="Times;serif" w:hAnsi="Times;serif"/>
                <w:color w:val="0000FF"/>
                <w:sz w:val="24"/>
                <w:shd w:fill="FFFFFF" w:val="clear"/>
              </w:rPr>
              <w:t>AVAV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10"/>
        <w:gridCol w:w="459"/>
        <w:gridCol w:w="633"/>
        <w:gridCol w:w="1172"/>
        <w:gridCol w:w="1005"/>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pursuant to a Rule 10b5-1 trading plan adopted by the Stephen F. Page Living Trust, on September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Stephen F. Page Living Trust, of which Mr. Page is the trustee. Mr. Page disclaims beneficial ownership of any securities in which 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Colby Petersen,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4178" TargetMode="External"/><Relationship Id="rId5" Type="http://schemas.openxmlformats.org/officeDocument/2006/relationships/hyperlink" Target="http://www.sec.gov/cgi-bin/browse-edgar?action=getcompany&amp;CIK=00013686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3358</Characters>
  <CharactersWithSpaces>3922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