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266065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142240</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180975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640" w:hanging="317"/>
        <w:spacing w:after="0"/>
        <w:tabs>
          <w:tab w:leader="none" w:pos="6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October 26, 2019</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9" w:lineRule="exact"/>
        <w:rPr>
          <w:sz w:val="24"/>
          <w:szCs w:val="24"/>
          <w:color w:val="auto"/>
        </w:rPr>
      </w:pPr>
    </w:p>
    <w:p>
      <w:pPr>
        <w:ind w:left="640" w:hanging="317"/>
        <w:spacing w:after="0"/>
        <w:tabs>
          <w:tab w:leader="none" w:pos="6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3640"/>
        <w:spacing w:after="0"/>
        <w:tabs>
          <w:tab w:leader="none" w:pos="58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161925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AEROVIRONMENT,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8" w:lineRule="exact"/>
        <w:rPr>
          <w:sz w:val="24"/>
          <w:szCs w:val="24"/>
          <w:color w:val="auto"/>
        </w:rPr>
      </w:pPr>
    </w:p>
    <w:tbl>
      <w:tblPr>
        <w:tblLayout w:type="fixed"/>
        <w:tblInd w:w="760" w:type="dxa"/>
        <w:tblCellMar>
          <w:top w:w="0" w:type="dxa"/>
          <w:left w:w="0" w:type="dxa"/>
          <w:bottom w:w="0" w:type="dxa"/>
          <w:right w:w="0" w:type="dxa"/>
        </w:tblCellMar>
      </w:tblPr>
      <w:tr>
        <w:trPr>
          <w:trHeight w:val="164"/>
        </w:trPr>
        <w:tc>
          <w:tcPr>
            <w:tcW w:w="4620" w:type="dxa"/>
            <w:vAlign w:val="bottom"/>
          </w:tcPr>
          <w:p>
            <w:pPr>
              <w:jc w:val="center"/>
              <w:ind w:right="11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95-2705790</w:t>
            </w:r>
          </w:p>
        </w:tc>
      </w:tr>
      <w:tr>
        <w:trPr>
          <w:trHeight w:val="188"/>
        </w:trPr>
        <w:tc>
          <w:tcPr>
            <w:tcW w:w="4620" w:type="dxa"/>
            <w:vAlign w:val="bottom"/>
          </w:tcPr>
          <w:p>
            <w:pPr>
              <w:jc w:val="center"/>
              <w:ind w:right="110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82"/>
        </w:trPr>
        <w:tc>
          <w:tcPr>
            <w:tcW w:w="4620" w:type="dxa"/>
            <w:vAlign w:val="bottom"/>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900 Innovators Way</w:t>
            </w:r>
          </w:p>
        </w:tc>
        <w:tc>
          <w:tcPr>
            <w:tcW w:w="3260" w:type="dxa"/>
            <w:vAlign w:val="bottom"/>
          </w:tcPr>
          <w:p>
            <w:pPr>
              <w:spacing w:after="0"/>
              <w:rPr>
                <w:sz w:val="24"/>
                <w:szCs w:val="24"/>
                <w:color w:val="auto"/>
              </w:rPr>
            </w:pPr>
          </w:p>
        </w:tc>
      </w:tr>
      <w:tr>
        <w:trPr>
          <w:trHeight w:val="164"/>
        </w:trPr>
        <w:tc>
          <w:tcPr>
            <w:tcW w:w="4620" w:type="dxa"/>
            <w:vAlign w:val="bottom"/>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Simi Valley, California</w:t>
            </w:r>
          </w:p>
        </w:tc>
        <w:tc>
          <w:tcPr>
            <w:tcW w:w="326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93065</w:t>
            </w:r>
          </w:p>
        </w:tc>
      </w:tr>
      <w:tr>
        <w:trPr>
          <w:trHeight w:val="188"/>
        </w:trPr>
        <w:tc>
          <w:tcPr>
            <w:tcW w:w="4620" w:type="dxa"/>
            <w:vAlign w:val="bottom"/>
          </w:tcPr>
          <w:p>
            <w:pPr>
              <w:jc w:val="center"/>
              <w:ind w:right="11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(805) 520-8350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3020" w:type="dxa"/>
            <w:vAlign w:val="bottom"/>
          </w:tcPr>
          <w:p>
            <w:pPr>
              <w:jc w:val="center"/>
              <w:ind w:left="261"/>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600" w:type="dxa"/>
            <w:vAlign w:val="bottom"/>
          </w:tcPr>
          <w:p>
            <w:pPr>
              <w:jc w:val="center"/>
              <w:ind w:left="241"/>
              <w:spacing w:after="0"/>
              <w:rPr>
                <w:sz w:val="20"/>
                <w:szCs w:val="20"/>
                <w:color w:val="auto"/>
              </w:rPr>
            </w:pPr>
            <w:r>
              <w:rPr>
                <w:rFonts w:ascii="Times New Roman" w:cs="Times New Roman" w:eastAsia="Times New Roman" w:hAnsi="Times New Roman"/>
                <w:sz w:val="11"/>
                <w:szCs w:val="11"/>
                <w:b w:val="1"/>
                <w:bCs w:val="1"/>
                <w:color w:val="auto"/>
                <w:w w:val="98"/>
              </w:rPr>
              <w:t>Name of each exchange on which registered</w:t>
            </w:r>
          </w:p>
        </w:tc>
      </w:tr>
      <w:tr>
        <w:trPr>
          <w:trHeight w:val="160"/>
        </w:trPr>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120" w:type="dxa"/>
            <w:vAlign w:val="bottom"/>
          </w:tcPr>
          <w:p>
            <w:pPr>
              <w:spacing w:after="0"/>
              <w:rPr>
                <w:sz w:val="13"/>
                <w:szCs w:val="13"/>
                <w:color w:val="auto"/>
              </w:rPr>
            </w:pPr>
          </w:p>
        </w:tc>
        <w:tc>
          <w:tcPr>
            <w:tcW w:w="3020" w:type="dxa"/>
            <w:vAlign w:val="bottom"/>
            <w:tcBorders>
              <w:top w:val="single" w:sz="8" w:color="auto"/>
            </w:tcBorders>
          </w:tcPr>
          <w:p>
            <w:pPr>
              <w:jc w:val="center"/>
              <w:ind w:left="241"/>
              <w:spacing w:after="0"/>
              <w:rPr>
                <w:sz w:val="20"/>
                <w:szCs w:val="20"/>
                <w:color w:val="auto"/>
              </w:rPr>
            </w:pPr>
            <w:r>
              <w:rPr>
                <w:rFonts w:ascii="Times New Roman" w:cs="Times New Roman" w:eastAsia="Times New Roman" w:hAnsi="Times New Roman"/>
                <w:sz w:val="13"/>
                <w:szCs w:val="13"/>
                <w:b w:val="1"/>
                <w:bCs w:val="1"/>
                <w:color w:val="auto"/>
                <w:w w:val="85"/>
              </w:rPr>
              <w:t>AVAV</w:t>
            </w:r>
          </w:p>
        </w:tc>
        <w:tc>
          <w:tcPr>
            <w:tcW w:w="3600" w:type="dxa"/>
            <w:vAlign w:val="bottom"/>
            <w:tcBorders>
              <w:top w:val="single" w:sz="8" w:color="auto"/>
            </w:tcBorders>
          </w:tcPr>
          <w:p>
            <w:pPr>
              <w:jc w:val="center"/>
              <w:ind w:left="241"/>
              <w:spacing w:after="0"/>
              <w:rPr>
                <w:sz w:val="20"/>
                <w:szCs w:val="20"/>
                <w:color w:val="auto"/>
              </w:rPr>
            </w:pPr>
            <w:r>
              <w:rPr>
                <w:rFonts w:ascii="Times New Roman" w:cs="Times New Roman" w:eastAsia="Times New Roman" w:hAnsi="Times New Roman"/>
                <w:sz w:val="13"/>
                <w:szCs w:val="13"/>
                <w:b w:val="1"/>
                <w:bCs w:val="1"/>
                <w:color w:val="auto"/>
                <w:w w:val="96"/>
              </w:rPr>
              <w:t>The NASDAQ Stock Market LLC</w:t>
            </w:r>
          </w:p>
        </w:tc>
      </w:tr>
    </w:tbl>
    <w:p>
      <w:pPr>
        <w:spacing w:after="0" w:line="162" w:lineRule="exact"/>
        <w:rPr>
          <w:sz w:val="24"/>
          <w:szCs w:val="24"/>
          <w:color w:val="auto"/>
        </w:rPr>
      </w:pPr>
    </w:p>
    <w:p>
      <w:pPr>
        <w:ind w:right="80"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9" w:lineRule="exact"/>
        <w:rPr>
          <w:sz w:val="24"/>
          <w:szCs w:val="24"/>
          <w:color w:val="auto"/>
        </w:rPr>
      </w:pPr>
    </w:p>
    <w:p>
      <w:pPr>
        <w:ind w:right="10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jc w:val="both"/>
        <w:ind w:right="36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60"/>
          </w:cols>
          <w:pgMar w:left="920" w:top="661" w:right="919" w:bottom="1440" w:gutter="0" w:footer="0" w:header="0"/>
        </w:sectPr>
      </w:pPr>
    </w:p>
    <w:p>
      <w:pPr>
        <w:ind w:left="174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14" w:lineRule="exact"/>
        <w:rPr>
          <w:sz w:val="24"/>
          <w:szCs w:val="24"/>
          <w:color w:val="auto"/>
        </w:rPr>
      </w:pPr>
    </w:p>
    <w:p>
      <w:pPr>
        <w:sectPr>
          <w:pgSz w:w="11900" w:h="16838" w:orient="portrait"/>
          <w:cols w:equalWidth="0" w:num="2">
            <w:col w:w="6320" w:space="720"/>
            <w:col w:w="3020"/>
          </w:cols>
          <w:pgMar w:left="920" w:top="661" w:right="919" w:bottom="1440" w:gutter="0" w:footer="0" w:header="0"/>
          <w:type w:val="continuous"/>
        </w:sectPr>
      </w:pPr>
    </w:p>
    <w:p>
      <w:pPr>
        <w:ind w:left="178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2">
            <w:col w:w="6000" w:space="720"/>
            <w:col w:w="3340"/>
          </w:cols>
          <w:pgMar w:left="920" w:top="661" w:right="919" w:bottom="1440" w:gutter="0" w:footer="0" w:header="0"/>
          <w:type w:val="continuous"/>
        </w:sectPr>
      </w:pPr>
    </w:p>
    <w:p>
      <w:pPr>
        <w:ind w:left="67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0060"/>
          </w:cols>
          <w:pgMar w:left="920" w:top="661" w:right="919" w:bottom="1440" w:gutter="0" w:footer="0" w:header="0"/>
          <w:type w:val="continuous"/>
        </w:sectPr>
      </w:pPr>
    </w:p>
    <w:p>
      <w:pPr>
        <w:spacing w:after="0" w:line="240" w:lineRule="exact"/>
        <w:rPr>
          <w:sz w:val="24"/>
          <w:szCs w:val="24"/>
          <w:color w:val="auto"/>
        </w:rPr>
      </w:pPr>
    </w:p>
    <w:p>
      <w:pPr>
        <w:ind w:right="28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20" w:right="2220"/>
        <w:spacing w:after="0" w:line="2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November 26, 2019, the number of shares outstanding of the registrant’s common stock, $0.0001 par value, was 23,990,616.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426720</wp:posOffset>
            </wp:positionV>
            <wp:extent cx="63887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r>
    </w:p>
    <w:p>
      <w:pPr>
        <w:sectPr>
          <w:pgSz w:w="11900" w:h="16838" w:orient="portrait"/>
          <w:cols w:equalWidth="0" w:num="1">
            <w:col w:w="10060"/>
          </w:cols>
          <w:pgMar w:left="920" w:top="661" w:right="91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20" w:type="dxa"/>
            <w:vAlign w:val="bottom"/>
            <w:gridSpan w:val="10"/>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8"/>
              </w:rPr>
              <w:t>AeroVironment, Inc.</w:t>
            </w:r>
          </w:p>
        </w:tc>
        <w:tc>
          <w:tcPr>
            <w:tcW w:w="5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gridSpan w:val="10"/>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40" w:type="dxa"/>
            <w:vAlign w:val="bottom"/>
          </w:tcPr>
          <w:p>
            <w:pPr>
              <w:spacing w:after="0"/>
              <w:rPr>
                <w:sz w:val="24"/>
                <w:szCs w:val="24"/>
                <w:color w:val="auto"/>
              </w:rPr>
            </w:pPr>
          </w:p>
        </w:tc>
      </w:tr>
      <w:tr>
        <w:trPr>
          <w:trHeight w:val="405"/>
        </w:trPr>
        <w:tc>
          <w:tcPr>
            <w:tcW w:w="520" w:type="dxa"/>
            <w:vAlign w:val="bottom"/>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440" w:type="dxa"/>
            <w:vAlign w:val="bottom"/>
            <w:gridSpan w:val="3"/>
          </w:tcPr>
          <w:p>
            <w:pPr>
              <w:spacing w:after="0"/>
              <w:rPr>
                <w:sz w:val="24"/>
                <w:szCs w:val="24"/>
                <w:color w:val="auto"/>
              </w:rPr>
            </w:pPr>
          </w:p>
        </w:tc>
        <w:tc>
          <w:tcPr>
            <w:tcW w:w="75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Statements</w:t>
            </w:r>
            <w:r>
              <w:rPr>
                <w:rFonts w:ascii="Times New Roman" w:cs="Times New Roman" w:eastAsia="Times New Roman" w:hAnsi="Times New Roman"/>
                <w:sz w:val="18"/>
                <w:szCs w:val="18"/>
                <w:color w:val="000000"/>
              </w:rPr>
              <w:t>:</w:t>
            </w:r>
          </w:p>
        </w:tc>
        <w:tc>
          <w:tcPr>
            <w:tcW w:w="54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80" w:type="dxa"/>
            <w:vAlign w:val="bottom"/>
            <w:gridSpan w:val="1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 as of October 26, 2019 (Unaudited) and April 30, 2019</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Operations for the three and six months ended October 26, 2019</w:t>
              </w:r>
            </w:hyperlink>
          </w:p>
        </w:tc>
        <w:tc>
          <w:tcPr>
            <w:tcW w:w="720" w:type="dxa"/>
            <w:vAlign w:val="bottom"/>
            <w:gridSpan w:val="3"/>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and October 27, 2018 (Unaudited)</w:t>
              </w:r>
            </w:hyperlink>
          </w:p>
        </w:tc>
        <w:tc>
          <w:tcPr>
            <w:tcW w:w="3800" w:type="dxa"/>
            <w:vAlign w:val="bottom"/>
            <w:gridSpan w:val="9"/>
          </w:tcPr>
          <w:p>
            <w:pPr>
              <w:spacing w:after="0"/>
              <w:rPr>
                <w:sz w:val="19"/>
                <w:szCs w:val="19"/>
                <w:color w:val="auto"/>
              </w:rPr>
            </w:pPr>
          </w:p>
        </w:tc>
        <w:tc>
          <w:tcPr>
            <w:tcW w:w="54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8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Comprehensive Income for the three and six months ended October 26,</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80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2019 (Unaudited) and October 27, 2018 (Unaudited)</w:t>
              </w:r>
            </w:hyperlink>
          </w:p>
        </w:tc>
        <w:tc>
          <w:tcPr>
            <w:tcW w:w="3180" w:type="dxa"/>
            <w:vAlign w:val="bottom"/>
            <w:tcBorders>
              <w:top w:val="single" w:sz="8" w:color="0000EE"/>
            </w:tcBorders>
            <w:gridSpan w:val="5"/>
          </w:tcPr>
          <w:p>
            <w:pPr>
              <w:spacing w:after="0"/>
              <w:rPr>
                <w:sz w:val="19"/>
                <w:szCs w:val="19"/>
                <w:color w:val="auto"/>
              </w:rPr>
            </w:pPr>
          </w:p>
        </w:tc>
        <w:tc>
          <w:tcPr>
            <w:tcW w:w="22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Stockholders’ Equity for the three and six months ended October 26, 2019</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and October 27, 2018 (Unaudited)</w:t>
              </w:r>
            </w:hyperlink>
          </w:p>
        </w:tc>
        <w:tc>
          <w:tcPr>
            <w:tcW w:w="3800" w:type="dxa"/>
            <w:vAlign w:val="bottom"/>
            <w:gridSpan w:val="9"/>
          </w:tcPr>
          <w:p>
            <w:pPr>
              <w:spacing w:after="0"/>
              <w:rPr>
                <w:sz w:val="19"/>
                <w:szCs w:val="19"/>
                <w:color w:val="auto"/>
              </w:rPr>
            </w:pPr>
          </w:p>
        </w:tc>
        <w:tc>
          <w:tcPr>
            <w:tcW w:w="54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Consolidated Statements of Cash Flows for the six months ended October 26, 2019 (Unaudited) and</w:t>
              </w:r>
            </w:hyperlink>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October 27, 2018 (Unaudited)</w:t>
              </w:r>
            </w:hyperlink>
          </w:p>
        </w:tc>
        <w:tc>
          <w:tcPr>
            <w:tcW w:w="5020" w:type="dxa"/>
            <w:vAlign w:val="bottom"/>
            <w:gridSpan w:val="10"/>
          </w:tcPr>
          <w:p>
            <w:pPr>
              <w:spacing w:after="0"/>
              <w:rPr>
                <w:sz w:val="19"/>
                <w:szCs w:val="19"/>
                <w:color w:val="auto"/>
              </w:rPr>
            </w:pPr>
          </w:p>
        </w:tc>
        <w:tc>
          <w:tcPr>
            <w:tcW w:w="54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560" w:type="dxa"/>
            <w:vAlign w:val="bottom"/>
            <w:gridSpan w:val="21"/>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Consolidated Financial Statements (Unaudited)</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Item 2.</w:t>
              </w:r>
            </w:hyperlink>
          </w:p>
        </w:tc>
        <w:tc>
          <w:tcPr>
            <w:tcW w:w="440" w:type="dxa"/>
            <w:vAlign w:val="bottom"/>
            <w:gridSpan w:val="3"/>
          </w:tcPr>
          <w:p>
            <w:pPr>
              <w:spacing w:after="0"/>
              <w:rPr>
                <w:sz w:val="19"/>
                <w:szCs w:val="19"/>
                <w:color w:val="auto"/>
              </w:rPr>
            </w:pPr>
          </w:p>
        </w:tc>
        <w:tc>
          <w:tcPr>
            <w:tcW w:w="7560" w:type="dxa"/>
            <w:vAlign w:val="bottom"/>
            <w:gridSpan w:val="21"/>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Item 3.</w:t>
              </w:r>
            </w:hyperlink>
          </w:p>
        </w:tc>
        <w:tc>
          <w:tcPr>
            <w:tcW w:w="440" w:type="dxa"/>
            <w:vAlign w:val="bottom"/>
            <w:gridSpan w:val="3"/>
          </w:tcPr>
          <w:p>
            <w:pPr>
              <w:spacing w:after="0"/>
              <w:rPr>
                <w:sz w:val="19"/>
                <w:szCs w:val="19"/>
                <w:color w:val="auto"/>
              </w:rPr>
            </w:pPr>
          </w:p>
        </w:tc>
        <w:tc>
          <w:tcPr>
            <w:tcW w:w="7560" w:type="dxa"/>
            <w:vAlign w:val="bottom"/>
            <w:gridSpan w:val="21"/>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Quantitative and Qualitative Disclosures About Market Risk</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3200" w:type="dxa"/>
            <w:vAlign w:val="bottom"/>
            <w:tcBorders>
              <w:left w:val="single" w:sz="8" w:color="0000EE"/>
            </w:tcBorders>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Item 4.</w:t>
              </w:r>
            </w:hyperlink>
          </w:p>
        </w:tc>
        <w:tc>
          <w:tcPr>
            <w:tcW w:w="440" w:type="dxa"/>
            <w:vAlign w:val="bottom"/>
            <w:gridSpan w:val="3"/>
          </w:tcPr>
          <w:p>
            <w:pPr>
              <w:spacing w:after="0"/>
              <w:rPr>
                <w:sz w:val="19"/>
                <w:szCs w:val="19"/>
                <w:color w:val="auto"/>
              </w:rPr>
            </w:pPr>
          </w:p>
        </w:tc>
        <w:tc>
          <w:tcPr>
            <w:tcW w:w="7560" w:type="dxa"/>
            <w:vAlign w:val="bottom"/>
            <w:gridSpan w:val="21"/>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Controls and Procedures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66"/>
        </w:trPr>
        <w:tc>
          <w:tcPr>
            <w:tcW w:w="8520" w:type="dxa"/>
            <w:vAlign w:val="bottom"/>
            <w:gridSpan w:val="25"/>
          </w:tcPr>
          <w:p>
            <w:pPr>
              <w:spacing w:after="0"/>
              <w:rPr>
                <w:rFonts w:ascii="Times New Roman" w:cs="Times New Roman" w:eastAsia="Times New Roman" w:hAnsi="Times New Roman"/>
                <w:sz w:val="18"/>
                <w:szCs w:val="18"/>
                <w:b w:val="1"/>
                <w:bCs w:val="1"/>
                <w:color w:val="0000EE"/>
              </w:rPr>
            </w:pPr>
            <w:hyperlink w:anchor="page38">
              <w:r>
                <w:rPr>
                  <w:rFonts w:ascii="Times New Roman" w:cs="Times New Roman" w:eastAsia="Times New Roman" w:hAnsi="Times New Roman"/>
                  <w:sz w:val="18"/>
                  <w:szCs w:val="18"/>
                  <w:b w:val="1"/>
                  <w:bCs w:val="1"/>
                  <w:color w:val="0000EE"/>
                </w:rPr>
                <w:t>PART II. OTHER INFORMATION</w:t>
              </w:r>
            </w:hyperlink>
          </w:p>
        </w:tc>
        <w:tc>
          <w:tcPr>
            <w:tcW w:w="540" w:type="dxa"/>
            <w:vAlign w:val="bottom"/>
          </w:tcPr>
          <w:p>
            <w:pPr>
              <w:spacing w:after="0"/>
              <w:rPr>
                <w:sz w:val="24"/>
                <w:szCs w:val="24"/>
                <w:color w:val="auto"/>
              </w:rPr>
            </w:pPr>
          </w:p>
        </w:tc>
      </w:tr>
      <w:tr>
        <w:trPr>
          <w:trHeight w:val="466"/>
        </w:trPr>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Item 1.</w:t>
              </w:r>
            </w:hyperlink>
          </w:p>
        </w:tc>
        <w:tc>
          <w:tcPr>
            <w:tcW w:w="440" w:type="dxa"/>
            <w:vAlign w:val="bottom"/>
            <w:tcBorders>
              <w:top w:val="single" w:sz="8" w:color="0000EE"/>
            </w:tcBorders>
            <w:gridSpan w:val="3"/>
          </w:tcPr>
          <w:p>
            <w:pPr>
              <w:spacing w:after="0"/>
              <w:rPr>
                <w:sz w:val="24"/>
                <w:szCs w:val="24"/>
                <w:color w:val="auto"/>
              </w:rPr>
            </w:pPr>
          </w:p>
        </w:tc>
        <w:tc>
          <w:tcPr>
            <w:tcW w:w="18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Legal Proceedings</w:t>
              </w:r>
            </w:hyperlink>
          </w:p>
        </w:tc>
        <w:tc>
          <w:tcPr>
            <w:tcW w:w="576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1A.</w:t>
              </w:r>
            </w:hyperlink>
          </w:p>
        </w:tc>
        <w:tc>
          <w:tcPr>
            <w:tcW w:w="7560" w:type="dxa"/>
            <w:vAlign w:val="bottom"/>
            <w:gridSpan w:val="21"/>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Risk Factors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7560" w:type="dxa"/>
            <w:vAlign w:val="bottom"/>
            <w:gridSpan w:val="21"/>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Item 3.</w:t>
              </w:r>
            </w:hyperlink>
          </w:p>
        </w:tc>
        <w:tc>
          <w:tcPr>
            <w:tcW w:w="440" w:type="dxa"/>
            <w:vAlign w:val="bottom"/>
            <w:gridSpan w:val="3"/>
          </w:tcPr>
          <w:p>
            <w:pPr>
              <w:spacing w:after="0"/>
              <w:rPr>
                <w:sz w:val="19"/>
                <w:szCs w:val="19"/>
                <w:color w:val="auto"/>
              </w:rPr>
            </w:pPr>
          </w:p>
        </w:tc>
        <w:tc>
          <w:tcPr>
            <w:tcW w:w="7560" w:type="dxa"/>
            <w:vAlign w:val="bottom"/>
            <w:gridSpan w:val="21"/>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Defaults Upon Senior Securities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Item 4.</w:t>
              </w:r>
            </w:hyperlink>
          </w:p>
        </w:tc>
        <w:tc>
          <w:tcPr>
            <w:tcW w:w="440" w:type="dxa"/>
            <w:vAlign w:val="bottom"/>
            <w:gridSpan w:val="3"/>
          </w:tcPr>
          <w:p>
            <w:pPr>
              <w:spacing w:after="0"/>
              <w:rPr>
                <w:sz w:val="19"/>
                <w:szCs w:val="19"/>
                <w:color w:val="auto"/>
              </w:rPr>
            </w:pPr>
          </w:p>
        </w:tc>
        <w:tc>
          <w:tcPr>
            <w:tcW w:w="7560" w:type="dxa"/>
            <w:vAlign w:val="bottom"/>
            <w:gridSpan w:val="21"/>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Mine Safety Disclosures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780" w:type="dxa"/>
            <w:vAlign w:val="bottom"/>
            <w:gridSpan w:val="1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Item 5.</w:t>
              </w:r>
            </w:hyperlink>
          </w:p>
        </w:tc>
        <w:tc>
          <w:tcPr>
            <w:tcW w:w="440" w:type="dxa"/>
            <w:vAlign w:val="bottom"/>
            <w:gridSpan w:val="3"/>
          </w:tcPr>
          <w:p>
            <w:pPr>
              <w:spacing w:after="0"/>
              <w:rPr>
                <w:sz w:val="19"/>
                <w:szCs w:val="19"/>
                <w:color w:val="auto"/>
              </w:rPr>
            </w:pPr>
          </w:p>
        </w:tc>
        <w:tc>
          <w:tcPr>
            <w:tcW w:w="7560" w:type="dxa"/>
            <w:vAlign w:val="bottom"/>
            <w:gridSpan w:val="21"/>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Other Information</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40" w:type="dxa"/>
            <w:vAlign w:val="bottom"/>
            <w:gridSpan w:val="1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Item 6.</w:t>
              </w:r>
            </w:hyperlink>
          </w:p>
        </w:tc>
        <w:tc>
          <w:tcPr>
            <w:tcW w:w="440" w:type="dxa"/>
            <w:vAlign w:val="bottom"/>
            <w:gridSpan w:val="3"/>
          </w:tcPr>
          <w:p>
            <w:pPr>
              <w:spacing w:after="0"/>
              <w:rPr>
                <w:sz w:val="19"/>
                <w:szCs w:val="19"/>
                <w:color w:val="auto"/>
              </w:rPr>
            </w:pPr>
          </w:p>
        </w:tc>
        <w:tc>
          <w:tcPr>
            <w:tcW w:w="7560" w:type="dxa"/>
            <w:vAlign w:val="bottom"/>
            <w:gridSpan w:val="21"/>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Exhibits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Signatures</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AeroVironment,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16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6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r>
      <w:tr>
        <w:trPr>
          <w:trHeight w:val="142"/>
        </w:trPr>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130,742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172,708</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161,635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150,487</w:t>
            </w:r>
          </w:p>
        </w:tc>
        <w:tc>
          <w:tcPr>
            <w:tcW w:w="120" w:type="dxa"/>
            <w:vAlign w:val="bottom"/>
          </w:tcPr>
          <w:p>
            <w:pPr>
              <w:spacing w:after="0"/>
              <w:rPr>
                <w:sz w:val="17"/>
                <w:szCs w:val="17"/>
                <w:color w:val="auto"/>
              </w:rPr>
            </w:pPr>
          </w:p>
        </w:tc>
      </w:tr>
      <w:tr>
        <w:trPr>
          <w:trHeight w:val="18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$1,055 at October 26, 2019 and</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$1,041 at April 30, 2019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31,051</w:t>
            </w:r>
          </w:p>
        </w:tc>
        <w:tc>
          <w:tcPr>
            <w:tcW w:w="120" w:type="dxa"/>
            <w:vAlign w:val="bottom"/>
            <w:shd w:val="clear" w:color="auto" w:fill="CCEEFF"/>
          </w:tcPr>
          <w:p>
            <w:pPr>
              <w:spacing w:after="0"/>
              <w:rPr>
                <w:sz w:val="18"/>
                <w:szCs w:val="18"/>
                <w:color w:val="auto"/>
              </w:rPr>
            </w:pPr>
          </w:p>
        </w:tc>
      </w:tr>
      <w:tr>
        <w:trPr>
          <w:trHeight w:val="189"/>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Unbilled receivables and retentions (inclusive of related party unbilled receivables of $21,717 at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October 26, 2019 and $9,028 at April 30, 2019)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53,047</w:t>
            </w:r>
          </w:p>
        </w:tc>
        <w:tc>
          <w:tcPr>
            <w:tcW w:w="120" w:type="dxa"/>
            <w:vAlign w:val="bottom"/>
          </w:tcPr>
          <w:p>
            <w:pPr>
              <w:spacing w:after="0"/>
              <w:rPr>
                <w:sz w:val="18"/>
                <w:szCs w:val="18"/>
                <w:color w:val="auto"/>
              </w:rPr>
            </w:pPr>
          </w:p>
        </w:tc>
      </w:tr>
      <w:tr>
        <w:trPr>
          <w:trHeight w:val="20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54,056</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8,045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shd w:val="clear" w:color="auto" w:fill="CCEEFF"/>
          </w:tcPr>
          <w:p>
            <w:pPr>
              <w:spacing w:after="0"/>
              <w:rPr>
                <w:sz w:val="17"/>
                <w:szCs w:val="17"/>
                <w:color w:val="auto"/>
              </w:rPr>
            </w:pPr>
          </w:p>
        </w:tc>
      </w:tr>
      <w:tr>
        <w:trPr>
          <w:trHeight w:val="196"/>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456,152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469,588</w:t>
            </w: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20,571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16,905</w:t>
            </w: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8,019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6,685</w:t>
            </w: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8,080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13,339</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w:t>
            </w:r>
          </w:p>
        </w:tc>
        <w:tc>
          <w:tcPr>
            <w:tcW w:w="120" w:type="dxa"/>
            <w:vAlign w:val="bottom"/>
            <w:shd w:val="clear" w:color="auto" w:fill="CCEEFF"/>
          </w:tcPr>
          <w:p>
            <w:pPr>
              <w:spacing w:after="0"/>
              <w:rPr>
                <w:sz w:val="17"/>
                <w:szCs w:val="17"/>
                <w:color w:val="auto"/>
              </w:rPr>
            </w:pPr>
          </w:p>
        </w:tc>
      </w:tr>
      <w:tr>
        <w:trPr>
          <w:trHeight w:val="236"/>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544,493</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508,844</w:t>
            </w:r>
          </w:p>
        </w:tc>
        <w:tc>
          <w:tcPr>
            <w:tcW w:w="120" w:type="dxa"/>
            <w:vAlign w:val="bottom"/>
            <w:tcBorders>
              <w:bottom w:val="single" w:sz="8" w:color="CCEEFF"/>
            </w:tcBorders>
          </w:tcPr>
          <w:p>
            <w:pPr>
              <w:spacing w:after="0"/>
              <w:rPr>
                <w:sz w:val="20"/>
                <w:szCs w:val="20"/>
                <w:color w:val="auto"/>
              </w:rPr>
            </w:pPr>
          </w:p>
        </w:tc>
      </w:tr>
      <w:tr>
        <w:trPr>
          <w:trHeight w:val="183"/>
        </w:trPr>
        <w:tc>
          <w:tcPr>
            <w:tcW w:w="67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15,972</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Wages and related accruals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13,218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18,507</w:t>
            </w: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advances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13,141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120" w:type="dxa"/>
            <w:vAlign w:val="bottom"/>
            <w:tcBorders>
              <w:bottom w:val="single" w:sz="8" w:color="CCEEFF"/>
            </w:tcBorders>
          </w:tcPr>
          <w:p>
            <w:pPr>
              <w:spacing w:after="0"/>
              <w:rPr>
                <w:sz w:val="17"/>
                <w:szCs w:val="17"/>
                <w:color w:val="auto"/>
              </w:rPr>
            </w:pPr>
          </w:p>
        </w:tc>
      </w:tr>
      <w:tr>
        <w:trPr>
          <w:trHeight w:val="19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Deferred rent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liability</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9"/>
        </w:trPr>
        <w:tc>
          <w:tcPr>
            <w:tcW w:w="6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Authorized shares—10,000,000; none issued or outstanding at October 26, 2019 and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April 30, 2019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Authorized shares—100,000,000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6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Issued and outstanding shares—23,990,616 shares at October 26, 2019 and 23,946,293 shares at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6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April 30, 2019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178,550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176,216</w:t>
            </w: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311,627</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286,351</w:t>
            </w:r>
          </w:p>
        </w:tc>
        <w:tc>
          <w:tcPr>
            <w:tcW w:w="120" w:type="dxa"/>
            <w:vAlign w:val="bottom"/>
            <w:tcBorders>
              <w:bottom w:val="single" w:sz="8" w:color="CCEEFF"/>
            </w:tcBorders>
          </w:tcPr>
          <w:p>
            <w:pPr>
              <w:spacing w:after="0"/>
              <w:rPr>
                <w:sz w:val="17"/>
                <w:szCs w:val="17"/>
                <w:color w:val="auto"/>
              </w:rPr>
            </w:pPr>
          </w:p>
        </w:tc>
      </w:tr>
      <w:tr>
        <w:trPr>
          <w:trHeight w:val="19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AeroVironment stockholders’ equity</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490,360</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462,571</w:t>
            </w:r>
          </w:p>
        </w:tc>
        <w:tc>
          <w:tcPr>
            <w:tcW w:w="120" w:type="dxa"/>
            <w:vAlign w:val="bottom"/>
            <w:shd w:val="clear" w:color="auto" w:fill="CCEEFF"/>
          </w:tcPr>
          <w:p>
            <w:pPr>
              <w:spacing w:after="0"/>
              <w:rPr>
                <w:sz w:val="17"/>
                <w:szCs w:val="17"/>
                <w:color w:val="auto"/>
              </w:rPr>
            </w:pPr>
          </w:p>
        </w:tc>
      </w:tr>
      <w:tr>
        <w:trPr>
          <w:trHeight w:val="196"/>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490,357</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462,575</w:t>
            </w:r>
          </w:p>
        </w:tc>
        <w:tc>
          <w:tcPr>
            <w:tcW w:w="120" w:type="dxa"/>
            <w:vAlign w:val="bottom"/>
            <w:shd w:val="clear" w:color="auto" w:fill="CCEEFF"/>
          </w:tcPr>
          <w:p>
            <w:pPr>
              <w:spacing w:after="0"/>
              <w:rPr>
                <w:sz w:val="17"/>
                <w:szCs w:val="17"/>
                <w:color w:val="auto"/>
              </w:rPr>
            </w:pPr>
          </w:p>
        </w:tc>
      </w:tr>
      <w:tr>
        <w:trPr>
          <w:trHeight w:val="196"/>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544,493</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508,844</w:t>
            </w:r>
          </w:p>
        </w:tc>
        <w:tc>
          <w:tcPr>
            <w:tcW w:w="120" w:type="dxa"/>
            <w:vAlign w:val="bottom"/>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9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October 27,</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October 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57,386</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47,056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123,225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 (inclusive of related party revenue of $13,393 and</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$12,832 for the three months ended October 26, 2019 and October</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27, 2018, respectively; and $25,728 and $24,395 for the six months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ended October 26, 2019 and October 27, 2018, respectively)</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46,957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83,271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72,979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48,105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35,166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28,399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76,438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60,988</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10,858</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19,567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14,544</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 net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9,679</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method investment loss, net of tax</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(2,210)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(1,354)</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7,040</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24,604</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Discontinued operations: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on sale of business, net of tax (benefit) expense of</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$(114) and $2,463 for the three and six months ended October 27,</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2018, respectively</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(2,449)</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 income from discontinued operations</w:t>
            </w:r>
          </w:p>
        </w:tc>
        <w:tc>
          <w:tcPr>
            <w:tcW w:w="1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AeroVironment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per share attributable to AeroVironment—Basic</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Discontinued operations</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 per share attributable to AeroVironment—Basic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per share attributable to AeroVironment—Diluted</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Discontinued operations</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 per share attributable to AeroVironment—Diluted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23,804,364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23,667,400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23,775,355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23,621,720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24,061,810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24,098,833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24,063,775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24,059,394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7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7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27,</w:t>
            </w:r>
          </w:p>
        </w:tc>
        <w:tc>
          <w:tcPr>
            <w:tcW w:w="180" w:type="dxa"/>
            <w:vAlign w:val="bottom"/>
          </w:tcPr>
          <w:p>
            <w:pPr>
              <w:spacing w:after="0"/>
              <w:rPr>
                <w:sz w:val="10"/>
                <w:szCs w:val="10"/>
                <w:color w:val="auto"/>
              </w:rPr>
            </w:pPr>
          </w:p>
        </w:tc>
        <w:tc>
          <w:tcPr>
            <w:tcW w:w="106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7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27,</w:t>
            </w:r>
          </w:p>
        </w:tc>
        <w:tc>
          <w:tcPr>
            <w:tcW w:w="80" w:type="dxa"/>
            <w:vAlign w:val="bottom"/>
          </w:tcPr>
          <w:p>
            <w:pPr>
              <w:spacing w:after="0"/>
              <w:rPr>
                <w:sz w:val="10"/>
                <w:szCs w:val="10"/>
                <w:color w:val="auto"/>
              </w:rPr>
            </w:pPr>
          </w:p>
        </w:tc>
      </w:tr>
      <w:tr>
        <w:trPr>
          <w:trHeight w:val="173"/>
        </w:trPr>
        <w:tc>
          <w:tcPr>
            <w:tcW w:w="5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r>
      <w:tr>
        <w:trPr>
          <w:trHeight w:val="198"/>
        </w:trPr>
        <w:tc>
          <w:tcPr>
            <w:tcW w:w="52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gain on investments, net of deferred tax expense of $51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 the six months ended October 27, 2018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0"/>
                <w:szCs w:val="20"/>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r>
      <w:tr>
        <w:trPr>
          <w:trHeight w:val="21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AeroVironment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October 26, 2019 and October 27, 2018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2"/>
                <w:szCs w:val="12"/>
                <w:color w:val="auto"/>
              </w:rPr>
            </w:pPr>
          </w:p>
        </w:tc>
        <w:tc>
          <w:tcPr>
            <w:tcW w:w="72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1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2"/>
              </w:rPr>
              <w:t>Retained</w:t>
            </w:r>
          </w:p>
        </w:tc>
        <w:tc>
          <w:tcPr>
            <w:tcW w:w="140" w:type="dxa"/>
            <w:vAlign w:val="bottom"/>
          </w:tcPr>
          <w:p>
            <w:pPr>
              <w:spacing w:after="0"/>
              <w:rPr>
                <w:sz w:val="13"/>
                <w:szCs w:val="13"/>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Comprehensive AeroVironment Controlling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76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4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29"/>
              <w:spacing w:after="0" w:line="129" w:lineRule="exact"/>
              <w:rPr>
                <w:sz w:val="20"/>
                <w:szCs w:val="20"/>
                <w:color w:val="auto"/>
              </w:rPr>
            </w:pPr>
            <w:r>
              <w:rPr>
                <w:rFonts w:ascii="Times New Roman" w:cs="Times New Roman" w:eastAsia="Times New Roman" w:hAnsi="Times New Roman"/>
                <w:sz w:val="13"/>
                <w:szCs w:val="13"/>
                <w:b w:val="1"/>
                <w:bCs w:val="1"/>
                <w:color w:val="auto"/>
                <w:w w:val="90"/>
              </w:rPr>
              <w:t>Earnings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Pr>
          <w:p>
            <w:pPr>
              <w:spacing w:after="0"/>
              <w:rPr>
                <w:sz w:val="11"/>
                <w:szCs w:val="11"/>
                <w:color w:val="auto"/>
              </w:rPr>
            </w:pPr>
          </w:p>
        </w:tc>
        <w:tc>
          <w:tcPr>
            <w:tcW w:w="720" w:type="dxa"/>
            <w:vAlign w:val="bottom"/>
          </w:tcPr>
          <w:p>
            <w:pPr>
              <w:jc w:val="center"/>
              <w:ind w:right="89"/>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7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2019</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23,946,293</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176,216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286,351</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462,571</w:t>
            </w: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462,575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Adoption of ASU 2018-09</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24,611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24,611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24,604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65,692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(13,364)</w:t>
            </w: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 settlement of equity awards</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October 26, 2019</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23,990,616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$ 178,550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311,627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181</w:t>
            </w: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490,360</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490,357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8"/>
                <w:szCs w:val="18"/>
                <w:color w:val="auto"/>
              </w:rPr>
            </w:pPr>
          </w:p>
        </w:tc>
        <w:tc>
          <w:tcPr>
            <w:tcW w:w="72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8"/>
                <w:szCs w:val="18"/>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1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2"/>
              </w:rPr>
              <w:t>Retained</w:t>
            </w:r>
          </w:p>
        </w:tc>
        <w:tc>
          <w:tcPr>
            <w:tcW w:w="140" w:type="dxa"/>
            <w:vAlign w:val="bottom"/>
          </w:tcPr>
          <w:p>
            <w:pPr>
              <w:spacing w:after="0"/>
              <w:rPr>
                <w:sz w:val="17"/>
                <w:szCs w:val="17"/>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Comprehensive AeroVironment Controlling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0"/>
              </w:rPr>
              <w:t>Earnings</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April 30, 2018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23,908,736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238,913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409,033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on investments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 options exercised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stock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stock awards forfeited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74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(12,879)</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 settlement of equity awards</w:t>
            </w: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Balance at October 27, 2018</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23,928,373</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$ 171,867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444,174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444,176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October 26, 2019 and October 27, 2018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2"/>
                <w:szCs w:val="12"/>
                <w:color w:val="auto"/>
              </w:rPr>
            </w:pPr>
          </w:p>
        </w:tc>
        <w:tc>
          <w:tcPr>
            <w:tcW w:w="72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1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w w:val="92"/>
              </w:rPr>
              <w:t>Retained</w:t>
            </w:r>
          </w:p>
        </w:tc>
        <w:tc>
          <w:tcPr>
            <w:tcW w:w="140" w:type="dxa"/>
            <w:vAlign w:val="bottom"/>
          </w:tcPr>
          <w:p>
            <w:pPr>
              <w:spacing w:after="0"/>
              <w:rPr>
                <w:sz w:val="13"/>
                <w:szCs w:val="1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Comprehensive AeroVironment Controlling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760" w:type="dxa"/>
            <w:vAlign w:val="bottom"/>
          </w:tcPr>
          <w:p>
            <w:pPr>
              <w:jc w:val="right"/>
              <w:ind w:right="13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4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30"/>
              <w:spacing w:after="0" w:line="129" w:lineRule="exact"/>
              <w:rPr>
                <w:sz w:val="20"/>
                <w:szCs w:val="20"/>
                <w:color w:val="auto"/>
              </w:rPr>
            </w:pPr>
            <w:r>
              <w:rPr>
                <w:rFonts w:ascii="Times New Roman" w:cs="Times New Roman" w:eastAsia="Times New Roman" w:hAnsi="Times New Roman"/>
                <w:sz w:val="13"/>
                <w:szCs w:val="13"/>
                <w:b w:val="1"/>
                <w:bCs w:val="1"/>
                <w:color w:val="auto"/>
                <w:w w:val="90"/>
              </w:rPr>
              <w:t>Earnings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Pr>
          <w:p>
            <w:pPr>
              <w:spacing w:after="0"/>
              <w:rPr>
                <w:sz w:val="11"/>
                <w:szCs w:val="11"/>
                <w:color w:val="auto"/>
              </w:rPr>
            </w:pPr>
          </w:p>
        </w:tc>
        <w:tc>
          <w:tcPr>
            <w:tcW w:w="720" w:type="dxa"/>
            <w:vAlign w:val="bottom"/>
          </w:tcPr>
          <w:p>
            <w:pPr>
              <w:jc w:val="center"/>
              <w:ind w:right="9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1"/>
                <w:szCs w:val="11"/>
                <w:color w:val="auto"/>
              </w:rPr>
            </w:pPr>
          </w:p>
        </w:tc>
        <w:tc>
          <w:tcPr>
            <w:tcW w:w="7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7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July 27, 2019</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23,990,459</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177,207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304,126</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w:t>
            </w: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481,506</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481,499</w:t>
            </w:r>
          </w:p>
        </w:tc>
        <w:tc>
          <w:tcPr>
            <w:tcW w:w="0" w:type="dxa"/>
            <w:vAlign w:val="bottom"/>
          </w:tcPr>
          <w:p>
            <w:pPr>
              <w:spacing w:after="0"/>
              <w:rPr>
                <w:sz w:val="1"/>
                <w:szCs w:val="1"/>
                <w:color w:val="auto"/>
              </w:rPr>
            </w:pPr>
          </w:p>
        </w:tc>
      </w:tr>
      <w:tr>
        <w:trPr>
          <w:trHeight w:val="149"/>
        </w:trPr>
        <w:tc>
          <w:tcPr>
            <w:tcW w:w="2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7,501</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7,505</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7,831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(6,285)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74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71"/>
        </w:trPr>
        <w:tc>
          <w:tcPr>
            <w:tcW w:w="2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 settlement of equity awards</w:t>
            </w: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1,418</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1,418</w:t>
            </w:r>
          </w:p>
        </w:tc>
        <w:tc>
          <w:tcPr>
            <w:tcW w:w="0" w:type="dxa"/>
            <w:vAlign w:val="bottom"/>
          </w:tcPr>
          <w:p>
            <w:pPr>
              <w:spacing w:after="0"/>
              <w:rPr>
                <w:sz w:val="1"/>
                <w:szCs w:val="1"/>
                <w:color w:val="auto"/>
              </w:rPr>
            </w:pPr>
          </w:p>
        </w:tc>
      </w:tr>
      <w:tr>
        <w:trPr>
          <w:trHeight w:val="142"/>
        </w:trPr>
        <w:tc>
          <w:tcPr>
            <w:tcW w:w="27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October 26, 2019</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23,990,616</w:t>
            </w: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$ 178,550</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311,627</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181</w:t>
            </w: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490,360</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490,357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2"/>
                <w:szCs w:val="12"/>
                <w:color w:val="auto"/>
              </w:rPr>
            </w:pPr>
          </w:p>
        </w:tc>
        <w:tc>
          <w:tcPr>
            <w:tcW w:w="72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1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w w:val="92"/>
              </w:rPr>
              <w:t>Retained</w:t>
            </w:r>
          </w:p>
        </w:tc>
        <w:tc>
          <w:tcPr>
            <w:tcW w:w="140" w:type="dxa"/>
            <w:vAlign w:val="bottom"/>
          </w:tcPr>
          <w:p>
            <w:pPr>
              <w:spacing w:after="0"/>
              <w:rPr>
                <w:sz w:val="13"/>
                <w:szCs w:val="1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Comprehensive AeroVironment Controlling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760" w:type="dxa"/>
            <w:vAlign w:val="bottom"/>
          </w:tcPr>
          <w:p>
            <w:pPr>
              <w:jc w:val="right"/>
              <w:ind w:right="13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4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30"/>
              <w:spacing w:after="0" w:line="129" w:lineRule="exact"/>
              <w:rPr>
                <w:sz w:val="20"/>
                <w:szCs w:val="20"/>
                <w:color w:val="auto"/>
              </w:rPr>
            </w:pPr>
            <w:r>
              <w:rPr>
                <w:rFonts w:ascii="Times New Roman" w:cs="Times New Roman" w:eastAsia="Times New Roman" w:hAnsi="Times New Roman"/>
                <w:sz w:val="13"/>
                <w:szCs w:val="13"/>
                <w:b w:val="1"/>
                <w:bCs w:val="1"/>
                <w:color w:val="auto"/>
                <w:w w:val="90"/>
              </w:rPr>
              <w:t>Earnings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Pr>
          <w:p>
            <w:pPr>
              <w:spacing w:after="0"/>
              <w:rPr>
                <w:sz w:val="11"/>
                <w:szCs w:val="11"/>
                <w:color w:val="auto"/>
              </w:rPr>
            </w:pPr>
          </w:p>
        </w:tc>
        <w:tc>
          <w:tcPr>
            <w:tcW w:w="720" w:type="dxa"/>
            <w:vAlign w:val="bottom"/>
          </w:tcPr>
          <w:p>
            <w:pPr>
              <w:jc w:val="center"/>
              <w:ind w:right="9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1"/>
                <w:szCs w:val="11"/>
                <w:color w:val="auto"/>
              </w:rPr>
            </w:pPr>
          </w:p>
        </w:tc>
        <w:tc>
          <w:tcPr>
            <w:tcW w:w="7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7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July 28, 2018</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23,923,342</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$ 170,789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266,243</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437,050</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437,059</w:t>
            </w:r>
          </w:p>
        </w:tc>
        <w:tc>
          <w:tcPr>
            <w:tcW w:w="0" w:type="dxa"/>
            <w:vAlign w:val="bottom"/>
          </w:tcPr>
          <w:p>
            <w:pPr>
              <w:spacing w:after="0"/>
              <w:rPr>
                <w:sz w:val="1"/>
                <w:szCs w:val="1"/>
                <w:color w:val="auto"/>
              </w:rPr>
            </w:pPr>
          </w:p>
        </w:tc>
      </w:tr>
      <w:tr>
        <w:trPr>
          <w:trHeight w:val="149"/>
        </w:trPr>
        <w:tc>
          <w:tcPr>
            <w:tcW w:w="2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6,057</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6,050</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6,725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2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74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71"/>
        </w:trPr>
        <w:tc>
          <w:tcPr>
            <w:tcW w:w="2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 settlement of equity awards</w:t>
            </w: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142"/>
        </w:trPr>
        <w:tc>
          <w:tcPr>
            <w:tcW w:w="27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October 27, 2018</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23,928,373</w:t>
            </w: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$ 171,867</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272,300</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444,174</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444,176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October 27,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24,604</w:t>
            </w:r>
          </w:p>
        </w:tc>
        <w:tc>
          <w:tcPr>
            <w:tcW w:w="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33,366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 sale of business, net of tax</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(8,452)</w:t>
            </w: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from continuing operations</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24,604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27,363</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from continuing operations to cash provided by operating activities from</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continuing operations: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from equity method investment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non-cash expense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Losses (gains) on foreign currency transactions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on sale of property and equipment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held-to-maturity investments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(9,400)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22,261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Unbilled receivables and retentions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(28,782)</w:t>
            </w:r>
          </w:p>
        </w:tc>
        <w:tc>
          <w:tcPr>
            <w:tcW w:w="0" w:type="dxa"/>
            <w:vAlign w:val="bottom"/>
          </w:tcPr>
          <w:p>
            <w:pPr>
              <w:spacing w:after="0"/>
              <w:rPr>
                <w:sz w:val="1"/>
                <w:szCs w:val="1"/>
                <w:color w:val="auto"/>
              </w:rPr>
            </w:pPr>
          </w:p>
        </w:tc>
      </w:tr>
      <w:tr>
        <w:trPr>
          <w:trHeight w:val="149"/>
        </w:trPr>
        <w:tc>
          <w:tcPr>
            <w:tcW w:w="66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(8,671)</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(8,841)</w:t>
            </w:r>
          </w:p>
        </w:tc>
        <w:tc>
          <w:tcPr>
            <w:tcW w:w="0" w:type="dxa"/>
            <w:vAlign w:val="bottom"/>
          </w:tcPr>
          <w:p>
            <w:pPr>
              <w:spacing w:after="0"/>
              <w:rPr>
                <w:sz w:val="1"/>
                <w:szCs w:val="1"/>
                <w:color w:val="auto"/>
              </w:rPr>
            </w:pPr>
          </w:p>
        </w:tc>
      </w:tr>
      <w:tr>
        <w:trPr>
          <w:trHeight w:val="149"/>
        </w:trPr>
        <w:tc>
          <w:tcPr>
            <w:tcW w:w="66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(6,184)</w:t>
            </w:r>
          </w:p>
        </w:tc>
        <w:tc>
          <w:tcPr>
            <w:tcW w:w="0" w:type="dxa"/>
            <w:vAlign w:val="bottom"/>
          </w:tcPr>
          <w:p>
            <w:pPr>
              <w:spacing w:after="0"/>
              <w:rPr>
                <w:sz w:val="1"/>
                <w:szCs w:val="1"/>
                <w:color w:val="auto"/>
              </w:rPr>
            </w:pPr>
          </w:p>
        </w:tc>
      </w:tr>
      <w:tr>
        <w:trPr>
          <w:trHeight w:val="142"/>
        </w:trPr>
        <w:tc>
          <w:tcPr>
            <w:tcW w:w="66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 of continuing operations</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7,919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2,657</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(6,850)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(4,135)</w:t>
            </w: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method investments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Business acquisition, net of cash acquired</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(18,641)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business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31,994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Redemptions of held-to-maturity investments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153,029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held-to-maturity investments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(169,148)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(169,402)</w:t>
            </w: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Redemptions of available-for-sale investments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available-for-sale investments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investing activities from continuing operations</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(44,235)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13,736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capital lease obligations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 withholding payment related to net settlement of equity awards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149"/>
        </w:trPr>
        <w:tc>
          <w:tcPr>
            <w:tcW w:w="66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 from continuing operations</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activities of discontinued operations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(7,188)</w:t>
            </w: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Investing activities of discontinued operations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activities of discontinued operations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Net cash used in discontinued operations</w:t>
            </w: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(7,640)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(36,966)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7,738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172,708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143,517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135,742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151,255</w:t>
            </w: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net during the period for:</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w:t>
            </w:r>
          </w:p>
        </w:tc>
        <w:tc>
          <w:tcPr>
            <w:tcW w:w="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activities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investments, net of deferred tax expense of $51 for the six months ended October 27, 2018</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8"/>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Acquisitions of property and equipment included in accounts payable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AeroVironment, Inc., a Delaware corporation (the “Company”), is engaged in the design, development, production, support and operation of unmanned aircraft systems (“UAS”) for various industries and governmental agencies.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six months ended October 26, 2019 are not necessarily indicative of the results for the full year ending April 30, 2020. For further information, refer to the consolidated financial statements and footnotes thereto for the year ended April 30, 2019, included in the Company’s Annual Report on Form 10-K.</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assets, liabilities and operating results of wholly-owned subsidiaries. All intercompany accounts and transactions have been eliminated.</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December 2017, the Company and SoftBank Corp. (“SoftBank”) formed a joint venture, HAPSMobile, Inc. (“HAPSMobile”). As the Company has the ability to exercise significant influence over the operating and financial policies of HAPSMobile, the Company’s investment has been accounted for as an equity method investment. The Company has presented its proportion of HAPSMobile’s net loss in equity method investment activity, net of tax in the consolidated statements of operations. The carrying value of the investment in HAPSMobile was recorded in other assets. Refer to Note 6 —Equity Method Investments for further details.</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The Company determined that the EES Business met the criteria for classification as an asset held for sale at April 30, 2018 and represents a strategic shift in the Company’s operations. Therefore, the assets and liabilities and the results of operations of the EES Business are reported as discontinued operations for all periods presented. Refer to Note 2—Discontinued Operations for further details.</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June 10, 2019, the Company purchased 100% of the issued and outstanding member units of Pulse Aerospace, LLC (“Pulse”) pursuant to the terms of a Unit Purchase Agreement (the “Pulse Purchase Agreement”). The assets, liabilities and operating results of Pulse have been included in the Company’s consolidated financial statements. Refer to Note 18— Business Acquisitions for further details.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27, 2019, the Company dissolved its wholly-owned subsidiary, Skytower, Inc., the results of which were not material to the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 xml:space="preserve">Effective May 1, 2019, the Company adopted ASU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(Topic 842), along with several additional clarification ASU’s issued during 2018, collectively the “New Lease Standard”. This New Lease Standard requires the lessee to recognize the assets and liabilities for the rights and obligations created by leases. The Company elected to adopt the New Lease Standard using the modified retrospective transition approach through a cumulative-effect adjustment to the opening balance of retained earnings in the period of adoption. As such the Company did not recast comparative consolidated financial statements. The Company also elected the package of practical expedients which allows the Company to not reassess existing or expired contracts for existence of a lease, lease classification, or amortization of previously capitalized initial direct leasing cost. Additionally, the Company elected the short-term lease exception to not record right-of-use assets and lease liabilities for leases with a term less than 12 months and the practical expedient to not separate lease and non-lease components. Adoption of the New Lease Standard resulted in the recording of lease assets and lease liabilities on the consolidated balance sheet with no cumulative impact to retained earnings and did not have a material impact on the consolidated statement of cash flows. Refer to Note 10—Leases for additional information required as part of the adoption of the New Lease Standard.</w:t>
      </w:r>
    </w:p>
    <w:p>
      <w:pPr>
        <w:spacing w:after="0" w:line="1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July 2018, the FASB issued ASU 2018-09, “Codification Improvements” (“ASU 2018-09”). ASU 2018-09 provides technical corrections, clarifications and other improvements across a variety of accounting topics. Among the clarifications, ASU 2018-09 clarifies that an entity should recognize excess tax benefits in the period in which the amount of the deduction is determined. This includes deductions that are taken on the entity’s return in a different period from when the event that gives rise to the tax deduction occurs and the uncertainty about whether the entity will receive a tax deduction and the amount of the tax deduction is resolved. Certain amendments were applicable immediately while others provide transition guidance and are effective in the Company’s first quarter of fiscal year 2020. The Company adopted ASU 2018-09 on May 1, 2019 using the modified retrospective method. The adoption of ASU 2018-09 resulted in a cumulative adjustment to increase retained earnings by $665,000 at May 1,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Specifically, the Company’s existing intangible assets have been reclassified from other assets to intangibles, net on the consolidated balance sheet for all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classifies cash accounts which are not available for general use as restricted cash. Pursuant to the terms of the Pulse Purchase Agreement, the Company maintains an escrow account to satisfy the payment of contingent consideration due to the sellers if certain objectives are met. The restricted funds in the escrow account are recorded in other assets on the consolidated balance sheet. As of October 26, 2019 restricted cash was $5,000,000. The Company had no restricted cash as of April 30,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distinct goods or services to a customer, and it is the unit of account in ASC Topic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tactical missile systems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Training services are recognized over time using an output method based on days of training completed.</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performance obligations which are not satisfied over time per the aforementioned criteria above, revenue is recognized at the point in time in which each performance obligation is fully satisfied. The Company’s small UAS product sales revenue is composed of revenue recognized on contracts for the delivery of small UAS systems and spare parts. Revenue is recognized at the point in time when control transfers to the customer, which generally occurs when title and risk of loss have passed to the customer.</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26, 2019, the Company had approximately $146,671,000 of remaining performance obligations under fully funded contracts with its customers, which the Company also refers to as funded backlog. The Company currently expects to recognize approximately 86% of the remaining performance obligations as revenue in fiscal 2020, an additional 14% in fiscal 2021, and the balance thereafter.</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collects sales, value added, and other taxes concurrent with revenue producing activities, which are excluded from revenue when they are both imposed on a specific transaction and collected from a customer.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29"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7"/>
          <w:szCs w:val="17"/>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7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Contract estimates are based on various assumptions to project the outcome of future events that may span several years. These assumptions include labor productivity and availability, the complexity of the work to be performed, the cost and</w:t>
      </w:r>
    </w:p>
    <w:p>
      <w:pPr>
        <w:sectPr>
          <w:pgSz w:w="11900" w:h="16838" w:orient="portrait"/>
          <w:cols w:equalWidth="0" w:num="1">
            <w:col w:w="9040"/>
          </w:cols>
          <w:pgMar w:left="1420" w:top="513" w:right="14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of materials, the performance of subcontractors, and the availability and timing of funding from the customer.</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Because of the certainty in estimating these amounts, they are included in the transaction price of the Company’s contracts and the associated remaining performance obligations.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 and it is recorded in other current liabilities.</w:t>
      </w:r>
    </w:p>
    <w:p>
      <w:pPr>
        <w:spacing w:after="0" w:line="18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three or six month periods ended October 26, 2019 and October 27, 2018. During the three and six month periods ended October 26, 2019, the Company revised its estimates of the total expected costs to complete a contract associated a design and development agreement. The impact of the revised estimate on this contract on revenue related to performance obligations satisfied or partially satisfied in previous periods was an increase of approximately $1,118,000 and $976,000, respectively. No adjustment on any one contract was material to the Company’s unaudited consolidated financial statements for the three and six month periods ended October 27,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disaggregated by major product line, contract type, customer category and geographic location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major product line/program</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vMerge w:val="continue"/>
          </w:tcPr>
          <w:p>
            <w:pPr>
              <w:spacing w:after="0"/>
              <w:rPr>
                <w:sz w:val="15"/>
                <w:szCs w:val="15"/>
                <w:color w:val="auto"/>
              </w:rPr>
            </w:pPr>
          </w:p>
        </w:tc>
        <w:tc>
          <w:tcPr>
            <w:tcW w:w="2440" w:type="dxa"/>
            <w:vAlign w:val="bottom"/>
            <w:gridSpan w:val="3"/>
          </w:tcPr>
          <w:p>
            <w:pPr>
              <w:jc w:val="center"/>
              <w:ind w:left="163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80" w:type="dxa"/>
            <w:vAlign w:val="bottom"/>
            <w:gridSpan w:val="3"/>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Pr>
          <w:p>
            <w:pPr>
              <w:spacing w:after="0"/>
              <w:rPr>
                <w:sz w:val="15"/>
                <w:szCs w:val="15"/>
                <w:color w:val="auto"/>
              </w:rPr>
            </w:pPr>
          </w:p>
        </w:tc>
        <w:tc>
          <w:tcPr>
            <w:tcW w:w="920" w:type="dxa"/>
            <w:vAlign w:val="bottom"/>
            <w:gridSpan w:val="3"/>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940" w:type="dxa"/>
            <w:vAlign w:val="bottom"/>
            <w:gridSpan w:val="3"/>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UAS</w:t>
            </w:r>
          </w:p>
        </w:tc>
        <w:tc>
          <w:tcPr>
            <w:tcW w:w="1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$ 59,157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$ 42,199</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$ 125,903</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83,415</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TMS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15,019</w:t>
            </w: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13,511</w:t>
            </w:r>
          </w:p>
        </w:tc>
        <w:tc>
          <w:tcPr>
            <w:tcW w:w="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37,785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HAPS</w:t>
            </w:r>
          </w:p>
        </w:tc>
        <w:tc>
          <w:tcPr>
            <w:tcW w:w="2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13,393</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25,728</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$ 83,271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$ 72,979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$ 170,182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$ 151,022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1700" w:type="dxa"/>
            <w:vAlign w:val="bottom"/>
          </w:tcPr>
          <w:p>
            <w:pPr>
              <w:spacing w:after="0"/>
              <w:rPr>
                <w:sz w:val="15"/>
                <w:szCs w:val="15"/>
                <w:color w:val="auto"/>
              </w:rPr>
            </w:pPr>
          </w:p>
        </w:tc>
        <w:tc>
          <w:tcPr>
            <w:tcW w:w="7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October 26,</w:t>
            </w: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vMerge w:val="continue"/>
          </w:tcPr>
          <w:p>
            <w:pPr>
              <w:spacing w:after="0"/>
              <w:rPr>
                <w:sz w:val="15"/>
                <w:szCs w:val="15"/>
                <w:color w:val="auto"/>
              </w:rPr>
            </w:pPr>
          </w:p>
        </w:tc>
        <w:tc>
          <w:tcPr>
            <w:tcW w:w="2440" w:type="dxa"/>
            <w:vAlign w:val="bottom"/>
            <w:gridSpan w:val="3"/>
          </w:tcPr>
          <w:p>
            <w:pPr>
              <w:jc w:val="center"/>
              <w:ind w:left="16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gridSpan w:val="3"/>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5"/>
                <w:szCs w:val="15"/>
                <w:color w:val="auto"/>
              </w:rPr>
            </w:pPr>
          </w:p>
        </w:tc>
        <w:tc>
          <w:tcPr>
            <w:tcW w:w="92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Pr>
          <w:p>
            <w:pPr>
              <w:spacing w:after="0"/>
              <w:rPr>
                <w:sz w:val="15"/>
                <w:szCs w:val="15"/>
                <w:color w:val="auto"/>
              </w:rPr>
            </w:pPr>
          </w:p>
        </w:tc>
        <w:tc>
          <w:tcPr>
            <w:tcW w:w="94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FFP</w:t>
            </w:r>
          </w:p>
        </w:tc>
        <w:tc>
          <w:tcPr>
            <w:tcW w:w="17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$ 60,518</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$ 50,054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$ 128,462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$ 108,057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CPFF</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21,257</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22,870</w:t>
            </w: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39,521</w:t>
            </w:r>
          </w:p>
        </w:tc>
        <w:tc>
          <w:tcPr>
            <w:tcW w:w="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42,853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T&amp;M</w:t>
            </w:r>
          </w:p>
        </w:tc>
        <w:tc>
          <w:tcPr>
            <w:tcW w:w="2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70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$ 83,271</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$ 72,979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$ 170,182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$ 151,022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700" w:type="dxa"/>
            <w:vAlign w:val="bottom"/>
            <w:vMerge w:val="restart"/>
          </w:tcPr>
          <w:p>
            <w:pPr>
              <w:jc w:val="right"/>
              <w:ind w:right="774"/>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3"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customer category</w:t>
            </w:r>
          </w:p>
        </w:tc>
        <w:tc>
          <w:tcPr>
            <w:tcW w:w="156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140" w:type="dxa"/>
            <w:vAlign w:val="bottom"/>
          </w:tcPr>
          <w:p>
            <w:pPr>
              <w:spacing w:after="0"/>
              <w:rPr>
                <w:sz w:val="15"/>
                <w:szCs w:val="15"/>
                <w:color w:val="auto"/>
              </w:rPr>
            </w:pP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00" w:type="dxa"/>
            <w:vAlign w:val="bottom"/>
            <w:vMerge w:val="continue"/>
          </w:tcPr>
          <w:p>
            <w:pPr>
              <w:spacing w:after="0"/>
              <w:rPr>
                <w:sz w:val="15"/>
                <w:szCs w:val="15"/>
                <w:color w:val="auto"/>
              </w:rPr>
            </w:pPr>
          </w:p>
        </w:tc>
        <w:tc>
          <w:tcPr>
            <w:tcW w:w="2280" w:type="dxa"/>
            <w:vAlign w:val="bottom"/>
            <w:gridSpan w:val="2"/>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1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$ 50,302</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$ 46,941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82,849</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32,969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$ 83,271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$ 72,979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$ 170,182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$ 151,022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156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140" w:type="dxa"/>
            <w:vAlign w:val="bottom"/>
          </w:tcPr>
          <w:p>
            <w:pPr>
              <w:spacing w:after="0"/>
              <w:rPr>
                <w:sz w:val="15"/>
                <w:szCs w:val="15"/>
                <w:color w:val="auto"/>
              </w:rPr>
            </w:pP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00" w:type="dxa"/>
            <w:vAlign w:val="bottom"/>
            <w:vMerge w:val="continue"/>
          </w:tcPr>
          <w:p>
            <w:pPr>
              <w:spacing w:after="0"/>
              <w:rPr>
                <w:sz w:val="15"/>
                <w:szCs w:val="15"/>
                <w:color w:val="auto"/>
              </w:rPr>
            </w:pPr>
          </w:p>
        </w:tc>
        <w:tc>
          <w:tcPr>
            <w:tcW w:w="2280" w:type="dxa"/>
            <w:vAlign w:val="bottom"/>
            <w:gridSpan w:val="2"/>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$ 49,965</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$ 46,726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82,078</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33,306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$ 83,271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$ 72,979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$ 170,182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$ 151,022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six month period ended October 26, 2019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9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 recognized for the three and six month periods ended October 26, 2019 that was included in contract liability balances at the beginning of each year were $828,000 and $1,658,000, respectively; and revenue recognized for the three and six month periods ended October 27, 2018 that was included in contract liability balances at the beginning of each year were $6,000 and $1,554,000,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research and development (“R&amp;D”), on a consolidated basis for the Company’s continuing operations. Accordingly, the Company operates its business as a single reportable segment.</w:t>
      </w:r>
    </w:p>
    <w:p>
      <w:pPr>
        <w:sectPr>
          <w:pgSz w:w="11900" w:h="16838" w:orient="portrait"/>
          <w:cols w:equalWidth="0" w:num="1">
            <w:col w:w="9080"/>
          </w:cols>
          <w:pgMar w:left="142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513" w:right="139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1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investments are accounted for as held-to-maturity and available-for-sale and reported at amortized cost and cost less impairment, respectively. The Company has elected to measure available-for-sale investments that do not have readily determinable fair values at cost minus impairment, if any, adjusted for changes resulting from observable price changes in orderly transactions for the identical or a similar investment of the same issuer.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21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Fair values of cash and cash equivalents, accounts receivable, unbilled receivables and retentions, and accounts payable approximate cost due to the short period of time to maturity.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Contracts</w:t>
      </w:r>
    </w:p>
    <w:p>
      <w:pPr>
        <w:spacing w:after="0" w:line="21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revenue recognition policy calls for revenue recognized on all CPFF or T&amp;M government contracts to be recorded at actual rates to the extent it is probable that a significant reversal in the amount of cumulative revenue recognized will not occur. During the fiscal year ended April 30, 2019, the Company settled rates for its incurred cost claims with the DCAA for fiscal years 2016 and 2017 without payment of any consideration. At October 26, 2019 and April 30, 2019, the Company had $345,000 and $93,000 reserved for incurred cost claim audits,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Intangibles Assets — Acquired in Business Combinations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performs valuations of assets acquired and liabilities assumed on each acquisition accounted for as a business combination and allocates the purchase price of the acquired business to the respective net tangible and intangible assets. Acquired intangible assets include technology, in-process research and development, customer relationships, trademarks and tradenames, and non-compete agreements. The Company determines the appropriate useful life by performing an analysis of expected cash flows based on historical experience of the acquired businesses and the Company’s comparable businesses. Intangible assets are amortized over their estimated useful lives using the straight-line method which approximates the pattern in which the economic benefits are consumed.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 of the acquired net assets. Goodwill is tested for impairment annually during the fourth quarter of the Company’s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projected future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excluding</w:t>
      </w:r>
    </w:p>
    <w:p>
      <w:pPr>
        <w:sectPr>
          <w:pgSz w:w="11900" w:h="16838" w:orient="portrait"/>
          <w:cols w:equalWidth="0" w:num="1">
            <w:col w:w="9040"/>
          </w:cols>
          <w:pgMar w:left="1420" w:top="513" w:right="14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unvested restricted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basic to diluted shares is as follows (in thousands except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w:t>
            </w: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80" w:type="dxa"/>
            <w:vAlign w:val="bottom"/>
            <w:vMerge w:val="continue"/>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26, 2019</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October 27, 2018</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26, 2019</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27, 2018</w:t>
            </w:r>
          </w:p>
        </w:tc>
        <w:tc>
          <w:tcPr>
            <w:tcW w:w="0" w:type="dxa"/>
            <w:vAlign w:val="bottom"/>
          </w:tcPr>
          <w:p>
            <w:pPr>
              <w:spacing w:after="0"/>
              <w:rPr>
                <w:sz w:val="1"/>
                <w:szCs w:val="1"/>
                <w:color w:val="auto"/>
              </w:rPr>
            </w:pPr>
          </w:p>
        </w:tc>
      </w:tr>
      <w:tr>
        <w:trPr>
          <w:trHeight w:val="178"/>
        </w:trPr>
        <w:tc>
          <w:tcPr>
            <w:tcW w:w="4180" w:type="dxa"/>
            <w:vAlign w:val="bottom"/>
            <w:tcBorders>
              <w:top w:val="single" w:sz="8" w:color="CCEEFF"/>
            </w:tcBorders>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Continuing operations attributable to</w:t>
            </w: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AeroVironment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(990)</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AeroVironment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 for basic earnings per share:</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23,804,364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23,667,400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23,775,355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23,621,720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Dilutive effect of employee stock options, restricted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stock and restricted stock units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257,446</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431,433</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288,420</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437,674</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24,061,810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24,098,833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24,063,775</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24,059,394</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Potentially dilutive shares not included in the computation of diluted weighted-average common shares because their effect would have been anti-dilutive were 8,402 and 4,358 for the three and six months ended October 26, 2019, respectively. Potentially dilutive shares not included in the computation of diluted weighted-average common shares because their effect would have been anti-dilutive were 598 and 7,130 for the three and six months ended October 27, 2018,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(Topic 326). This ASU is intended to replace the incurred loss impairment methodology under GAAP with a methodology that reflects using a forward-looking expected credit loss model for accounts receivables, loans, and other financial instruments, and requires consideration of a broader range of reasonable and supportable information to determine credit loss estimates. The guidance is effective for fiscal years beginning after December 15, 2019 and the interim periods therein, with early adoption permitted. Entities are required to apply the amendments in this update using a modified retrospective approach through a cumulative-effect adjustment to retained earnings as of the effective date. The Company is evaluating the potential impact of this adoption on its consolidated financial statements.</w:t>
      </w:r>
    </w:p>
    <w:p>
      <w:pPr>
        <w:spacing w:after="0" w:line="18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Framework—Changes to the Disclosure Requirements for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Measurement </w:t>
      </w:r>
      <w:r>
        <w:rPr>
          <w:rFonts w:ascii="Times New Roman" w:cs="Times New Roman" w:eastAsia="Times New Roman" w:hAnsi="Times New Roman"/>
          <w:sz w:val="18"/>
          <w:szCs w:val="18"/>
          <w:color w:val="auto"/>
        </w:rPr>
        <w:t>(Topic 820)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removes or modifies current disclosures while adding certain new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The guidance is effective for fiscal years beginning after December 15, 2019 and interim periods therein, with early adoption permitted for the removed or modified disclosures. The removed and modified disclosures can be adopted retrospectively, and the added disclosures should be adopted prospectively. The Company is evaluating the potential impact of this adoption on its consolidated financial statements.</w:t>
      </w:r>
    </w:p>
    <w:p>
      <w:pPr>
        <w:spacing w:after="0" w:line="183"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Computing Arrangement That Is a Service Contract </w:t>
      </w:r>
      <w:r>
        <w:rPr>
          <w:rFonts w:ascii="Times New Roman" w:cs="Times New Roman" w:eastAsia="Times New Roman" w:hAnsi="Times New Roman"/>
          <w:sz w:val="18"/>
          <w:szCs w:val="18"/>
          <w:color w:val="auto"/>
        </w:rPr>
        <w:t>(Topic 350-40)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allows for capitalization of implementation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certain cloud computing arrangements. The guidance is effective for fiscal years beginning after December 15, 2019 and interim periods therein, with early adoption permitted. The Company is evaluating the potential impact of this adoption on its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June 29, 2018, the Company completed the sale of the EES Business to Webasto. In accordance with the terms of the Purchase Agreement, as amended by a side letter agreement executed at the closing, the Company received cash consideration of $31,994,000 upon closing, which resulted in a gain of $11,420,000 and has been recorded in gain on sale of business, net of tax in the consolidated statements of operations. During the three-months ended October 27, 2018, the Company recorded a reduction to the gain resulting from a working capital adjustment of $504,000. In addition, the Company is in the process of submitting a Webasto working capital dispute in the amount of $1,085,000 to</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an independent accounting firm for resolution pursuant to the terms of the Purchase Agreement. No amounts have been recorded in the consolidated financial statements related to the additional working capital dispute as the Company has assessed the likelihood of a loss to be less than probable.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entitled to receive additional cash consideration of $6,500,000 (the “Holdback”) upon tendering consents to assignment of two remaining customer contracts to Webasto. The Holdback was not recorded in the Company’s consolidated financial statements as the amount was not realized or realizable as of October 26, 2019. The Company’s satisfaction of the requirements for the payment of the Holdback is currently in dispute.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22, 2019, Webasto filed a lawsuit alleging several claims against the Company for breach of contract, indemnity, and bad faith, including allegations regarding inaccuracy of certain diligence disclosures, failure to provide certain consents to contract assignments and related to a previously announced product recall. Webasto seeks to recover the costs of the recall and other damages totaling a minimum of $6,500,000 in addition to attorneys’ fees, costs, and punitive damages. On August 16, 2019, the Company filed a counterclaim against Webasto seeking payment of the Holdback and declaratory relief regarding Webasto’s cancellation of an assigned contract. The Company believes that the allegations are generally meritless and is mounting a vigorous defense.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October 29, 2019, P.B.M S.r.l. (“PBM”), filed a Notice of Arbitration naming Webasto and the Company as defendants, alleging over $1,700,000, plus attorneys’ fees, for unpaid invoices and reliance damages stemming from a 2017 agreement that the Company assigned to Webasto in the sale of the EES Business. As Webasto filed an objection to such arbitration, the Company expects a stay to issue and that no litigation will commence until at least January 2020.</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three months ended October 27, 2018, Webasto filed a recall report with the National Highway Traffic Safety Administration that named certain of the Company’s EES products as subject to the recall. The Company is continuing to assess the facts giving rise to the recall. Under the terms of the Purchase Agreement, the Company may be responsible for certain costs of such recall of named products the Company manufactured, sold or serviced prior to the closing of the sale of the EES Business. On August 14, 2019, Benchmark Electronics, Inc. (“Benchmark”), the company that assembled the products subject to the recall, served a demand for arbitration to AeroVironment and Webasto pursuant to its contracts with AeroVironment and Webasto, respectively. The Company filed a responsive pleading in the Benchmark arbitration on October 29, 2019, consisting of a general denial, affirmative defenses, and a reservation of the right to file counter-claims at a later date. The Benchmark arbitration is now stayed pursuant to an action by Webasto in New York Superior Court contesting the applicability of arbitration for this matter.</w:t>
      </w:r>
    </w:p>
    <w:p>
      <w:pPr>
        <w:spacing w:after="0" w:line="1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Concurrent with the execution of the Purchase Agreement, the Company entered into a transition services agreement (the “TSA”) to provide certain general and administrative services to Webasto for a defined period. Income from performing services under the TSA was $45,000 and $489,000 has been recorded in other income, net in the consolidated statements of operations for three and six months ended October 26, 2019, respectively, and $1,221,000 and $1,620,000 for three and six months ended October 27, 2018, respectively.</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determined that the EES Business met the criteria for classification as an asset held for sale as of April 30, 2018 and represents a strategic shift in the Company’s operations. Therefore, the assets and liabilities and the results of operations of the EES Business are reported as discontinued operations for all periods presented. The table below presents the statements of operations data for the EES Business (in thousands).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73"/>
        </w:trPr>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85"/>
        </w:trPr>
        <w:tc>
          <w:tcPr>
            <w:tcW w:w="6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0" w:type="dxa"/>
            <w:vAlign w:val="bottom"/>
          </w:tcPr>
          <w:p>
            <w:pPr>
              <w:spacing w:after="0"/>
              <w:rPr>
                <w:sz w:val="1"/>
                <w:szCs w:val="1"/>
                <w:color w:val="auto"/>
              </w:rPr>
            </w:pPr>
          </w:p>
        </w:tc>
      </w:tr>
      <w:tr>
        <w:trPr>
          <w:trHeight w:val="173"/>
        </w:trPr>
        <w:tc>
          <w:tcPr>
            <w:tcW w:w="65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gain on sale of business, net of tax (benefit) expense of $(114) and $2,463 for the</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three and six months ended October 27, 2018, respectively</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Investments</w:t>
            </w: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Municipal securities</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21,761</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65,826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74,048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held-to-maturity short-term investments</w:t>
            </w:r>
          </w:p>
        </w:tc>
        <w:tc>
          <w:tcPr>
            <w:tcW w:w="44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161,635</w:t>
            </w:r>
          </w:p>
        </w:tc>
        <w:tc>
          <w:tcPr>
            <w:tcW w:w="20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150,487</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Municipal securities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held-to-maturity investments</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8,531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Investment in limited partnership fund</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4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13,478</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Held-To-Maturity Securities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October 26, 2019 and April 30, 2019, the balance of held-to-maturity securities consisted of state and local government municipal securities, U.S. government securities, U.S. government agency securities, and highly rated corporate bonds. Interest earned from these investments is recorded in interest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gross unrealized gains, gross unrealized losses, and estimated fair value of the held-to-maturity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as of October 26, 2019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October 26, 2019</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86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1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held-to-maturity investments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170,352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estimated fair value of the held-to-maturity investments as of April 30, 2019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April 30, 2019</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860" w:type="dxa"/>
            <w:vAlign w:val="bottom"/>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1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8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held-to-maturity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159,873</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the held-to-maturity securities by contractual maturity at October 26, 2019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161,635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Borders>
              <w:bottom w:val="single" w:sz="8" w:color="CCEEFF"/>
            </w:tcBorders>
          </w:tcPr>
          <w:p>
            <w:pPr>
              <w:spacing w:after="0"/>
              <w:rPr>
                <w:sz w:val="18"/>
                <w:szCs w:val="18"/>
                <w:color w:val="auto"/>
              </w:rPr>
            </w:pPr>
          </w:p>
        </w:tc>
      </w:tr>
      <w:tr>
        <w:trPr>
          <w:trHeight w:val="210"/>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170,166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Investment in Limited Partnership Fund</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July 27, 2019, the Company made its initial capital contribution to a limited partnership fund. This investment does not have readily determinable fair values. The Company has elected to measure equity investments that do not have readily determinable fair values at cost minus impairment, if any, plus or minus changes resulting from observable price changes in orderly transactions for the identical or a similar investment of the same issuer.</w:t>
      </w:r>
    </w:p>
    <w:p>
      <w:pPr>
        <w:spacing w:after="0" w:line="18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activity related to the available-for-sale investments recorded in long-term investments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April 30, 2019</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Changes in</w:t>
            </w:r>
          </w:p>
        </w:tc>
        <w:tc>
          <w:tcPr>
            <w:tcW w:w="140" w:type="dxa"/>
            <w:vAlign w:val="bottom"/>
          </w:tcPr>
          <w:p>
            <w:pPr>
              <w:spacing w:after="0"/>
              <w:rPr>
                <w:sz w:val="13"/>
                <w:szCs w:val="13"/>
                <w:color w:val="auto"/>
              </w:rPr>
            </w:pP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Sales or</w:t>
            </w:r>
          </w:p>
        </w:tc>
        <w:tc>
          <w:tcPr>
            <w:tcW w:w="20" w:type="dxa"/>
            <w:vAlign w:val="bottom"/>
          </w:tcPr>
          <w:p>
            <w:pPr>
              <w:spacing w:after="0"/>
              <w:rPr>
                <w:sz w:val="13"/>
                <w:szCs w:val="13"/>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26, 2019</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Net Income</w:t>
            </w:r>
          </w:p>
        </w:tc>
        <w:tc>
          <w:tcPr>
            <w:tcW w:w="14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limited partnership</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without readily determinable fair values</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Auction Rate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2018, the balance of available-for-sale auction rate securities consisted of two investment grade auction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rate municipal bonds with maturities ranging from 1 to 16 years. These investments have characteristics similar to short term investments. During the three months ended July 28, 2018, the remaining investment grade auction rate municipal bonds were redeemed at par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76" w:lineRule="exact"/>
        <w:rPr>
          <w:sz w:val="20"/>
          <w:szCs w:val="20"/>
          <w:color w:val="auto"/>
        </w:rPr>
      </w:pPr>
    </w:p>
    <w:p>
      <w:pPr>
        <w:ind w:left="320" w:right="40" w:hanging="318"/>
        <w:spacing w:after="0" w:line="282" w:lineRule="auto"/>
        <w:tabs>
          <w:tab w:leader="none" w:pos="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based upon quoted prices (unadjusted) for identical assets or liabilities in active markets that are accessible as of the measurement date.</w:t>
      </w:r>
    </w:p>
    <w:p>
      <w:pPr>
        <w:spacing w:after="0" w:line="161" w:lineRule="exact"/>
        <w:rPr>
          <w:rFonts w:ascii="Times New Roman" w:cs="Times New Roman" w:eastAsia="Times New Roman" w:hAnsi="Times New Roman"/>
          <w:sz w:val="18"/>
          <w:szCs w:val="18"/>
          <w:color w:val="auto"/>
        </w:rPr>
      </w:pPr>
    </w:p>
    <w:p>
      <w:pPr>
        <w:ind w:left="320" w:right="320" w:hanging="318"/>
        <w:spacing w:after="0" w:line="266" w:lineRule="auto"/>
        <w:tabs>
          <w:tab w:leader="none" w:pos="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76" w:lineRule="exact"/>
        <w:rPr>
          <w:rFonts w:ascii="Times New Roman" w:cs="Times New Roman" w:eastAsia="Times New Roman" w:hAnsi="Times New Roman"/>
          <w:sz w:val="18"/>
          <w:szCs w:val="18"/>
          <w:color w:val="auto"/>
        </w:rPr>
      </w:pPr>
    </w:p>
    <w:p>
      <w:pPr>
        <w:ind w:left="300" w:hanging="298"/>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that are unobservable inputs for the asset or liability.</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Company’s financial liabilities measured at fair value on a recurring basis at October 26, 2019,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9"/>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00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6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Measurements Using</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7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7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1, 2019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to Level 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Total losses (realized or unrealized)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Included in selling, general and administrative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October 26, 2019</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72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The amount of total (gains) or losses for the period included in earnings attributable to the change in</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or losses relating to assets or liabilities still held at October 26, 2019</w:t>
            </w:r>
          </w:p>
        </w:tc>
        <w:tc>
          <w:tcPr>
            <w:tcW w:w="4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Pursuant to the Pulse Purchase Agreement, the sellers may receive up to a maximum of $5,000,000 in additional cash consideration (“contingent consideration”), if specific research and development milestones are achieved by December 10, 2021. The contingent consideration was valued using a probability weighted discounted cash flow model. The analysis considered, among other items, contractual terms of the Pulse Purchase Agreement, the Company’s</w:t>
      </w:r>
    </w:p>
    <w:p>
      <w:pPr>
        <w:sectPr>
          <w:pgSz w:w="11900" w:h="16838" w:orient="portrait"/>
          <w:cols w:equalWidth="0" w:num="1">
            <w:col w:w="9060"/>
          </w:cols>
          <w:pgMar w:left="1420" w:top="513" w:right="14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discount rate, the timing of expected future cash flows and the probability that the milestones required for payment of the contingent consideration will be achieved. See Note 18—Business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6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19,162</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25,926</w:t>
            </w:r>
          </w:p>
        </w:tc>
        <w:tc>
          <w:tcPr>
            <w:tcW w:w="120" w:type="dxa"/>
            <w:vAlign w:val="bottom"/>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gross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61,880</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(7,824)</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54,056</w:t>
            </w:r>
          </w:p>
        </w:tc>
        <w:tc>
          <w:tcPr>
            <w:tcW w:w="12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October 26, 2019, the Company recorded inventory reserve charges of approximately</w:t>
      </w:r>
    </w:p>
    <w:p>
      <w:pPr>
        <w:spacing w:after="0" w:line="27"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$2,600,000 to impair the remaining net book value of the Company’s Quantix commercial UAS solution. For the three and six months end October 26, 2019 the Company recorded inventory reserve charges of $2,612,000 and $3,190,000, respectively. For the three and six months end October 27, 2018 the Company recorded inventory impairment charges of $841,000 and $1,190,000,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Equity Method Investments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December of 2017, the Company and SoftBank formed a joint venture, HAPSMobile, which is a Japanese corporation. As of October 26, 2019, the Company’s ownership stake in HAPSMobile was 5%, with the remaining 95% held by SoftBank. In connection with the formation of the joint venture on December 27, 2017, the Company initially purchased shares of HAPSMobile representing a 5% ownership interest in exchange for an investment of 210,000,000 yen ($1,860,000). The Company subsequently purchased additional shares of HAPSMobile in order to maintain a 5% ownership stake in the joint venture. The first such purchase occurred on April 17, 2018, at which time the Company invested 150,000,000 yen ($1,407,000) for the purchase of additional shares of HAPSMobile. On January 29, 2019, the Company invested an additional 209,500,000 yen ($1,926,000) to maintain its 5% ownership stake. On February 9, 2019, the Company elected to purchase 632,800,000 yen ($5,671,000) of additional shares of HAPSMobile to increase the Company’s ownership in the joint venture from 5% to 10%, and on May 10, 2019, the Company purchased 500,000,000 yen ($4,569,000) of additional shares of HAPSMobile to maintain its 10% ownership stake. The Company’s ownership percentage was subsequently diluted from 10% to approximately 5%.</w:t>
      </w:r>
    </w:p>
    <w:p>
      <w:pPr>
        <w:spacing w:after="0" w:line="1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the Company has the ability to exercise significant influence over the operating and financial policies of HAPSMobile pursuant to the applicable Joint Venture Agreement and related organizational documents, the Company’s investment is accounted for as an equity method investment. For the three and six months ended October 26, 2019, the Company recorded its ownership percentage of the net loss of HAPSMobile, or $863,000 and $2,210,000, respectively, in equity method investment loss, net of tax in the unaudited consolidated statement of operations. For the three and six months ended October 27, 2018, the Company recorded its ownership percentage of the net loss of HAPSMobile, or $752,000 and $1,354,000, respectively, in equity method investment loss, net of tax in the unaudited consolidated statement of operations. At October 26, 2019 and April 30, 2019, the carrying value of the investment in HAPSMobile of $8,149,000 and $5,612,000, respectively, was recorded in other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Warranty Reserves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and six months ended October</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2019 and October 27, 2018, respectively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460" w:type="dxa"/>
            <w:vAlign w:val="bottom"/>
          </w:tcPr>
          <w:p>
            <w:pPr>
              <w:spacing w:after="0"/>
              <w:rPr>
                <w:sz w:val="10"/>
                <w:szCs w:val="10"/>
                <w:color w:val="auto"/>
              </w:rPr>
            </w:pPr>
          </w:p>
        </w:tc>
        <w:tc>
          <w:tcPr>
            <w:tcW w:w="8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October 27,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27,</w:t>
            </w:r>
          </w:p>
        </w:tc>
        <w:tc>
          <w:tcPr>
            <w:tcW w:w="100" w:type="dxa"/>
            <w:vAlign w:val="bottom"/>
          </w:tcPr>
          <w:p>
            <w:pPr>
              <w:spacing w:after="0"/>
              <w:rPr>
                <w:sz w:val="10"/>
                <w:szCs w:val="10"/>
                <w:color w:val="auto"/>
              </w:rPr>
            </w:pPr>
          </w:p>
        </w:tc>
      </w:tr>
      <w:tr>
        <w:trPr>
          <w:trHeight w:val="173"/>
        </w:trPr>
        <w:tc>
          <w:tcPr>
            <w:tcW w:w="54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estimates related to pre-existing warranties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Warranty costs settled</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r>
      <w:tr>
        <w:trPr>
          <w:trHeight w:val="210"/>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six months ended October 26, 2019, the Company revised its estimates based on the results of additional engineering studies to $302,000 related to the estimated costs to repair a component of certain small UAS that were delivered in prior periods. At October 26, 2019, the total remaining warranty reserve related to the estimated costs to repair the impacted UAS was not significant. As of October 26, 2019 a total of $288,000 of costs related to this warranty have been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intangibles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4840" w:type="dxa"/>
            <w:vAlign w:val="bottom"/>
            <w:tcBorders>
              <w:bottom w:val="single" w:sz="8" w:color="CCEEFF"/>
            </w:tcBorders>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Intangibles, gross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14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at October 26, 2019 and April 30, 2019 was five years and one year,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and six months ended October 26, 2019 was $775,000 and $1,327,000,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and six months ended October 27, 2018 $80,000 and $149,000, respectively.</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Technology, in-process research and development, customer relationships, trademarks and tradenames, and non-compete agreements were recognized in conjunction with the Company’s acquisition of Pulse on June 10, 2019. Refer to Note 18— Business Acquisitions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the next five years is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73"/>
        </w:trPr>
        <w:tc>
          <w:tcPr>
            <w:tcW w:w="7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210"/>
        </w:trPr>
        <w:tc>
          <w:tcPr>
            <w:tcW w:w="7880" w:type="dxa"/>
            <w:vAlign w:val="bottom"/>
            <w:tcBorders>
              <w:top w:val="single" w:sz="8" w:color="CCEEFF"/>
            </w:tcBorders>
            <w:shd w:val="clear" w:color="auto" w:fill="CCEEFF"/>
          </w:tcPr>
          <w:p>
            <w:pPr>
              <w:jc w:val="right"/>
              <w:ind w:right="7430"/>
              <w:spacing w:after="0"/>
              <w:rPr>
                <w:sz w:val="20"/>
                <w:szCs w:val="20"/>
                <w:color w:val="auto"/>
              </w:rPr>
            </w:pPr>
            <w:r>
              <w:rPr>
                <w:rFonts w:ascii="Times New Roman" w:cs="Times New Roman" w:eastAsia="Times New Roman" w:hAnsi="Times New Roman"/>
                <w:sz w:val="18"/>
                <w:szCs w:val="18"/>
                <w:color w:val="auto"/>
                <w:w w:val="94"/>
              </w:rPr>
              <w:t>2020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jc w:val="right"/>
              <w:ind w:right="7430"/>
              <w:spacing w:after="0"/>
              <w:rPr>
                <w:sz w:val="20"/>
                <w:szCs w:val="20"/>
                <w:color w:val="auto"/>
              </w:rPr>
            </w:pPr>
            <w:r>
              <w:rPr>
                <w:rFonts w:ascii="Times New Roman" w:cs="Times New Roman" w:eastAsia="Times New Roman" w:hAnsi="Times New Roman"/>
                <w:sz w:val="18"/>
                <w:szCs w:val="18"/>
                <w:color w:val="auto"/>
                <w:w w:val="94"/>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tcPr>
          <w:p>
            <w:pPr>
              <w:spacing w:after="0"/>
              <w:rPr>
                <w:sz w:val="18"/>
                <w:szCs w:val="18"/>
                <w:color w:val="auto"/>
              </w:rPr>
            </w:pPr>
          </w:p>
        </w:tc>
      </w:tr>
      <w:tr>
        <w:trPr>
          <w:trHeight w:val="216"/>
        </w:trPr>
        <w:tc>
          <w:tcPr>
            <w:tcW w:w="7880" w:type="dxa"/>
            <w:vAlign w:val="bottom"/>
            <w:shd w:val="clear" w:color="auto" w:fill="CCEEFF"/>
          </w:tcPr>
          <w:p>
            <w:pPr>
              <w:jc w:val="right"/>
              <w:ind w:right="7430"/>
              <w:spacing w:after="0"/>
              <w:rPr>
                <w:sz w:val="20"/>
                <w:szCs w:val="20"/>
                <w:color w:val="auto"/>
              </w:rPr>
            </w:pPr>
            <w:r>
              <w:rPr>
                <w:rFonts w:ascii="Times New Roman" w:cs="Times New Roman" w:eastAsia="Times New Roman" w:hAnsi="Times New Roman"/>
                <w:sz w:val="18"/>
                <w:szCs w:val="18"/>
                <w:color w:val="auto"/>
                <w:w w:val="94"/>
              </w:rPr>
              <w:t>2022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20" w:type="dxa"/>
            <w:vAlign w:val="bottom"/>
            <w:shd w:val="clear" w:color="auto" w:fill="CCEEFF"/>
          </w:tcPr>
          <w:p>
            <w:pPr>
              <w:spacing w:after="0"/>
              <w:rPr>
                <w:sz w:val="18"/>
                <w:szCs w:val="18"/>
                <w:color w:val="auto"/>
              </w:rPr>
            </w:pPr>
          </w:p>
        </w:tc>
      </w:tr>
      <w:tr>
        <w:trPr>
          <w:trHeight w:val="216"/>
        </w:trPr>
        <w:tc>
          <w:tcPr>
            <w:tcW w:w="7880" w:type="dxa"/>
            <w:vAlign w:val="bottom"/>
          </w:tcPr>
          <w:p>
            <w:pPr>
              <w:jc w:val="right"/>
              <w:ind w:right="7430"/>
              <w:spacing w:after="0"/>
              <w:rPr>
                <w:sz w:val="20"/>
                <w:szCs w:val="20"/>
                <w:color w:val="auto"/>
              </w:rPr>
            </w:pPr>
            <w:r>
              <w:rPr>
                <w:rFonts w:ascii="Times New Roman" w:cs="Times New Roman" w:eastAsia="Times New Roman" w:hAnsi="Times New Roman"/>
                <w:sz w:val="18"/>
                <w:szCs w:val="18"/>
                <w:color w:val="auto"/>
                <w:w w:val="94"/>
              </w:rPr>
              <w:t>2023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8"/>
                <w:szCs w:val="18"/>
                <w:color w:val="auto"/>
              </w:rPr>
            </w:pPr>
          </w:p>
        </w:tc>
      </w:tr>
      <w:tr>
        <w:trPr>
          <w:trHeight w:val="216"/>
        </w:trPr>
        <w:tc>
          <w:tcPr>
            <w:tcW w:w="7880" w:type="dxa"/>
            <w:vAlign w:val="bottom"/>
            <w:shd w:val="clear" w:color="auto" w:fill="CCEEFF"/>
          </w:tcPr>
          <w:p>
            <w:pPr>
              <w:jc w:val="right"/>
              <w:ind w:right="7430"/>
              <w:spacing w:after="0"/>
              <w:rPr>
                <w:sz w:val="20"/>
                <w:szCs w:val="20"/>
                <w:color w:val="auto"/>
              </w:rPr>
            </w:pPr>
            <w:r>
              <w:rPr>
                <w:rFonts w:ascii="Times New Roman" w:cs="Times New Roman" w:eastAsia="Times New Roman" w:hAnsi="Times New Roman"/>
                <w:sz w:val="18"/>
                <w:szCs w:val="18"/>
                <w:color w:val="auto"/>
                <w:w w:val="94"/>
              </w:rPr>
              <w:t>2024</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20" w:type="dxa"/>
            <w:vAlign w:val="bottom"/>
            <w:shd w:val="clear" w:color="auto" w:fill="CCEEFF"/>
          </w:tcPr>
          <w:p>
            <w:pPr>
              <w:spacing w:after="0"/>
              <w:rPr>
                <w:sz w:val="18"/>
                <w:szCs w:val="18"/>
                <w:color w:val="auto"/>
              </w:rPr>
            </w:pPr>
          </w:p>
        </w:tc>
      </w:tr>
      <w:tr>
        <w:trPr>
          <w:trHeight w:val="210"/>
        </w:trPr>
        <w:tc>
          <w:tcPr>
            <w:tcW w:w="78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12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Goodwill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goodwill balance (in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2019</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goodwill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October 26, 2019</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increase of goodwill is attributable to the acquisition of Pulse. Refer to Note 18—Business Acquisitions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leases certain buildings, land and equipment. Under the New Lease Standard,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10 years, and some of which may include options to terminate the lease after two years. None of the Company’s options to extend or terminate are reasonably certain of being exercised, and are therefore not included in the Company’s determination of lease assets and liabilities. For operating leases, the Company recognizes lease expense for these leases on a straight-line basis over the lease term.</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does not have any finance leases. The Company does not have any material restrictions or covenants in its lease agreements, sale-leaseback transactions, land easements or residual value guarantees.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components of lease costs recorded in cost of sales for product sales and contract services and selling, general and administrative (“SG&amp;A”) expense were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center"/>
              <w:ind w:right="111"/>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5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 net</w:t>
            </w:r>
          </w:p>
        </w:tc>
        <w:tc>
          <w:tcPr>
            <w:tcW w:w="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lease information were as follows:</w:t>
            </w: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center"/>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7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7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32"/>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October 26, 2019 were as follows (in thousands):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280" w:type="dxa"/>
            <w:vAlign w:val="bottom"/>
          </w:tcPr>
          <w:p>
            <w:pPr>
              <w:spacing w:after="0"/>
              <w:rPr>
                <w:sz w:val="19"/>
                <w:szCs w:val="19"/>
                <w:color w:val="auto"/>
              </w:rPr>
            </w:pPr>
          </w:p>
        </w:tc>
        <w:tc>
          <w:tcPr>
            <w:tcW w:w="72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present value of operating lease liabilities</w:t>
            </w:r>
          </w:p>
        </w:tc>
        <w:tc>
          <w:tcPr>
            <w:tcW w:w="720" w:type="dxa"/>
            <w:vAlign w:val="bottom"/>
            <w:tcBorders>
              <w:bottom w:val="single" w:sz="8" w:color="CCEEFF"/>
            </w:tcBorders>
            <w:gridSpan w:val="3"/>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April 30, 2019 were as follows:</w:t>
            </w: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280" w:type="dxa"/>
            <w:vAlign w:val="bottom"/>
          </w:tcPr>
          <w:p>
            <w:pPr>
              <w:spacing w:after="0"/>
              <w:rPr>
                <w:sz w:val="19"/>
                <w:szCs w:val="19"/>
                <w:color w:val="auto"/>
              </w:rPr>
            </w:pPr>
          </w:p>
        </w:tc>
        <w:tc>
          <w:tcPr>
            <w:tcW w:w="880" w:type="dxa"/>
            <w:vAlign w:val="bottom"/>
            <w:gridSpan w:val="4"/>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720" w:type="dxa"/>
            <w:vAlign w:val="bottom"/>
            <w:tcBorders>
              <w:bottom w:val="single" w:sz="8" w:color="CCEEFF"/>
            </w:tcBorders>
            <w:gridSpan w:val="3"/>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23</w:t>
            </w: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3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3"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Accumulated Other Comprehensive Income and Reclassifications Adjustments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and adjustments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73"/>
        </w:trPr>
        <w:tc>
          <w:tcPr>
            <w:tcW w:w="7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Income</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net of $0 deferred taxes, as of April 30, 2019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Reclassifications out of accumulated other comprehensive income, net of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 net of $0 taxes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CEEFF"/>
          </w:tcPr>
          <w:p>
            <w:pPr>
              <w:spacing w:after="0"/>
              <w:rPr>
                <w:sz w:val="18"/>
                <w:szCs w:val="18"/>
                <w:color w:val="auto"/>
              </w:rPr>
            </w:pPr>
          </w:p>
        </w:tc>
      </w:tr>
      <w:tr>
        <w:trPr>
          <w:trHeight w:val="21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Balance, net of $0 deferred taxes, as of October 26, 2019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Customer-Funded Research &amp; Development</w:t>
      </w:r>
    </w:p>
    <w:p>
      <w:pPr>
        <w:spacing w:after="0" w:line="21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are recognized in accordance with Topic 606 over time as costs are incurred. Revenue from customer-funded R&amp;D was approximately $17,506,000 and $32,626,000 for the three and six months ended October 26, 2019, respectively. Revenue from customer-funded R&amp;D was approximately $18,790,000 and $35,907,000 for the three and six months ended October 27, 2018,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Long-Term Incentive Awards</w:t>
      </w:r>
    </w:p>
    <w:p>
      <w:pPr>
        <w:spacing w:after="0" w:line="21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27, 2019, the Company granted awards under its amended and restated 2006 Equity Incentive Plan (the “Restated 2006 Plan”) to key employees (“Fiscal 2020 LTIP”). Awards under the Fiscal 2020 LTIP consist of: (i) time-based restricted stock awards, which vest in equal tranches in July 2020, July 2021 and July 2022, and (ii) performance-based restricted stock units (“PRSUs”), which vest based on the Company’s achievement of revenue and operating income targets for the three-year period ending April 30, 2022.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six months ended October 26, 2019, the Company recorded $166,000 and $297,000 of compensation expense related to the Fiscal 2020 LTIP. The Company recorded no compensation expense related to the Fiscal 2020 LTIP for the three and six months ended October 27, 2018. At October 26, 2019, the maximum compensation expense that may be recorded for the performance-based portion of the Fiscal 2020 LTIP is $4,263,000.</w:t>
      </w:r>
    </w:p>
    <w:p>
      <w:pPr>
        <w:spacing w:after="0" w:line="19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28, 2018, the Company also granted awards under the Restated 2006 Plan to key employees (“Fiscal 2019 LTIP”). Awards under the Fiscal 2019 LTIP consist of: (i) time-based restricted stock awards, which vest in equal tranches in July 2019, July 2020 and July 2021, and (ii) PRSUs, which vest based on the Company’s achievement of revenue and operating income targets for the three-year period ending April 30, 2021.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six months ended October 26, 2019, the Company recorded $16,000 and $48,000 of compensation expense related to the Fiscal 2019 LTIP, respectively. For the three and six months ended October 27, 2018, the Company recorded $211,000 and $255,000 of compensation expense related to the Fiscal 2019 LTIP, respectively. At October 26, 2019, the maximum compensation expense that may be recorded for the performance-based portion of the Fiscal 2019 LTIP is $2,478,000.</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29, 2017, the Company also granted awards under the Restated 2006 Plan to key employees (“Fiscal 2018 LTIP”). Awards under the Fiscal 2018 LTIP consist of: (i) time-based restricted stock awards, which vest in equal tranches in July 2018, July 2019 and July 2020, and (ii) PRSUs, which vest based on the Company’s achievement of revenue and operating income targets for the three-year period ending April 30, 2020.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six months ended October 26, 2019, the Company reversed $46,000 and $39,000 of compensation expense related to the Fiscal 2018 LTIP, respectively. For the three and six months ended October 27, 2018, the Company recorded $113,000 and $334,000 of compensation expense related to the Fiscal 2018 LTIP, respectively. At October 26, 2019, the maximum compensation expense that may be recorded for the performance-based portion of the Fiscal 2018 LTIP is $1,850,000.</w:t>
      </w:r>
    </w:p>
    <w:p>
      <w:pPr>
        <w:spacing w:after="0" w:line="1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three months ended July 29, 2017, the Company also granted awards under the Restated 2006 Plan to key employees (“Fiscal 2017 LTIP”). Awards under the Fiscal 2017 LTIP consist of: (i) time-based restricted stock awards, which vested in equal tranches in July 2017, July 2018 and July 2019, and (ii) PRSUs, which vested based on the Company’s achievement of revenue and operating income targets for the three-year period ending April 30, 2019. During the three months ended July 27, 2019, the Company issued a total of 14,814 fully-vested shares of common stock to settle the PRSUs in the Fiscal 2017 LTIP. No compensation expense was recorded during the three and six months ended October 26, 2019 for the Fiscal 2017 LTIP.</w:t>
      </w:r>
    </w:p>
    <w:p>
      <w:pPr>
        <w:spacing w:after="0" w:line="18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At October 26, 2019 and April 30, 2019, the Company recorded cumulative stock-based compensation expense from the Fiscal 2020 LTIP, Fiscal 2019 LTIP and Fiscal 2018 LTIP of $1,736,000 and $1,429,000, respectively. 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the three and six months ended October 26, 2019, the Company recorded a provision for income taxes of $1,108,000 and $3,241,000, respectively, yielding an effective tax rate of 11.7% and 10.8%, respectively. For the three and six months ended October 27, 2018, the Company recorded a provision for income taxes of $1,211,000 and $3,778,000, respectively, yielding effective tax rates of 13.5% and 11.6%, respectively. The variance from statutory rates for the three and six months ended October 26, 2019 was primarily due to federal R&amp;D credits, foreign derived intangible income deduction and the recording of discrete excess tax benefits resulting from the vesting of restricted stock awards and exercises of stock options. The variance from statutory rates for the three and six months ended October 27, 2018 was primarily due to federal R&amp;D credits and the recording of discrete excess tax benefits resulting from the vesting of restricted stock awards and exercises of stock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 Repurchase</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September 2015, the Company’s Board of Directors authorized a program to repurchase up to $25,000,000 of the Company’s common stock with no specified termination date for the program. No shares were repurchased under the program during the three and six months ended October 26, 2019 or October 27, 2018. As of October 26, 2019 and April 30, 2019, approximately $21,200,000 million remained authorized for future repurchases under this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Related party transactions are defined as transactions between the Company and entities either controlled by the Company or that the Company can significantly influence. Although SoftBank has a controlling interest in HAPSMobile, the Company determined that it has the ability to exercise significant influence over HAPSMobile. As such, HAPSMobile and SoftBank are considered related parties of the Company. Concurrent with the formation of</w:t>
      </w:r>
    </w:p>
    <w:p>
      <w:pPr>
        <w:sectPr>
          <w:pgSz w:w="11900" w:h="16838" w:orient="portrait"/>
          <w:cols w:equalWidth="0" w:num="1">
            <w:col w:w="9040"/>
          </w:cols>
          <w:pgMar w:left="1420" w:top="513" w:right="14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39"/>
        <w:spacing w:after="0" w:line="261" w:lineRule="auto"/>
        <w:rPr>
          <w:sz w:val="20"/>
          <w:szCs w:val="20"/>
          <w:color w:val="auto"/>
        </w:rPr>
      </w:pPr>
      <w:r>
        <w:rPr>
          <w:rFonts w:ascii="Times New Roman" w:cs="Times New Roman" w:eastAsia="Times New Roman" w:hAnsi="Times New Roman"/>
          <w:sz w:val="18"/>
          <w:szCs w:val="18"/>
          <w:color w:val="auto"/>
        </w:rPr>
        <w:t>HAPSMobile, the Company executed a Design and Development Agreement (the “DDA”) with HAPSMobile. Under the DDA and related efforts, the Company will use its best efforts, up to a maximum net value of $134,354,000, to design and build prototype solar powered high altitude aircraft and ground control stations for HAPSMobile and conduct low altitude and high altitude flight tests of the prototype aircraft.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revenue under the DDA and preliminary design agreements between the Company and SoftBank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$13,393,000 and $25,728,000 for the three and six months ended October 26, 2019, respectively. The Company recorded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under the DDA and preliminary design agreements between the Company and SoftBank of $12,832,000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$24,395,000 for the three and six months ended October 27, 2018, respectively. At October 26, 2019 and April 30, 2019,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had unbilled related party receivables from HAPSMobile of $21,717,000 and $9,028,000 recorded in unbilled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and retentions on the consolidated balance sheets, respectively. During the year ended April 30, 2019,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owned a 10% stake in accordance with the JVA which was diluted to approximately 5% during the first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July 27, 2019. Refer to Note 6—Equity Method Investments for further details.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3" w:right="1440"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Legal Settlements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May 2018, the Company entered into a settlement agreement to dismiss its claims against MicaSense Inc. and former AeroVironment employees, Gabriel Torres, Justin McAllister, and Jeff McBride. The terms and amount of the settlement agreement are confidential. The proceeds of the settlement were received during the three months ended July 28, 2018 and have been recorded in other income, net on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Business Acquisitions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June 10, 2019, the Company purchased 100% of the issued and outstanding member units of Pulse pursuant to the terms of the Pulse Purchase Agreement. The Company’s acquisition of Pulse’s helicopter UAS product family strengthens AeroVironment’s leading family of fixed-wing small unmanned aircraft systems and increases the mission capabilities of AeroVironment’s family of systems.</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Pursuant to the Pulse Purchase Agreement, at closing, the Company paid $20,650,000 in cash, less closing indebtedness and transaction costs as defined in the Pulse Purchase Agreement, less a $250,000 retention to cover any post-closing indemnification claims, and less a $1,250,000 holdback amount, with the retention and holdback to be released to the member unit holders of Pulse, less any amounts paid or reserved, 18 months after the closing of the transactions in accordance with the terms of the Pulse Purchase Agreement. The closing cash consideration included the payoff of the outstanding indebtedness of Pulse as of the closing date. The Company financed the acquisition entirely from available cash on hand.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consideration paid at closing, the acquisition of Pulse includes contingent consideration arrangements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additional consideration to be paid by the Company to the sellers of Pulse if two specified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milestones are achieved by December 10, 2021. Amounts are payable upon the achievement of the milestones. The range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undiscounted amounts the Company could pay under each of the contingent consideration agreements is zero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$2,500,000 ($5,000,000 in total if both milestones are achieved). The fair value of the contingent consideration recognized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of $4,263,000 was estimated by applying the income approach. That measure is based on 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not observable in the market. Key assumptions include (1) a discount rate of 4.5% and (2) the probability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milestones will be achieved.</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October 26, 2019, there were no changes in the key assumptions for the contingent consideration recognized as a result of the acquisition of Pulse. As of October 26, 2019, the fair value of the contingent consideration was $4,344,000 recorded in other current liabilities and other non-current liabilities on the consolidated balance sheet. The increase in fair value is attributable to the accretion of the liability discount.</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provisional allocation of the purchase price over the estimated fair value of the assets and liabilities assumed in the acquisition of Pulse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R&amp;D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 net of liabilities assumed</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identified assets acquired</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Holdback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Retention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3" w:right="141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8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goodwill is attributable to the synergies the Company expects to achieve through leveraging the acquired technology to its existing customers, the workforce of Pulse and expected future customers in the helicopter UAS market. For tax purposes the acquisition was treated as an asset purchase and the goodwill is deductible ratably over a period of fifteen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Pro Forma Information (unaudited)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Pulse did not contribute significant revenues to the three or six months ended October 26, 2019 since acquisition on June 10, 2019. Other than intangible asset amortization expense of $731,000 and $1,220,000 for the three and six months ended October 26, 2019 since acquisition on June 10, 2019, the Pulse financial results were not significant. The following unaudited pro forma summary presents consolidated information of the Company as if the business acquisition had occurred on May 1, 2018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5"/>
                <w:szCs w:val="15"/>
                <w:color w:val="auto"/>
              </w:rPr>
            </w:pPr>
          </w:p>
        </w:tc>
      </w:tr>
      <w:tr>
        <w:trPr>
          <w:trHeight w:val="213"/>
        </w:trPr>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9"/>
              </w:rPr>
              <w:t>October 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9"/>
              </w:rPr>
              <w:t>October 27,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27,</w:t>
            </w:r>
          </w:p>
        </w:tc>
      </w:tr>
      <w:tr>
        <w:trPr>
          <w:trHeight w:val="199"/>
        </w:trPr>
        <w:tc>
          <w:tcPr>
            <w:tcW w:w="34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7"/>
                <w:szCs w:val="17"/>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152,610</w:t>
            </w:r>
          </w:p>
        </w:tc>
        <w:tc>
          <w:tcPr>
            <w:tcW w:w="140" w:type="dxa"/>
            <w:vAlign w:val="bottom"/>
            <w:shd w:val="clear" w:color="auto" w:fill="CCEEFF"/>
          </w:tcPr>
          <w:p>
            <w:pPr>
              <w:spacing w:after="0"/>
              <w:rPr>
                <w:sz w:val="18"/>
                <w:szCs w:val="18"/>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AeroVironment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31,781</w:t>
            </w:r>
          </w:p>
        </w:tc>
        <w:tc>
          <w:tcPr>
            <w:tcW w:w="140" w:type="dxa"/>
            <w:vAlign w:val="bottom"/>
          </w:tcPr>
          <w:p>
            <w:pPr>
              <w:spacing w:after="0"/>
              <w:rPr>
                <w:sz w:val="20"/>
                <w:szCs w:val="20"/>
                <w:color w:val="auto"/>
              </w:rPr>
            </w:pPr>
          </w:p>
        </w:tc>
      </w:tr>
    </w:tbl>
    <w:p>
      <w:pPr>
        <w:spacing w:after="0" w:line="1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acquisition included in the reported pro forma revenue and earnings.</w:t>
      </w:r>
    </w:p>
    <w:p>
      <w:pPr>
        <w:spacing w:after="0" w:line="16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July 28, 2018, reflecting the additional amortization that would have been charged assuming the fair value adjustments to intangible assets had been applied from May 1, 2018 with the consequential tax effects, and including the results of Pulse prior to acquisition.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$18,000 and $359,000 of acquisition-related costs for the three and six months ended October 26, 2019. These expenses are included in selling, general and administrative expense on the Company’s consolidated income statement.</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2018, nor are they indicative of results of operations that may occur in the future.</w:t>
      </w:r>
    </w:p>
    <w:p>
      <w:pPr>
        <w:spacing w:after="0" w:line="172" w:lineRule="exact"/>
        <w:rPr>
          <w:sz w:val="20"/>
          <w:szCs w:val="20"/>
          <w:color w:val="auto"/>
        </w:rPr>
      </w:pPr>
    </w:p>
    <w:p>
      <w:pPr>
        <w:jc w:val="both"/>
        <w:ind w:left="860" w:right="120" w:hanging="850"/>
        <w:spacing w:after="0" w:line="286" w:lineRule="auto"/>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is a discussion and analysis of our financial condition and the results of operations as of and for the periods presented below. The following discussion and analysis should be read in conjunction with the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2019, as updated by our subsequent filings under the Securities and Exchange Act of 1934, as amended (“the Exchange Act”).</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Unless required by law, we expressly disclaim any obligation to update publicly any forward-looking statements, whether as result of new information, future events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should be read in conjunction with the critical accounting estimates presented in our Annual Report on Form 10-K for the fiscal year ended April 30,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1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investments are accounted for as held-to-maturity and available-for-sale and reported at amortized cost and cost less impairment, respectively. We have elected to measure available-for-sale investments that do not have readily determinable fair values at cost minus impairment, if any, plus or minus changes resulting from observable price changes in orderly transactions for the identical or a similar investment of the same issuer.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 of the acquired net assets. Goodwill is tested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expected historical or projected future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 Acquired in Business Combinations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perform valuations of assets acquired and liabilities assumed on each acquisition accounted for as a business combination and allocate the purchase price of each acquired business to our respective net tangible and intangible assets. Acquired intangible assets include: technology, in-process research and development, customer relationships, trademarks and tradenames, and non-compete agreements. We use valuation techniques to value these intangibles assets, with the primary technique being a discounted cash flow analysis. A discounted cash flow analysis requires us to make various assumptions and estimates including projected revenue, gross margins, operating costs, growth rates, useful lives and discount rates. Intangible assets are amortized over their estimated useful lives using the straight-line method which approximates the pattern in which the economic benefits are consumed.</w:t>
      </w:r>
    </w:p>
    <w:p>
      <w:pPr>
        <w:spacing w:after="0" w:line="18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impairment of long-lived assets, intangible assets acquired,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ectPr>
          <w:pgSz w:w="11900" w:h="16838" w:orient="portrait"/>
          <w:cols w:equalWidth="0" w:num="1">
            <w:col w:w="9040"/>
          </w:cols>
          <w:pgMar w:left="1420" w:top="51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the first quarter of our fiscal 2019, we adopted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using the full retrospective method. Topic 606 requires revenue to be recognized when promised goods or services are transferred to customers in amounts that reflect the consideration to which we expect to be entitled in exchange for those goods or services.</w:t>
      </w:r>
    </w:p>
    <w:p>
      <w:pPr>
        <w:spacing w:after="0" w:line="18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Revenue for small unmanned aircraft systems (“UAS”) product contracts with both the U.S. government and foreign governments under the new standard revenue are recognized at the point in time when the transfer of control passes to the customer, which is generally when title and risk of loss transfer. Revenue for Tactical Missile Systems (“TMS”) contracts is now recognized under the new standard over time as costs are incurred. Under previous U.S. generally accepted accounting principles (“U.S. GAAP”), revenue was generally recognized when deliveries of the related products were made. The new standard accelerates the timing of when the revenue is recognized, however, it does not change the total amount of revenue recognized on these contracts. The new standard does not affect revenue recognition for our Customer-Funded Research and Development (“R&amp;D”) contracts. We continue to recognize revenue for these contracts over time as costs are incurred.</w:t>
      </w:r>
    </w:p>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review cost performance and estimates-to-complete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estimate of completion for all types of contracts are recognized on a cumulative catch-up basis in the period in which the revisions are made. During the three and six months ended October 26, 2019 and October 27, 2018, changes in accounting estimates on contracts recognized over time are presented below.</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For the three months ended October 26, 2019 and October 27, 2018, favorable and unfavorable cumulative catch-up adjustments included in revenue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45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October 27,</w:t>
            </w:r>
          </w:p>
        </w:tc>
        <w:tc>
          <w:tcPr>
            <w:tcW w:w="120" w:type="dxa"/>
            <w:vAlign w:val="bottom"/>
          </w:tcPr>
          <w:p>
            <w:pPr>
              <w:spacing w:after="0"/>
              <w:rPr>
                <w:sz w:val="10"/>
                <w:szCs w:val="10"/>
                <w:color w:val="auto"/>
              </w:rPr>
            </w:pPr>
          </w:p>
        </w:tc>
      </w:tr>
      <w:tr>
        <w:trPr>
          <w:trHeight w:val="173"/>
        </w:trPr>
        <w:tc>
          <w:tcPr>
            <w:tcW w:w="45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r>
      <w:tr>
        <w:trPr>
          <w:trHeight w:val="210"/>
        </w:trPr>
        <w:tc>
          <w:tcPr>
            <w:tcW w:w="4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(1,587)</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favorable adjustments</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three months ended October 26, 2019, favorable cumulative catch-up adjustments of $2.0 million were primarily due to final cost adjustments on 14 contracts. The Company revised its estimates of the total expected costs to complete a contract associated with a design and development agreement which had a favorable impact of $1.1 million. For the same period, unfavorable cumulative catch-up adjustments of $1.6 million were primarily related to higher than expected costs on 11 contracts, which individually were not material.</w:t>
      </w:r>
    </w:p>
    <w:p>
      <w:pPr>
        <w:spacing w:after="0" w:line="18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For the three months ended October 27, 2018, favorable cumulative catch-up adjustments of $0.4 million were primarily due to final cost adjustments on 16 contracts, which individually were not material. For the same period, unfavorable cumulative catch-up adjustments of $0.3 million were primarily related to higher than expected costs on 24 contracts, which individually were not material.</w:t>
      </w:r>
    </w:p>
    <w:p>
      <w:pPr>
        <w:spacing w:after="0" w:line="180"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For the six months ended October 28, 2017 and October 28, 2017, favorable and unfavorable cumulative catch-up adjustments included in cost of sales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October 27,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2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favorable adjustments</w:t>
            </w:r>
          </w:p>
        </w:tc>
        <w:tc>
          <w:tcPr>
            <w:tcW w:w="2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3" w:right="141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six months ended October 26, 2019, favorable cumulative catch-up adjustments of $2.1 million were primarily due to final cost adjustments on 20 contracts. The Company revised its estimates of the total expected costs to complete a contract associated with a design and development agreement, which had a favorable impact of $1.0 million. For the same period, unfavorable cumulative catch-up adjustments of $1.7 million were primarily related to higher than expected costs on 14 contracts, which individually were not material.</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six months ended October 27, 2018, favorable cumulative catch-up adjustments of $0.6 million were primarily due to final cost adjustments on nine contracts, which individually were not material. For the same period, unfavorable cumulative catch-up adjustments of $0.5 million were primarily related to higher than expected costs on 18 contracts, which individually were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Due to our fixed year end date of April 30, our first and fourth quarters each consist of approximately 13 weeks. The second and third quarters each consist of exactly 13 weeks. Our first three quarters end on a Saturday. Our 2020 fiscal year ends on April 30, 2020 and our fiscal quarters end on July 27, 2019, October 26, 2019 and January 25, 2020,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 indicated (in thousands):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26, 2019 Compared to Three Months Ended October 27,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5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October 27,</w:t>
            </w:r>
          </w:p>
        </w:tc>
        <w:tc>
          <w:tcPr>
            <w:tcW w:w="120" w:type="dxa"/>
            <w:vAlign w:val="bottom"/>
          </w:tcPr>
          <w:p>
            <w:pPr>
              <w:spacing w:after="0"/>
              <w:rPr>
                <w:sz w:val="10"/>
                <w:szCs w:val="10"/>
                <w:color w:val="auto"/>
              </w:rPr>
            </w:pPr>
          </w:p>
        </w:tc>
      </w:tr>
      <w:tr>
        <w:trPr>
          <w:trHeight w:val="173"/>
        </w:trPr>
        <w:tc>
          <w:tcPr>
            <w:tcW w:w="544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210"/>
        </w:trPr>
        <w:tc>
          <w:tcPr>
            <w:tcW w:w="5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72,979</w:t>
            </w: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44,580</w:t>
            </w:r>
          </w:p>
        </w:tc>
        <w:tc>
          <w:tcPr>
            <w:tcW w:w="120" w:type="dxa"/>
            <w:vAlign w:val="bottom"/>
            <w:shd w:val="clear" w:color="auto" w:fill="CCEEFF"/>
          </w:tcPr>
          <w:p>
            <w:pPr>
              <w:spacing w:after="0"/>
              <w:rPr>
                <w:sz w:val="18"/>
                <w:szCs w:val="18"/>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28,399</w:t>
            </w: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20" w:type="dxa"/>
            <w:vAlign w:val="bottom"/>
            <w:tcBorders>
              <w:bottom w:val="single" w:sz="8" w:color="CCEEFF"/>
            </w:tcBorders>
          </w:tcPr>
          <w:p>
            <w:pPr>
              <w:spacing w:after="0"/>
              <w:rPr>
                <w:sz w:val="18"/>
                <w:szCs w:val="18"/>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net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tcBorders>
              <w:bottom w:val="single" w:sz="8" w:color="CCEEFF"/>
            </w:tcBorders>
          </w:tcPr>
          <w:p>
            <w:pPr>
              <w:spacing w:after="0"/>
              <w:rPr>
                <w:sz w:val="18"/>
                <w:szCs w:val="18"/>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120" w:type="dxa"/>
            <w:vAlign w:val="bottom"/>
            <w:shd w:val="clear" w:color="auto" w:fill="CCEEFF"/>
          </w:tcPr>
          <w:p>
            <w:pPr>
              <w:spacing w:after="0"/>
              <w:rPr>
                <w:sz w:val="18"/>
                <w:szCs w:val="18"/>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 loss, net of tax</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(752)</w:t>
            </w: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2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October 26, 2019 was $83.3 million, as compared to $73.0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October 27, 2018, representing an increase of $10.3 million, or 14%. The increase in revenue was due to an increase in product deliveries of $10.3 million. The increase in product deliveries was primarily due to an increase in product deliveries of small UAS, partially offset by a decrease in product deliveries of TMS. During the three months ended October 26, 2019, we continued to experience expansion in small UAS product deliveries to international customers.</w:t>
      </w:r>
    </w:p>
    <w:p>
      <w:pPr>
        <w:spacing w:after="0" w:line="18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three months ended October 26, 2019 was $48.1 million, as compared to $44.6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October 27, 2018, representing an increase of $3.5 million, or 8%. The increase in cost of sales was a result of an increase in product costs of sales of $4.2 million, partially offset by a decrease in service cost of sales of $0.7 million. The increase in product costs of sales was primarily due to an increase in product deliveries</w:t>
      </w:r>
    </w:p>
    <w:p>
      <w:pPr>
        <w:sectPr>
          <w:pgSz w:w="11900" w:h="16838" w:orient="portrait"/>
          <w:cols w:equalWidth="0" w:num="1">
            <w:col w:w="9060"/>
          </w:cols>
          <w:pgMar w:left="1420" w:top="513"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 an increase in reserves for excess and obsolescence inventory. The decrease in service costs was primarily due to a favorable mix. As a percentage of revenue, cost of sales decreased from 61% to 58%, primarily due to a favorable product mix and an increase in the proportion of product revenue to total revenue, partially offset by an increase in reserves for excess and obsolescence inventory.</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for the three months ended October 26, 2019 was $35.2 million, as compared to $28.4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October 27, 2018, representing an increase of $6.8 million, or 24%. The increase in gross margin was primarily due to an increase in product margin of $6.1 million and an increase in service margin of $0.7 million. The increase in product margin was primarily due to an increase in product deliveries and a favorable product mix. The increase in service margin was primarily due to a favorable mix. As a percentage of revenue, gross margin increased from 39% to 42%, primarily due to an increase in the proportion of product revenue to total revenue and a favorable product mix, partially offset by an increase in reserves for excess and obsolescence inventory.</w:t>
      </w:r>
    </w:p>
    <w:p>
      <w:pPr>
        <w:spacing w:after="0" w:line="18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general and administrative (“SG&amp;A”) expense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26, 2019 was $16.3 million, or 20% of revenue, compared to SG&amp;A expense of $13.6 million, or 19% of revenue, for the three months ended October 27, 2018. The increase in SG&amp;A expense was primarily due to an increase in professional services and commissions on international sales as well as a number of miscellaneous expenses that were not individually significant.</w:t>
      </w:r>
    </w:p>
    <w:p>
      <w:pPr>
        <w:spacing w:after="0" w:line="18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three months ended October 26, 2019 was $10.9 million, or 13%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compared to R&amp;D expense of $8.1 million, or 11% of revenue, for the three months ended October 27, 2018. R&amp;D expense increased by $2.7 million, or 34%, for the three months ended October 26, 2019, primarily due to an increase in development activities for certain strategic initiatives.</w:t>
      </w:r>
    </w:p>
    <w:p>
      <w:pPr>
        <w:spacing w:after="0" w:line="17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net. </w:t>
      </w:r>
      <w:r>
        <w:rPr>
          <w:rFonts w:ascii="Times New Roman" w:cs="Times New Roman" w:eastAsia="Times New Roman" w:hAnsi="Times New Roman"/>
          <w:sz w:val="18"/>
          <w:szCs w:val="18"/>
          <w:color w:val="auto"/>
        </w:rPr>
        <w:t>Interest income, net for the three months ended October 26, 2019 was $1.3 million compared to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net of $1.1 million for the three months ended October 27, 2018. The increase in interest income was due to an increase in the interest rates earned on our investment portfolio.</w:t>
      </w:r>
    </w:p>
    <w:p>
      <w:pPr>
        <w:spacing w:after="0" w:line="17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for the three months ended October 26, 2019 was $0.2 million compared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net of $1.3 million for the three months ended October 27, 2018. The decrease in other income, net was primarily due to a decrease in transition services performed on behalf of the buyer of the discontinued Efficient Energy Systems (“EES”) business.</w:t>
      </w:r>
    </w:p>
    <w:p>
      <w:pPr>
        <w:spacing w:after="0" w:line="1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Our effective income tax rate was 11.7% for the three months ended October 26, 2019,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13.5% for the three months ended October 26, 2018. The decrease in the effective income tax rate was primarily due to an increase in estimated federal R&amp;D credits.</w:t>
      </w:r>
    </w:p>
    <w:p>
      <w:pPr>
        <w:spacing w:after="0" w:line="17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Activity, net of tax. </w:t>
      </w:r>
      <w:r>
        <w:rPr>
          <w:rFonts w:ascii="Times New Roman" w:cs="Times New Roman" w:eastAsia="Times New Roman" w:hAnsi="Times New Roman"/>
          <w:sz w:val="18"/>
          <w:szCs w:val="18"/>
          <w:color w:val="auto"/>
        </w:rPr>
        <w:t>Equity method investment activity, net of tax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26, 2019 was a loss of $0.9 million compared to a loss of $0.8 million for the three months ended October 27, 2018. The increase was due to the equity method loss associated with our investment in the HAPSMobile joint venture formed in December 2017.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October 26, 2019 Compared to Six Months Ended October 27,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6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October 27,</w:t>
            </w:r>
          </w:p>
        </w:tc>
        <w:tc>
          <w:tcPr>
            <w:tcW w:w="80" w:type="dxa"/>
            <w:vAlign w:val="bottom"/>
          </w:tcPr>
          <w:p>
            <w:pPr>
              <w:spacing w:after="0"/>
              <w:rPr>
                <w:sz w:val="10"/>
                <w:szCs w:val="10"/>
                <w:color w:val="auto"/>
              </w:rPr>
            </w:pPr>
          </w:p>
        </w:tc>
      </w:tr>
      <w:tr>
        <w:trPr>
          <w:trHeight w:val="173"/>
        </w:trPr>
        <w:tc>
          <w:tcPr>
            <w:tcW w:w="6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r>
      <w:tr>
        <w:trPr>
          <w:trHeight w:val="210"/>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151,022</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93,744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90,034</w:t>
            </w:r>
          </w:p>
        </w:tc>
        <w:tc>
          <w:tcPr>
            <w:tcW w:w="8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60,988</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8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20,842</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8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32,495</w:t>
            </w:r>
          </w:p>
        </w:tc>
        <w:tc>
          <w:tcPr>
            <w:tcW w:w="80" w:type="dxa"/>
            <w:vAlign w:val="bottom"/>
          </w:tcPr>
          <w:p>
            <w:pPr>
              <w:spacing w:after="0"/>
              <w:rPr>
                <w:sz w:val="18"/>
                <w:szCs w:val="18"/>
                <w:color w:val="auto"/>
              </w:rPr>
            </w:pP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80" w:type="dxa"/>
            <w:vAlign w:val="bottom"/>
            <w:shd w:val="clear" w:color="auto" w:fill="CCEEFF"/>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 loss, net of tax</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(1,354)</w:t>
            </w:r>
          </w:p>
        </w:tc>
      </w:tr>
      <w:tr>
        <w:trPr>
          <w:trHeight w:val="210"/>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six months ended October 26, 2019 was $170.2 million, as compared to $151.0 million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October 27, 2018, representing an increase of $19.2 million, or 13%. The increase in revenue was due an increase in product deliveries of $20.9 million, partially offset by a decrease in service revenue of $1.7 million. The increase in product deliveries was primarily due to an increase in product deliveries of small UAS, partially offset by a decrease in product deliveries of TMS. During the six months ended October 26, 2019, we continued to experience expansion in small UAS product deliveries to international customers. The decrease in service revenue was primarily due to a decrease in customer-funded R&amp;D primarily associated with TMS and other development programs, partially offset by increases in customer-funded R&amp;D primarily associated with the HAPSMobile DDA.</w:t>
      </w:r>
    </w:p>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six months ended October 26, 2019 was $93.7 million, as compared to $90.0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six months ended October 27, 2018, representing an increase of $3.7 million, or 4%. The increase in cost of sales was a result of an increase in product cost of sales of $4.8 million, partially offset by a decrease in service costs of sales of $1.1 million. The increase in product costs was primarily due to the increase in product deliveries an increase in reserves for excess and obsolescence inventory. The decrease in service costs of sales was primarily due to the decrease in service revenue. As a percentage of revenue, cost of sales decreased from 60% to 55%, primarily due to an increase in sales volume, a favorable product mix and an increase in the proportion of product revenue to total revenue, partially offset by an increase in reserves for excess and obsolescence inventory.</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for the six months ended October 26, 2019 was $76.4 million, as compared to $61.0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six months ended October 27, 2018, representing an increase of $15.5 million, or 25%. The increase in gross margin was primarily due to an increase in product margin of $16.0 million, partially offset by a decrease in service margin of $0.6 million. The increase in product margin was primarily due to an increase in product deliveries and a favorable product mix, partially offset by an increase in reserves for excess and obsolescence inventory. The decrease in service margin was primarily due to a decrease in service revenue. As a percentage of revenue, gross margin increased from 40% to 45%, primarily due to an increase in the proportion of product revenue to total revenue and a favorable product mix, partially offset by an increase in reserves for excess and obsolescence inventory.</w:t>
      </w:r>
    </w:p>
    <w:p>
      <w:pPr>
        <w:spacing w:after="0" w:line="18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general and administrative (“SG&amp;A”) expense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26, 2019 was $29.9 million, or 18% of revenue, compared to SG&amp;A expense of $25.6 million, or 17% of revenue, for the six months ended October 27, 2018. The increase in SG&amp;A expense was primarily due to an increase in commission on international sales, litigation and employee related expenses, partially offset by a decrease in corporate development expenses primarily related to the sale of our EES business.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six months ended October 26, 2019 was $19.6 million, or 11% of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R&amp;D expense of $14.5 million, or 10% of revenue, for the six months ended October 27, 2018. R&amp;D expense increased by $5.0 million, or 35%, for the six months ended October 27, 2018, primarily due to an increase in development activities for certain strategic initiatives.</w:t>
      </w:r>
    </w:p>
    <w:p>
      <w:pPr>
        <w:spacing w:after="0" w:line="17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net. </w:t>
      </w:r>
      <w:r>
        <w:rPr>
          <w:rFonts w:ascii="Times New Roman" w:cs="Times New Roman" w:eastAsia="Times New Roman" w:hAnsi="Times New Roman"/>
          <w:sz w:val="18"/>
          <w:szCs w:val="18"/>
          <w:color w:val="auto"/>
        </w:rPr>
        <w:t>Interest income, net for the six months ended October 26, 2019 was $2.6 million compared to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net of $2.0 million for the six months ended October 27, 2018. The increase in interest income was primarily due to an increase in the interest rates earned on our investment portfolio.</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for the six months ended October 26, 2019 was $0.5 million compared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net of $9.7 million for the six months ended October 27, 2018. The decrease in other income, net was primarily due to a litigation settlement and income earned under a transition services agreement with the buyer of our former EES Business in the six months ended October 27, 2018.</w:t>
      </w:r>
    </w:p>
    <w:p>
      <w:pPr>
        <w:spacing w:after="0" w:line="17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Our effective income tax rate was 10.8% for the six months ended October 26, 2019,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11.6% for the six months ended October 27, 2018. The decrease in effective income tax rate was primarily due to an increase in estimated federal R&amp;D credits.</w:t>
      </w:r>
    </w:p>
    <w:p>
      <w:pPr>
        <w:spacing w:after="0" w:line="17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Activity, net of tax. </w:t>
      </w:r>
      <w:r>
        <w:rPr>
          <w:rFonts w:ascii="Times New Roman" w:cs="Times New Roman" w:eastAsia="Times New Roman" w:hAnsi="Times New Roman"/>
          <w:sz w:val="18"/>
          <w:szCs w:val="18"/>
          <w:color w:val="auto"/>
        </w:rPr>
        <w:t>Equity method investment activity, net of tax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26, 2019 was a loss of $2.2 million compared to equity method investment activity, net of tax of $1.4 million for the six months ended October 27, 2018. The increase was due to the equity method loss associated with our investment in the HAPSMobile joint venture formed in December 2017.</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Consistent with ASC 606, we define funded backlog as remaining performance obligations under firm orders for which funding is currently appropriated to us under a customer contract. As of October 26, 2019, our funded backlog was approximately $146.7 million.</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our funded backlog, we also had unfunded backlog of $45.0 million as of October 26, 2019. Unfunded backlog does not meet the definition of a performance obligation under ASC Topic 606. We define unfunded backlog as the total remaining potential order amounts under cost reimbursable and fixed price contracts with multiple one-year options and indefinite delivery, indefinite quantity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IDIQ-type contract for small UAS because the contract was awarded to seven companies in 2018, including AeroVironment, and we cannot be certain that we will receive task orders issued against the contract.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currently have no material cash commitments, except for normal recurring trade payables, accrued expenses and ongoing R&amp;D costs, all of which we anticipate funding through our existing working capital and funds provided by operating activities. The majority of our purchase obligations are pursuant to funded contractual arrangements with our customers. In addition, we believe that our existing cash, cash equivalents, cash provided by operating activities and other financing sources will be sufficient to meet our anticipated working capital and capital expenditure requirements</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next twelve months. There can be no assurance, however, that our business will continue to generate cash flow at current levels. If we are unable to generate sufficient cash flow from operations, then we may be required to sell assets, reduce capital expenditures or obtain financing. We anticipate that existing sources of liquidity and cash flows from operations will be sufficient to satisfy our cash needs for the foreseeable future.</w:t>
      </w:r>
    </w:p>
    <w:p>
      <w:pPr>
        <w:spacing w:after="0" w:line="180"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Our primary liquidity needs are for financing working capital, investing in capital expenditures, supporting product development efforts, introducing new products, enhancing existing products and marketing to stimulate acceptance and adoption of our products and services. Our future capital requirements, to a certain extent, are also subject to general conditions in or affecting the defense and commercial industries and are subject to general economic, political, financial, competitive, legislative and regulatory factors that are beyond our control. To the extent that existing cash, cash equivalents, and cash from operations are insufficient to fund our future activities, we may need to raise additional funds through public or private equity or debt financing. We may also need to seek additional equity funding or debt financing if we become a party to any agreement or letter of intent for potential investments in, or acquisitions of, businesses, services or technologies.</w:t>
      </w:r>
    </w:p>
    <w:p>
      <w:pPr>
        <w:spacing w:after="0" w:line="1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other expenses incurred during the lead time from contract award until contract deliveries begin.</w:t>
      </w:r>
    </w:p>
    <w:p>
      <w:pPr>
        <w:spacing w:after="0" w:line="180"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Although not material in value alone or in aggregate, during the six months ended October 26, 2019, we made certain commitments outside of the ordinary course of business. We made capital contributions of $4.9 million to a limited partnership fund. Under the terms of the limited partnership agreement, we have committed to make capital contributions totaling $10.0 million to the fund. In addition, pursuant to the Pulse Purchase Agreement, we maintain $5.0 million in an escrow account which will be paid to the sellers upon the achievement of specific research and development milestones. These milestones must be achieved by December 10,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cash flow data for the six months ended October 26, 2019 and October 27, 2018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October 27,</w:t>
            </w:r>
          </w:p>
        </w:tc>
        <w:tc>
          <w:tcPr>
            <w:tcW w:w="120" w:type="dxa"/>
            <w:vAlign w:val="bottom"/>
          </w:tcPr>
          <w:p>
            <w:pPr>
              <w:spacing w:after="0"/>
              <w:rPr>
                <w:sz w:val="10"/>
                <w:szCs w:val="10"/>
                <w:color w:val="auto"/>
              </w:rPr>
            </w:pPr>
          </w:p>
        </w:tc>
      </w:tr>
      <w:tr>
        <w:trPr>
          <w:trHeight w:val="173"/>
        </w:trPr>
        <w:tc>
          <w:tcPr>
            <w:tcW w:w="5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3"/>
          </w:tcPr>
          <w:p>
            <w:pPr>
              <w:jc w:val="right"/>
              <w:ind w:right="67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(44,235)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Operating Activities. </w:t>
      </w:r>
      <w:r>
        <w:rPr>
          <w:rFonts w:ascii="Times New Roman" w:cs="Times New Roman" w:eastAsia="Times New Roman" w:hAnsi="Times New Roman"/>
          <w:sz w:val="18"/>
          <w:szCs w:val="18"/>
          <w:color w:val="auto"/>
        </w:rPr>
        <w:t>Net cash provided by operating activities for the six months ended October 26,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by $5.3 million to $7.9 million, compared to net cash provided by operating activities of $2.7 million for the six months ended October 27, 2018. The increase in net cash provided by operating activities was primarily due to an increase in cash as a result of changes in operating assets and liabilities of $4.1 million, largely related to the timing of revenue recognition and billings for unbilled receivables and retentions and inventory turnover, partially offset by a decrease in net income from continuing operations of $2.8 million.</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Provided by Investing Activities. </w:t>
      </w:r>
      <w:r>
        <w:rPr>
          <w:rFonts w:ascii="Times New Roman" w:cs="Times New Roman" w:eastAsia="Times New Roman" w:hAnsi="Times New Roman"/>
          <w:sz w:val="18"/>
          <w:szCs w:val="18"/>
          <w:color w:val="auto"/>
        </w:rPr>
        <w:t>Net cash used in investing activities increased by $58.0 million to $44.2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six months ended October 26, 2019, compared to net cash provided by investing activities of $13.7 million for the six months ended October 27, 2018. The increase in net cash used in investing activities was primarily due to proceeds received from the sale of our EES Business of $32.0 million in the first quarter of fiscal 2019; cash used in the purchase of Pulse Aerospace, LLC, net of cash acquired of $18.6 million; an increase in purchases net of redemptions of available-for-sale investments of $7.2 million; an increase in cash used for the HAPS equity method investment of $4.6 million; partially offset by a decrease in purchases net of redemptions of held-to-maturity investments of $7.1 million.</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Financing Activities. </w:t>
      </w:r>
      <w:r>
        <w:rPr>
          <w:rFonts w:ascii="Times New Roman" w:cs="Times New Roman" w:eastAsia="Times New Roman" w:hAnsi="Times New Roman"/>
          <w:sz w:val="18"/>
          <w:szCs w:val="18"/>
          <w:color w:val="auto"/>
        </w:rPr>
        <w:t>Net cash used in financing activities decreased by $0.4 million to $0.7 million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October 26, 2019, compared to net cash used by financing activities of $1.0 million for the six months ended October 27, 2018. The decrease in cash used in financing activities was primarily due to a decrease in tax withholding payment related to net settlement of equity awards of $0.2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October 26, 2019, there were no material changes in our contractual obligations and commercial commitments from those disclosed in our Annual Report on Form 10-K for the fiscal year ended April 30,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As of October 26, 2019, we had no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as defined in Item 303(a)(4)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Please refer to Note 1—Organization and Significant Accounting Policies to our unaudited consolidated financial statements in Part I, Item 1 of this Quarterly Report on Form 10-Q for a discussion of new accounting pronouncements and accounting pronouncements adopted during the six months ended October 26,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our policy not to enter into interest rate derivative financial instruments. We do not currently have any significant interest rate exposure.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and Interim Chief Financial Officer, of the effectiveness of the design and operation of our disclosure controls and procedures, as of October 26, 2019, the end of the period covered by this Quarterly Report on Form 10-Q.</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Based on the foregoing, our Chief Executive Officer and Interim Chief Financial Officer concluded that, as of October 26, 2019, the end of the period covered by this Quarterly Report on Form 10-Q, our disclosure controls and procedures were effective and were operating at a reasonable assurance level.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or in other factors identified in connection with the evaluation required by paragraph (d) of Rules 13a-15 or 15d-15 under the Exchange Act that occurred during the quarter ended October 26, 2019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April 18, 2018, a former employee of AeroVironment, Mark Anderson, filed a lawsuit against us and Wahid Nawabi, our President and Chief Executive Officer, in the Superior Court of the State of California for the County of Los Angeles. Mr. Anderson’s claims include whistle blower retaliation, race discrimination and wrongful termination related to the termination of his employment with the Company. Mr. Nawabi was subsequently dismissed as an individual defendant from all claims in the lawsuit. Mr. Anderson is seeking special damages, general damages, punitive damages, attorneys’ fees and other relief the court deems just and proper. In November 2019, in order to avoid the future cost, expense, and distraction of continued litigation, we reached an agreement in principle subject to formal documentation with Mr. Anderson to settle all claims in the lawsuit for a confidential amount. We are currently negotiating a mutually agreeable written settlement agreement, under which we will not admit to any fault or wrongdoing, to settle all claims officially. We hope to execute the settlement agreement during our third quarter of fiscal year 2020. Should we not be able to negotiate and sign a mutually acceptable settlement agreement with Mr. Anderson, we will continue with discovery in the case and defend ourselves vigorously.</w:t>
      </w:r>
    </w:p>
    <w:p>
      <w:pPr>
        <w:spacing w:after="0" w:line="19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February 22, 2019, Webasto filed a lawsuit, which was subsequently amended on April 5, 2019, against us in Delaware Superior Court, arising from the sale of the EES division to Webasto in June 2018. The lawsuit generally alleges several claims against us for breach of contract, indemnity, declaratory judgment, and fraud and misrepresentation, including allegations regarding inaccuracy of certain diligence disclosures, failure to provide certain consents to contract assignments and related to the previously announced recall. Webasto seeks to recover the costs of the recall and other damages totaling over $100 million in addition to attorneys’ fees, costs, and punitive damages. Additionally, Webasto is seeking a declaratory judgment that we did not meet the requirements to receive the additional $6.5 million of the purchase price which was held back at the closing of the transaction (the “Holdback Amount”). On August 16, 2019, we filed our answer to Webasto’s complaint and a counterclaim against Webasto seeking payment of the Holdback Amount and declaratory relief regarding Webasto’s cancellation of an assigned contract. As to the Webasto lawsuit, our initial evaluation is that many of the allegations are meritless and that we lack sufficient information to fully analyze other allegations at this time. Discovery in this lawsuit has begun. Both we and Webasto have served robust written discovery requests. Both parties’ responses are due in December 2019. We continue to mount a vigorous defense.</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August 14, 2019, Benchmark Electronics, Inc. (“Benchmark”), the company that assembled the products subject to the recall, served a demand for arbitration to AeroVironment and Webasto pursuant to its contracts with AeroVironment and Webasto, respectively. The arbitration demand also named Area 51, the product supplier that provided Benchmark with the part that caused the recall. We filed our responsive pleading in the Benchmark arbitration on October 29, 2019, consisting of a general denial, affirmative defenses, and a reservation of the right to file counter-claims at a later date. Area 51 filed its responsive pleading and counter-claims on October 25, 2019. Webasto has objected, outright, to participating in the Benchmark arbitration, and instead filed for a determination from a New York Superior Court as to whether the arbitration may proceed. The Benchmark arbitration is now stayed until the New York court rules on Webasto’s papers; such hearing is scheduled on December 13, 2019.</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October 29, 2019, P.B.M S.r.l. (“PBM”), an Italian company with which we had a Memorandum of Understanding (“MOU”) that we assigned to Webasto as part of the sale of the EES division, filed a Notice of Arbitration with JAMS ADR in Los Angeles, California, naming Webasto and us as defendants. PBM alleges that it is owed over $1.7 million, plus attorneys’ fees, for unpaid invoices and reliance damages stemming from the MOU and its cancellation. We have not yet responded to the arbitration demand. In November 2019, Webasto filed an outright objection to the PBM arbitration with JAMS. It is unclear at this time whether Webasto will seek a court order on whether the arbitration provision in the MOU is enforceable. Should Webasto seek a court order regarding the enforceability of the arbitration clause of the MOU, we will seek a stay of the arbitration pending any determination on enforceability. We expect that no litigation will commence on the PBM matter (either in arbitration or in civil court) until at least January 2020.</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subject to lawsuits, government investigations, audits and other legal proceedings from time to time in the ordinary course of our business. It is not possible to predict the outcome of any legal proceeding with any certainty. The</w:t>
      </w:r>
    </w:p>
    <w:p>
      <w:pPr>
        <w:sectPr>
          <w:pgSz w:w="11900" w:h="16838" w:orient="portrait"/>
          <w:cols w:equalWidth="0" w:num="1">
            <w:col w:w="9060"/>
          </w:cols>
          <w:pgMar w:left="1420" w:top="513"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79"/>
        <w:spacing w:after="0" w:line="282" w:lineRule="auto"/>
        <w:rPr>
          <w:sz w:val="20"/>
          <w:szCs w:val="20"/>
          <w:color w:val="auto"/>
        </w:rPr>
      </w:pPr>
      <w:r>
        <w:rPr>
          <w:rFonts w:ascii="Times New Roman" w:cs="Times New Roman" w:eastAsia="Times New Roman" w:hAnsi="Times New Roman"/>
          <w:sz w:val="18"/>
          <w:szCs w:val="18"/>
          <w:color w:val="auto"/>
        </w:rPr>
        <w:t>outcome or costs we incur in connection with a legal proceeding could adversely impact our operating results and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579"/>
        <w:spacing w:after="0" w:line="266" w:lineRule="auto"/>
        <w:rPr>
          <w:sz w:val="20"/>
          <w:szCs w:val="20"/>
          <w:color w:val="auto"/>
        </w:rPr>
      </w:pPr>
      <w:r>
        <w:rPr>
          <w:rFonts w:ascii="Times New Roman" w:cs="Times New Roman" w:eastAsia="Times New Roman" w:hAnsi="Times New Roman"/>
          <w:sz w:val="18"/>
          <w:szCs w:val="18"/>
          <w:color w:val="auto"/>
        </w:rPr>
        <w:t>Except as set for below, there have been no material changes to the risk factors disclosed under Part I, Item 1A, “Risk Factors,” of our Annual Report on Form 10-K for the fiscal year ended April 30, 2019. Please refer to that section for disclosures regarding the risks and uncertainties related to our business.</w:t>
      </w:r>
    </w:p>
    <w:p>
      <w:pPr>
        <w:spacing w:after="0" w:line="172" w:lineRule="exact"/>
        <w:rPr>
          <w:sz w:val="20"/>
          <w:szCs w:val="20"/>
          <w:color w:val="auto"/>
        </w:rPr>
      </w:pPr>
    </w:p>
    <w:p>
      <w:pPr>
        <w:ind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could be prohibited from shipping our products to certain countries if we are unable to obtain U.S. government authorization regarding the export of our products, or if current or future export laws limit or otherwise restrict our business. In addition, failure to comply with our Consent Agreement with the U.S. Department of State and export laws could result in fines, export restrictions and other sanctions and penalties.</w:t>
      </w:r>
    </w:p>
    <w:p>
      <w:pPr>
        <w:spacing w:after="0" w:line="181" w:lineRule="exact"/>
        <w:rPr>
          <w:sz w:val="20"/>
          <w:szCs w:val="20"/>
          <w:color w:val="auto"/>
        </w:rPr>
      </w:pPr>
    </w:p>
    <w:p>
      <w:pPr>
        <w:ind w:right="79"/>
        <w:spacing w:after="0" w:line="252" w:lineRule="auto"/>
        <w:rPr>
          <w:sz w:val="20"/>
          <w:szCs w:val="20"/>
          <w:color w:val="auto"/>
        </w:rPr>
      </w:pPr>
      <w:r>
        <w:rPr>
          <w:rFonts w:ascii="Times New Roman" w:cs="Times New Roman" w:eastAsia="Times New Roman" w:hAnsi="Times New Roman"/>
          <w:sz w:val="18"/>
          <w:szCs w:val="18"/>
          <w:color w:val="auto"/>
        </w:rPr>
        <w:t>We must comply with U.S. and other laws regulating the export of our products. In some cases, explicit authorization from the relevant U.S. government authorities is needed to export our products. The export regulations and the governing policies applicable to our business are subject to change. We cannot provide assurance that such export authorizations will be available for our products in the future. Compliance with these laws has not significantly limited our operations or our sales in the recent past, but could significantly limit them in the future. We maintain an export compliance program but there are risks that our compliance controls may be ineffective. In November 2019, we entered into a Consent Agreement with the U.S. Department of State’s Directorate of Defense Trade Controls Office of Defense Trade Controls Compliance (“DDTC”) to resolve various alleged violations of the Armed Export Control Act (the “AECA”) and the International Traffic in Arms Regulations ("ITAR”) that occurred between June 2014 and December 2016. The Consent Agreement has a two-year term and provides for, among other things: (i) a civil penalty of $1,000,000 payable in installments, $500,000 of which is suspended on the condition that such amount is used for future remedial compliance costs over the term of the Consent Agreement and/or credited against prior compliance enhancement costs already expended by us; (ii) the appointment of an external Special Compliance Officer for a minimum of one year to oversee our compliance with the Consent Agreement and ITAR; and (iii) one external audit of our compliance with the Consent Agreement and ITAR. We expect that the $500,000 suspension amount will be satisfied by our past and future compliance program remediation efforts. Our failure to comply with the terms of the Consent Agreement or export laws and regulations in general can subject us to additional fines, penalties and sanctions, including suspension of export privileges, which could have a material adverse impact on our business, operations and financial condition and limit or prevent us from being able to sell our products in certain international jurisdictions.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19"/>
        <w:spacing w:after="0" w:line="255" w:lineRule="auto"/>
        <w:rPr>
          <w:sz w:val="20"/>
          <w:szCs w:val="20"/>
          <w:color w:val="auto"/>
        </w:rPr>
      </w:pPr>
      <w:r>
        <w:rPr>
          <w:rFonts w:ascii="Times New Roman" w:cs="Times New Roman" w:eastAsia="Times New Roman" w:hAnsi="Times New Roman"/>
          <w:sz w:val="18"/>
          <w:szCs w:val="18"/>
          <w:color w:val="auto"/>
        </w:rPr>
        <w:t>On September 24, 2015, we announced that on September 23, 2015 our Board of Directors authorized a share repurchase program (the “Share Repurchase Program”), pursuant to which we may repurchase up to $25.0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Share Repurchase Program. The Share Repurchase Program does not obligate us to acquire any particular amount of common stock and may be suspended at any time by our Board of Directors. No shares were repurchased in the six months ended October 26, 2019. As of October 26, 2019, approximately $21.2 million remained authorized for future repurchases under the Share Repurchase Program.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39"/>
          </w:cols>
          <w:pgMar w:left="142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3" w:right="1440"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500" w:type="dxa"/>
            <w:vAlign w:val="bottom"/>
            <w:gridSpan w:val="7"/>
          </w:tcPr>
          <w:p>
            <w:pPr>
              <w:ind w:left="10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20" w:type="dxa"/>
            <w:vAlign w:val="bottom"/>
          </w:tcPr>
          <w:p>
            <w:pPr>
              <w:spacing w:after="0"/>
              <w:rPr>
                <w:sz w:val="16"/>
                <w:szCs w:val="16"/>
                <w:color w:val="auto"/>
              </w:rPr>
            </w:pPr>
          </w:p>
        </w:tc>
        <w:tc>
          <w:tcPr>
            <w:tcW w:w="8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3.1(1)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40" w:type="dxa"/>
            <w:vAlign w:val="bottom"/>
            <w:tcBorders>
              <w:top w:val="single" w:sz="8" w:color="auto"/>
            </w:tcBorders>
            <w:gridSpan w:val="8"/>
          </w:tcPr>
          <w:p>
            <w:pPr>
              <w:spacing w:after="0" w:line="189"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Amended and Restated Certificate of Incorporation of AeroVironment, Inc.</w:t>
              </w:r>
            </w:hyperlink>
          </w:p>
        </w:tc>
      </w:tr>
      <w:tr>
        <w:trPr>
          <w:trHeight w:val="223"/>
        </w:trPr>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180" w:type="dxa"/>
            <w:vAlign w:val="bottom"/>
          </w:tcPr>
          <w:p>
            <w:pPr>
              <w:spacing w:after="0"/>
              <w:rPr>
                <w:sz w:val="19"/>
                <w:szCs w:val="19"/>
                <w:color w:val="auto"/>
              </w:rPr>
            </w:pPr>
          </w:p>
        </w:tc>
        <w:tc>
          <w:tcPr>
            <w:tcW w:w="44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Third Amended and Restated Bylaws of AeroVironment, Inc.</w:t>
              </w:r>
            </w:hyperlink>
          </w:p>
        </w:tc>
        <w:tc>
          <w:tcPr>
            <w:tcW w:w="980" w:type="dxa"/>
            <w:vAlign w:val="bottom"/>
            <w:tcBorders>
              <w:top w:val="single" w:sz="8" w:color="0000EE"/>
            </w:tcBorders>
          </w:tcPr>
          <w:p>
            <w:pPr>
              <w:spacing w:after="0"/>
              <w:rPr>
                <w:sz w:val="19"/>
                <w:szCs w:val="19"/>
                <w:color w:val="auto"/>
              </w:rPr>
            </w:pPr>
          </w:p>
        </w:tc>
        <w:tc>
          <w:tcPr>
            <w:tcW w:w="2640" w:type="dxa"/>
            <w:vAlign w:val="bottom"/>
            <w:gridSpan w:val="5"/>
          </w:tcPr>
          <w:p>
            <w:pPr>
              <w:spacing w:after="0"/>
              <w:rPr>
                <w:sz w:val="19"/>
                <w:szCs w:val="19"/>
                <w:color w:val="auto"/>
              </w:rPr>
            </w:pPr>
          </w:p>
        </w:tc>
      </w:tr>
      <w:tr>
        <w:trPr>
          <w:trHeight w:val="223"/>
        </w:trPr>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80" w:type="dxa"/>
            <w:vAlign w:val="bottom"/>
          </w:tcPr>
          <w:p>
            <w:pPr>
              <w:spacing w:after="0"/>
              <w:rPr>
                <w:sz w:val="19"/>
                <w:szCs w:val="19"/>
                <w:color w:val="auto"/>
              </w:rPr>
            </w:pPr>
          </w:p>
        </w:tc>
        <w:tc>
          <w:tcPr>
            <w:tcW w:w="80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Consulting Agreement by and between AeroVironment, Inc. and Teresa Covington, effective October 18, 2019.</w:t>
              </w:r>
            </w:hyperlink>
          </w:p>
        </w:tc>
        <w:tc>
          <w:tcPr>
            <w:tcW w:w="20" w:type="dxa"/>
            <w:vAlign w:val="bottom"/>
          </w:tcPr>
          <w:p>
            <w:pPr>
              <w:spacing w:after="0"/>
              <w:rPr>
                <w:sz w:val="19"/>
                <w:szCs w:val="19"/>
                <w:color w:val="auto"/>
              </w:rPr>
            </w:pPr>
          </w:p>
        </w:tc>
      </w:tr>
      <w:tr>
        <w:trPr>
          <w:trHeight w:val="223"/>
        </w:trPr>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9"/>
                <w:szCs w:val="19"/>
                <w:color w:val="auto"/>
              </w:rPr>
            </w:pPr>
          </w:p>
        </w:tc>
        <w:tc>
          <w:tcPr>
            <w:tcW w:w="75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Certification of Chief Executive Officer pursuant to Rule 13a-14(a) and Rule 15d-14(a) of the Securities</w:t>
              </w:r>
            </w:hyperlink>
          </w:p>
        </w:tc>
        <w:tc>
          <w:tcPr>
            <w:tcW w:w="540" w:type="dxa"/>
            <w:vAlign w:val="bottom"/>
            <w:gridSpan w:val="2"/>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60" w:type="dxa"/>
            <w:vAlign w:val="bottom"/>
            <w:gridSpan w:val="9"/>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Exchange Act of 1934, as amended</w:t>
              </w:r>
              <w:r>
                <w:rPr>
                  <w:rFonts w:ascii="Times New Roman" w:cs="Times New Roman" w:eastAsia="Times New Roman" w:hAnsi="Times New Roman"/>
                  <w:sz w:val="18"/>
                  <w:szCs w:val="18"/>
                  <w:color w:val="000000"/>
                </w:rPr>
                <w:t>.</w:t>
              </w:r>
            </w:hyperlink>
          </w:p>
        </w:tc>
      </w:tr>
      <w:tr>
        <w:trPr>
          <w:trHeight w:val="20"/>
        </w:trPr>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9"/>
                <w:szCs w:val="19"/>
                <w:color w:val="auto"/>
              </w:rPr>
            </w:pPr>
          </w:p>
        </w:tc>
        <w:tc>
          <w:tcPr>
            <w:tcW w:w="8060" w:type="dxa"/>
            <w:vAlign w:val="bottom"/>
            <w:gridSpan w:val="9"/>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Certification of Interim Chief Financial Officer pursuant to Rule 13a-14(a) and Rule 15d-14(a) of the Securities</w:t>
              </w:r>
            </w:hyperlink>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Exchange Act of 1934, as amended</w:t>
              </w:r>
              <w:r>
                <w:rPr>
                  <w:rFonts w:ascii="Times New Roman" w:cs="Times New Roman" w:eastAsia="Times New Roman" w:hAnsi="Times New Roman"/>
                  <w:sz w:val="18"/>
                  <w:szCs w:val="18"/>
                  <w:color w:val="000000"/>
                </w:rPr>
                <w:t>.</w:t>
              </w:r>
            </w:hyperlink>
          </w:p>
        </w:tc>
        <w:tc>
          <w:tcPr>
            <w:tcW w:w="20" w:type="dxa"/>
            <w:vAlign w:val="bottom"/>
          </w:tcPr>
          <w:p>
            <w:pPr>
              <w:spacing w:after="0"/>
              <w:rPr>
                <w:sz w:val="19"/>
                <w:szCs w:val="19"/>
                <w:color w:val="auto"/>
              </w:rPr>
            </w:pPr>
          </w:p>
        </w:tc>
      </w:tr>
      <w:tr>
        <w:trPr>
          <w:trHeight w:val="20"/>
        </w:trPr>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23"/>
        </w:trPr>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32#</w:t>
            </w:r>
          </w:p>
        </w:tc>
        <w:tc>
          <w:tcPr>
            <w:tcW w:w="180" w:type="dxa"/>
            <w:vAlign w:val="bottom"/>
          </w:tcPr>
          <w:p>
            <w:pPr>
              <w:spacing w:after="0"/>
              <w:rPr>
                <w:sz w:val="19"/>
                <w:szCs w:val="19"/>
                <w:color w:val="auto"/>
              </w:rPr>
            </w:pPr>
          </w:p>
        </w:tc>
        <w:tc>
          <w:tcPr>
            <w:tcW w:w="8060" w:type="dxa"/>
            <w:vAlign w:val="bottom"/>
            <w:gridSpan w:val="9"/>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Certification of Chief Executive Officer and Interim Chief Financial Officer pursuant to 18 U.S.C.</w:t>
              </w:r>
            </w:hyperlink>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8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Section 1350, as adopted pursuant to Section 906 of the Sarbanes-Oxley Act of 2002</w:t>
              </w:r>
              <w:r>
                <w:rPr>
                  <w:rFonts w:ascii="Times New Roman" w:cs="Times New Roman" w:eastAsia="Times New Roman" w:hAnsi="Times New Roman"/>
                  <w:sz w:val="18"/>
                  <w:szCs w:val="18"/>
                  <w:color w:val="000000"/>
                </w:rPr>
                <w:t>.</w:t>
              </w:r>
            </w:hyperlink>
          </w:p>
        </w:tc>
        <w:tc>
          <w:tcPr>
            <w:tcW w:w="980" w:type="dxa"/>
            <w:vAlign w:val="bottom"/>
            <w:gridSpan w:val="3"/>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120" w:type="dxa"/>
            <w:vAlign w:val="bottom"/>
            <w:gridSpan w:val="5"/>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80" w:type="dxa"/>
            <w:vAlign w:val="bottom"/>
          </w:tcPr>
          <w:p>
            <w:pPr>
              <w:spacing w:after="0"/>
              <w:rPr>
                <w:sz w:val="22"/>
                <w:szCs w:val="22"/>
                <w:color w:val="auto"/>
              </w:rPr>
            </w:pPr>
          </w:p>
        </w:tc>
        <w:tc>
          <w:tcPr>
            <w:tcW w:w="8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Files because its</w:t>
            </w: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243"/>
        </w:trPr>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80" w:type="dxa"/>
            <w:vAlign w:val="bottom"/>
          </w:tcPr>
          <w:p>
            <w:pPr>
              <w:spacing w:after="0"/>
              <w:rPr>
                <w:sz w:val="21"/>
                <w:szCs w:val="21"/>
                <w:color w:val="auto"/>
              </w:rPr>
            </w:pPr>
          </w:p>
        </w:tc>
        <w:tc>
          <w:tcPr>
            <w:tcW w:w="8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1"/>
                <w:szCs w:val="21"/>
                <w:color w:val="auto"/>
              </w:rPr>
            </w:pPr>
          </w:p>
        </w:tc>
        <w:tc>
          <w:tcPr>
            <w:tcW w:w="8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1"/>
                <w:szCs w:val="21"/>
                <w:color w:val="auto"/>
              </w:rPr>
            </w:pPr>
          </w:p>
        </w:tc>
        <w:tc>
          <w:tcPr>
            <w:tcW w:w="8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1"/>
                <w:szCs w:val="21"/>
                <w:color w:val="auto"/>
              </w:rPr>
            </w:pPr>
          </w:p>
        </w:tc>
        <w:tc>
          <w:tcPr>
            <w:tcW w:w="8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80" w:type="dxa"/>
            <w:vAlign w:val="bottom"/>
          </w:tcPr>
          <w:p>
            <w:pPr>
              <w:spacing w:after="0"/>
              <w:rPr>
                <w:sz w:val="21"/>
                <w:szCs w:val="21"/>
                <w:color w:val="auto"/>
              </w:rPr>
            </w:pPr>
          </w:p>
        </w:tc>
        <w:tc>
          <w:tcPr>
            <w:tcW w:w="8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 w:lineRule="exact"/>
        <w:rPr>
          <w:sz w:val="20"/>
          <w:szCs w:val="20"/>
          <w:color w:val="auto"/>
        </w:rPr>
      </w:pPr>
    </w:p>
    <w:p>
      <w:pPr>
        <w:ind w:left="1000" w:hanging="728"/>
        <w:spacing w:after="0"/>
        <w:tabs>
          <w:tab w:leader="none" w:pos="1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10" w:lineRule="exact"/>
        <w:rPr>
          <w:rFonts w:ascii="Times New Roman" w:cs="Times New Roman" w:eastAsia="Times New Roman" w:hAnsi="Times New Roman"/>
          <w:sz w:val="18"/>
          <w:szCs w:val="18"/>
          <w:color w:val="auto"/>
        </w:rPr>
      </w:pPr>
    </w:p>
    <w:p>
      <w:pPr>
        <w:ind w:left="320" w:right="200" w:hanging="318"/>
        <w:spacing w:after="0" w:line="250" w:lineRule="exact"/>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filed March 9, 2007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33261).</w:t>
      </w:r>
    </w:p>
    <w:p>
      <w:pPr>
        <w:spacing w:after="0" w:line="178" w:lineRule="exact"/>
        <w:rPr>
          <w:rFonts w:ascii="Times New Roman" w:cs="Times New Roman" w:eastAsia="Times New Roman" w:hAnsi="Times New Roman"/>
          <w:sz w:val="18"/>
          <w:szCs w:val="18"/>
          <w:color w:val="auto"/>
        </w:rPr>
      </w:pPr>
    </w:p>
    <w:p>
      <w:pPr>
        <w:ind w:left="320" w:right="160" w:hanging="318"/>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Exhibit 3.3 to the Company’s Annual Report on Form 10-K filed July 1, 2015 (File No. 001-33261).</w:t>
      </w:r>
    </w:p>
    <w:p>
      <w:pPr>
        <w:spacing w:after="0" w:line="161" w:lineRule="exact"/>
        <w:rPr>
          <w:rFonts w:ascii="Times New Roman" w:cs="Times New Roman" w:eastAsia="Times New Roman" w:hAnsi="Times New Roman"/>
          <w:sz w:val="18"/>
          <w:szCs w:val="18"/>
          <w:color w:val="auto"/>
        </w:rPr>
      </w:pPr>
    </w:p>
    <w:p>
      <w:pPr>
        <w:ind w:left="320" w:right="380" w:hanging="318"/>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Exhibit 10.1 to the Company’s Current Report on Form 8-K/A filed October 22, 2019 (File No. 001-33261).</w:t>
      </w:r>
    </w:p>
    <w:p>
      <w:pPr>
        <w:spacing w:after="0" w:line="162" w:lineRule="exact"/>
        <w:rPr>
          <w:sz w:val="20"/>
          <w:szCs w:val="20"/>
          <w:color w:val="auto"/>
        </w:rPr>
      </w:pPr>
    </w:p>
    <w:p>
      <w:pPr>
        <w:ind w:left="320" w:right="120" w:hanging="318"/>
        <w:spacing w:after="0" w:line="261" w:lineRule="auto"/>
        <w:tabs>
          <w:tab w:leader="none" w:pos="3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tabs>
          <w:tab w:leader="none" w:pos="4900" w:val="left"/>
        </w:tabs>
        <w:rPr>
          <w:sz w:val="20"/>
          <w:szCs w:val="20"/>
          <w:color w:val="auto"/>
        </w:rPr>
      </w:pPr>
      <w:r>
        <w:rPr>
          <w:rFonts w:ascii="Times New Roman" w:cs="Times New Roman" w:eastAsia="Times New Roman" w:hAnsi="Times New Roman"/>
          <w:sz w:val="18"/>
          <w:szCs w:val="18"/>
          <w:color w:val="auto"/>
        </w:rPr>
        <w:t>Date: December 3, 2019</w:t>
      </w:r>
      <w:r>
        <w:rPr>
          <w:sz w:val="20"/>
          <w:szCs w:val="20"/>
          <w:color w:val="auto"/>
        </w:rPr>
        <w:tab/>
      </w:r>
      <w:r>
        <w:rPr>
          <w:rFonts w:ascii="Times New Roman" w:cs="Times New Roman" w:eastAsia="Times New Roman" w:hAnsi="Times New Roman"/>
          <w:sz w:val="17"/>
          <w:szCs w:val="17"/>
          <w:color w:val="auto"/>
        </w:rPr>
        <w:t>AEROVIRONMENT, INC.</w:t>
      </w:r>
    </w:p>
    <w:p>
      <w:pPr>
        <w:spacing w:after="0" w:line="27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26035</wp:posOffset>
            </wp:positionV>
            <wp:extent cx="26327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Wahid Nawabi</w:t>
      </w:r>
    </w:p>
    <w:p>
      <w:pPr>
        <w:spacing w:after="0" w:line="3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 Brian C. Shackley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26035</wp:posOffset>
            </wp:positionV>
            <wp:extent cx="26327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Brian C. Shackley</w:t>
      </w:r>
    </w:p>
    <w:p>
      <w:pPr>
        <w:spacing w:after="0" w:line="3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Vice President and Interim Chief Financial Officer</w:t>
      </w:r>
    </w:p>
    <w:p>
      <w:pPr>
        <w:spacing w:after="0" w:line="3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3" w:right="1440"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 Wahid Nawabi, certify that:</w:t>
      </w:r>
    </w:p>
    <w:p>
      <w:pPr>
        <w:spacing w:after="0" w:line="144" w:lineRule="exact"/>
        <w:rPr>
          <w:sz w:val="20"/>
          <w:szCs w:val="20"/>
          <w:color w:val="auto"/>
        </w:rPr>
      </w:pPr>
    </w:p>
    <w:p>
      <w:pPr>
        <w:ind w:left="360" w:hanging="357"/>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144" w:lineRule="exact"/>
        <w:rPr>
          <w:rFonts w:ascii="Times New Roman" w:cs="Times New Roman" w:eastAsia="Times New Roman" w:hAnsi="Times New Roman"/>
          <w:sz w:val="18"/>
          <w:szCs w:val="18"/>
          <w:color w:val="auto"/>
        </w:rPr>
      </w:pPr>
    </w:p>
    <w:p>
      <w:pPr>
        <w:jc w:val="both"/>
        <w:ind w:left="320" w:right="180" w:hanging="315"/>
        <w:spacing w:after="0" w:line="226" w:lineRule="auto"/>
        <w:tabs>
          <w:tab w:leader="none" w:pos="3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320" w:right="140" w:hanging="315"/>
        <w:spacing w:after="0" w:line="226" w:lineRule="auto"/>
        <w:tabs>
          <w:tab w:leader="none" w:pos="3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320" w:right="80" w:hanging="315"/>
        <w:spacing w:after="0" w:line="226" w:lineRule="auto"/>
        <w:tabs>
          <w:tab w:leader="none" w:pos="3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660" w:hanging="333"/>
        <w:spacing w:after="0" w:line="220" w:lineRule="auto"/>
        <w:tabs>
          <w:tab w:leader="none" w:pos="6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660" w:right="160" w:hanging="333"/>
        <w:spacing w:after="0" w:line="220" w:lineRule="auto"/>
        <w:tabs>
          <w:tab w:leader="none" w:pos="70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660" w:right="60" w:hanging="333"/>
        <w:spacing w:after="0" w:line="226" w:lineRule="auto"/>
        <w:tabs>
          <w:tab w:leader="none" w:pos="6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660" w:right="140" w:hanging="333"/>
        <w:spacing w:after="0" w:line="220" w:lineRule="auto"/>
        <w:tabs>
          <w:tab w:leader="none" w:pos="70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320" w:hanging="317"/>
        <w:spacing w:after="0" w:line="226" w:lineRule="auto"/>
        <w:tabs>
          <w:tab w:leader="none" w:pos="3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660" w:right="240" w:hanging="333"/>
        <w:spacing w:after="0" w:line="226" w:lineRule="auto"/>
        <w:tabs>
          <w:tab w:leader="none" w:pos="6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660" w:hanging="333"/>
        <w:spacing w:after="0" w:line="237" w:lineRule="auto"/>
        <w:tabs>
          <w:tab w:leader="none" w:pos="70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 2019</w:t>
      </w:r>
    </w:p>
    <w:p>
      <w:pPr>
        <w:spacing w:after="0" w:line="1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5" w:lineRule="auto"/>
        <w:rPr>
          <w:sz w:val="20"/>
          <w:szCs w:val="20"/>
          <w:color w:val="auto"/>
        </w:rPr>
      </w:pPr>
      <w:r>
        <w:rPr>
          <w:rFonts w:ascii="Times New Roman" w:cs="Times New Roman" w:eastAsia="Times New Roman" w:hAnsi="Times New Roman"/>
          <w:sz w:val="18"/>
          <w:szCs w:val="18"/>
          <w:color w:val="auto"/>
        </w:rPr>
        <w:t>Wahid Nawabi</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 Brian C. Shackley, certify that:</w:t>
      </w:r>
    </w:p>
    <w:p>
      <w:pPr>
        <w:spacing w:after="0" w:line="144" w:lineRule="exact"/>
        <w:rPr>
          <w:sz w:val="20"/>
          <w:szCs w:val="20"/>
          <w:color w:val="auto"/>
        </w:rPr>
      </w:pPr>
    </w:p>
    <w:p>
      <w:pPr>
        <w:ind w:left="360" w:hanging="355"/>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144" w:lineRule="exact"/>
        <w:rPr>
          <w:rFonts w:ascii="Times New Roman" w:cs="Times New Roman" w:eastAsia="Times New Roman" w:hAnsi="Times New Roman"/>
          <w:sz w:val="18"/>
          <w:szCs w:val="18"/>
          <w:color w:val="auto"/>
        </w:rPr>
      </w:pPr>
    </w:p>
    <w:p>
      <w:pPr>
        <w:jc w:val="both"/>
        <w:ind w:left="320" w:right="180" w:hanging="315"/>
        <w:spacing w:after="0" w:line="226" w:lineRule="auto"/>
        <w:tabs>
          <w:tab w:leader="none" w:pos="3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320" w:right="140" w:hanging="315"/>
        <w:spacing w:after="0" w:line="226" w:lineRule="auto"/>
        <w:tabs>
          <w:tab w:leader="none" w:pos="3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320" w:right="80" w:hanging="315"/>
        <w:spacing w:after="0" w:line="226" w:lineRule="auto"/>
        <w:tabs>
          <w:tab w:leader="none" w:pos="3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660" w:hanging="333"/>
        <w:spacing w:after="0" w:line="220" w:lineRule="auto"/>
        <w:tabs>
          <w:tab w:leader="none" w:pos="69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660" w:right="160" w:hanging="333"/>
        <w:spacing w:after="0" w:line="220" w:lineRule="auto"/>
        <w:tabs>
          <w:tab w:leader="none" w:pos="70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660" w:right="60" w:hanging="333"/>
        <w:spacing w:after="0" w:line="226" w:lineRule="auto"/>
        <w:tabs>
          <w:tab w:leader="none" w:pos="69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660" w:right="140" w:hanging="333"/>
        <w:spacing w:after="0" w:line="220" w:lineRule="auto"/>
        <w:tabs>
          <w:tab w:leader="none" w:pos="70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320" w:hanging="315"/>
        <w:spacing w:after="0" w:line="226" w:lineRule="auto"/>
        <w:tabs>
          <w:tab w:leader="none" w:pos="3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660" w:right="240" w:hanging="333"/>
        <w:spacing w:after="0" w:line="226" w:lineRule="auto"/>
        <w:tabs>
          <w:tab w:leader="none" w:pos="69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660" w:hanging="333"/>
        <w:spacing w:after="0" w:line="237" w:lineRule="auto"/>
        <w:tabs>
          <w:tab w:leader="none" w:pos="70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 2019</w:t>
      </w:r>
    </w:p>
    <w:p>
      <w:pPr>
        <w:spacing w:after="0" w:line="1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Brian C. Shackley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5" w:lineRule="auto"/>
        <w:rPr>
          <w:sz w:val="20"/>
          <w:szCs w:val="20"/>
          <w:color w:val="auto"/>
        </w:rPr>
      </w:pPr>
      <w:r>
        <w:rPr>
          <w:rFonts w:ascii="Times New Roman" w:cs="Times New Roman" w:eastAsia="Times New Roman" w:hAnsi="Times New Roman"/>
          <w:sz w:val="18"/>
          <w:szCs w:val="18"/>
          <w:color w:val="auto"/>
        </w:rPr>
        <w:t>Brian C. Shackley</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Vice President and 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24" w:lineRule="exact"/>
        <w:rPr>
          <w:sz w:val="20"/>
          <w:szCs w:val="20"/>
          <w:color w:val="auto"/>
        </w:rPr>
      </w:pPr>
    </w:p>
    <w:p>
      <w:pPr>
        <w:jc w:val="both"/>
        <w:ind w:right="200" w:firstLine="486"/>
        <w:spacing w:after="0" w:line="22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18" w:lineRule="exact"/>
        <w:rPr>
          <w:sz w:val="20"/>
          <w:szCs w:val="20"/>
          <w:color w:val="auto"/>
        </w:rPr>
      </w:pPr>
    </w:p>
    <w:p>
      <w:pPr>
        <w:ind w:right="140" w:firstLine="486"/>
        <w:spacing w:after="0" w:line="220" w:lineRule="auto"/>
        <w:rPr>
          <w:sz w:val="20"/>
          <w:szCs w:val="20"/>
          <w:color w:val="auto"/>
        </w:rPr>
      </w:pPr>
      <w:r>
        <w:rPr>
          <w:rFonts w:ascii="Times New Roman" w:cs="Times New Roman" w:eastAsia="Times New Roman" w:hAnsi="Times New Roman"/>
          <w:sz w:val="18"/>
          <w:szCs w:val="18"/>
          <w:color w:val="auto"/>
        </w:rPr>
        <w:t>The Quarterly Report on Form 10-Q for the quarter ended October 26, 2019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5" w:lineRule="auto"/>
        <w:rPr>
          <w:sz w:val="20"/>
          <w:szCs w:val="20"/>
          <w:color w:val="auto"/>
        </w:rPr>
      </w:pPr>
      <w:r>
        <w:rPr>
          <w:rFonts w:ascii="Times New Roman" w:cs="Times New Roman" w:eastAsia="Times New Roman" w:hAnsi="Times New Roman"/>
          <w:sz w:val="18"/>
          <w:szCs w:val="18"/>
          <w:color w:val="auto"/>
        </w:rPr>
        <w:t>Wahid Nawabi</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Brian C. Shackley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5" w:lineRule="auto"/>
        <w:rPr>
          <w:sz w:val="20"/>
          <w:szCs w:val="20"/>
          <w:color w:val="auto"/>
        </w:rPr>
      </w:pPr>
      <w:r>
        <w:rPr>
          <w:rFonts w:ascii="Times New Roman" w:cs="Times New Roman" w:eastAsia="Times New Roman" w:hAnsi="Times New Roman"/>
          <w:sz w:val="18"/>
          <w:szCs w:val="18"/>
          <w:color w:val="auto"/>
        </w:rPr>
        <w:t>Brian C. Shackley</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Vice President and Interim Chief Financial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3, 2019</w:t>
      </w:r>
    </w:p>
    <w:p>
      <w:pPr>
        <w:spacing w:after="0" w:line="144" w:lineRule="exact"/>
        <w:rPr>
          <w:sz w:val="20"/>
          <w:szCs w:val="20"/>
          <w:color w:val="auto"/>
        </w:rPr>
      </w:pPr>
    </w:p>
    <w:p>
      <w:pPr>
        <w:ind w:right="360" w:firstLine="486"/>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343535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2"/>
      <w:numFmt w:val="decimal"/>
      <w:start w:val="104"/>
    </w:lvl>
  </w:abstractNum>
  <w:abstractNum w:abstractNumId="4">
    <w:nsid w:val="2EB141F2"/>
    <w:multiLevelType w:val="hybridMultilevel"/>
    <w:lvl w:ilvl="0">
      <w:lvlJc w:val="left"/>
      <w:lvlText w:val="(%1)"/>
      <w:numFmt w:val="decimal"/>
      <w:start w:val="1"/>
    </w:lvl>
    <w:lvl w:ilvl="1">
      <w:lvlJc w:val="left"/>
      <w:lvlText w:val="%2"/>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3" Type="http://schemas.openxmlformats.org/officeDocument/2006/relationships/hyperlink" Target="http://www.sec.gov/Archives/edgar/data/1368622/000095015007000008/a28119exv3w1.htm" TargetMode="External"/><Relationship Id="rId54" Type="http://schemas.openxmlformats.org/officeDocument/2006/relationships/hyperlink" Target="http://www.sec.gov/Archives/edgar/data/1368622/000104746915005880/a2225241zex-3_3.htm" TargetMode="External"/><Relationship Id="rId55" Type="http://schemas.openxmlformats.org/officeDocument/2006/relationships/hyperlink" Target="http://www.sec.gov/Archives/edgar/data/1368622/000110465919040779/a19-12962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2019-12-28T01:12:32Z</dcterms:created>
  <dcterms:modified xsi:type="dcterms:W3CDTF">2019-12-28T01:12:32Z</dcterms:modified>
</cp:coreProperties>
</file>