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266065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180975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August 2, 2025</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38"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55" w:lineRule="exact"/>
        <w:rPr>
          <w:sz w:val="24"/>
          <w:szCs w:val="24"/>
          <w:color w:val="auto"/>
        </w:rPr>
      </w:pPr>
    </w:p>
    <w:p>
      <w:pPr>
        <w:ind w:left="3580"/>
        <w:spacing w:after="0"/>
        <w:tabs>
          <w:tab w:leader="none" w:pos="582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161925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AEROVIRONMENT,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8" w:lineRule="exact"/>
        <w:rPr>
          <w:sz w:val="24"/>
          <w:szCs w:val="24"/>
          <w:color w:val="auto"/>
        </w:rPr>
      </w:pPr>
    </w:p>
    <w:tbl>
      <w:tblPr>
        <w:tblLayout w:type="fixed"/>
        <w:tblInd w:w="720" w:type="dxa"/>
        <w:tblCellMar>
          <w:top w:w="0" w:type="dxa"/>
          <w:left w:w="0" w:type="dxa"/>
          <w:bottom w:w="0" w:type="dxa"/>
          <w:right w:w="0" w:type="dxa"/>
        </w:tblCellMar>
      </w:tblPr>
      <w:tr>
        <w:trPr>
          <w:trHeight w:val="164"/>
        </w:trPr>
        <w:tc>
          <w:tcPr>
            <w:tcW w:w="4580" w:type="dxa"/>
            <w:vAlign w:val="bottom"/>
          </w:tcPr>
          <w:p>
            <w:pPr>
              <w:jc w:val="center"/>
              <w:ind w:right="10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24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95-2705790</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82"/>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241 18</w:t>
            </w:r>
            <w:r>
              <w:rPr>
                <w:rFonts w:ascii="Times New Roman" w:cs="Times New Roman" w:eastAsia="Times New Roman" w:hAnsi="Times New Roman"/>
                <w:sz w:val="21"/>
                <w:szCs w:val="21"/>
                <w:b w:val="1"/>
                <w:bCs w:val="1"/>
                <w:color w:val="auto"/>
                <w:vertAlign w:val="superscript"/>
              </w:rPr>
              <w:t>th</w:t>
            </w:r>
            <w:r>
              <w:rPr>
                <w:rFonts w:ascii="Times New Roman" w:cs="Times New Roman" w:eastAsia="Times New Roman" w:hAnsi="Times New Roman"/>
                <w:sz w:val="14"/>
                <w:szCs w:val="14"/>
                <w:b w:val="1"/>
                <w:bCs w:val="1"/>
                <w:color w:val="auto"/>
              </w:rPr>
              <w:t xml:space="preserve"> Street South, Suite 650</w:t>
            </w:r>
          </w:p>
        </w:tc>
        <w:tc>
          <w:tcPr>
            <w:tcW w:w="3240" w:type="dxa"/>
            <w:vAlign w:val="bottom"/>
          </w:tcPr>
          <w:p>
            <w:pPr>
              <w:spacing w:after="0"/>
              <w:rPr>
                <w:sz w:val="24"/>
                <w:szCs w:val="24"/>
                <w:color w:val="auto"/>
              </w:rPr>
            </w:pPr>
          </w:p>
        </w:tc>
      </w:tr>
      <w:tr>
        <w:trPr>
          <w:trHeight w:val="164"/>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b w:val="1"/>
                <w:bCs w:val="1"/>
                <w:color w:val="auto"/>
              </w:rPr>
              <w:t>Arlington, Virginia</w:t>
            </w:r>
          </w:p>
        </w:tc>
        <w:tc>
          <w:tcPr>
            <w:tcW w:w="3240" w:type="dxa"/>
            <w:vAlign w:val="bottom"/>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22202</w:t>
            </w:r>
          </w:p>
        </w:tc>
      </w:tr>
      <w:tr>
        <w:trPr>
          <w:trHeight w:val="188"/>
        </w:trPr>
        <w:tc>
          <w:tcPr>
            <w:tcW w:w="4580" w:type="dxa"/>
            <w:vAlign w:val="bottom"/>
          </w:tcPr>
          <w:p>
            <w:pPr>
              <w:jc w:val="center"/>
              <w:ind w:right="106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3240" w:type="dxa"/>
            <w:vAlign w:val="bottom"/>
          </w:tcPr>
          <w:p>
            <w:pPr>
              <w:jc w:val="center"/>
              <w:ind w:left="1088"/>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(805) 520-8350</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2960" w:type="dxa"/>
            <w:vAlign w:val="bottom"/>
          </w:tcPr>
          <w:p>
            <w:pPr>
              <w:jc w:val="center"/>
              <w:ind w:left="242"/>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3560" w:type="dxa"/>
            <w:vAlign w:val="bottom"/>
          </w:tcPr>
          <w:p>
            <w:pPr>
              <w:jc w:val="center"/>
              <w:ind w:left="222"/>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60"/>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85"/>
              </w:rPr>
              <w:t>AVAV</w:t>
            </w:r>
          </w:p>
        </w:tc>
        <w:tc>
          <w:tcPr>
            <w:tcW w:w="3560" w:type="dxa"/>
            <w:vAlign w:val="bottom"/>
            <w:tcBorders>
              <w:top w:val="single" w:sz="8" w:color="auto"/>
            </w:tcBorders>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97"/>
              </w:rPr>
              <w:t>The NASDAQ Stock Market LLC</w:t>
            </w:r>
          </w:p>
        </w:tc>
      </w:tr>
    </w:tbl>
    <w:p>
      <w:pPr>
        <w:spacing w:after="0" w:line="162" w:lineRule="exact"/>
        <w:rPr>
          <w:sz w:val="24"/>
          <w:szCs w:val="24"/>
          <w:color w:val="auto"/>
        </w:rPr>
      </w:pPr>
    </w:p>
    <w:p>
      <w:pPr>
        <w:jc w:val="both"/>
        <w:ind w:right="220" w:firstLine="324"/>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39" w:lineRule="exact"/>
        <w:rPr>
          <w:sz w:val="24"/>
          <w:szCs w:val="24"/>
          <w:color w:val="auto"/>
        </w:rPr>
      </w:pPr>
    </w:p>
    <w:p>
      <w:pPr>
        <w:ind w:right="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1" w:lineRule="exact"/>
        <w:rPr>
          <w:sz w:val="24"/>
          <w:szCs w:val="24"/>
          <w:color w:val="auto"/>
        </w:rPr>
      </w:pPr>
    </w:p>
    <w:p>
      <w:pPr>
        <w:jc w:val="both"/>
        <w:ind w:right="20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1" w:right="999" w:bottom="1440" w:gutter="0" w:footer="0" w:header="0"/>
        </w:sectPr>
      </w:pPr>
    </w:p>
    <w:p>
      <w:pPr>
        <w:ind w:left="170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105" w:lineRule="exact"/>
        <w:rPr>
          <w:sz w:val="24"/>
          <w:szCs w:val="24"/>
          <w:color w:val="auto"/>
        </w:rPr>
      </w:pPr>
    </w:p>
    <w:p>
      <w:pPr>
        <w:sectPr>
          <w:pgSz w:w="11900" w:h="16838" w:orient="portrait"/>
          <w:cols w:equalWidth="0" w:num="2">
            <w:col w:w="6200" w:space="720"/>
            <w:col w:w="3000"/>
          </w:cols>
          <w:pgMar w:left="980" w:top="661" w:right="999" w:bottom="1440" w:gutter="0" w:footer="0" w:header="0"/>
          <w:type w:val="continuous"/>
        </w:sectPr>
      </w:pPr>
    </w:p>
    <w:p>
      <w:pPr>
        <w:ind w:left="174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163" w:lineRule="exact"/>
        <w:rPr>
          <w:sz w:val="24"/>
          <w:szCs w:val="24"/>
          <w:color w:val="auto"/>
        </w:rPr>
      </w:pPr>
    </w:p>
    <w:p>
      <w:pPr>
        <w:sectPr>
          <w:pgSz w:w="11900" w:h="16838" w:orient="portrait"/>
          <w:cols w:equalWidth="0" w:num="2">
            <w:col w:w="5900" w:space="720"/>
            <w:col w:w="3300"/>
          </w:cols>
          <w:pgMar w:left="980" w:top="661" w:right="999" w:bottom="1440" w:gutter="0" w:footer="0" w:header="0"/>
          <w:type w:val="continuous"/>
        </w:sectPr>
      </w:pPr>
    </w:p>
    <w:p>
      <w:pPr>
        <w:ind w:left="66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9920"/>
          </w:cols>
          <w:pgMar w:left="980" w:top="661" w:right="999" w:bottom="1440" w:gutter="0" w:footer="0" w:header="0"/>
          <w:type w:val="continuous"/>
        </w:sectPr>
      </w:pPr>
    </w:p>
    <w:p>
      <w:pPr>
        <w:spacing w:after="0" w:line="248" w:lineRule="exact"/>
        <w:rPr>
          <w:sz w:val="24"/>
          <w:szCs w:val="24"/>
          <w:color w:val="auto"/>
        </w:rPr>
      </w:pPr>
    </w:p>
    <w:p>
      <w:pPr>
        <w:ind w:right="140" w:firstLine="324"/>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3" w:lineRule="exact"/>
        <w:rPr>
          <w:sz w:val="24"/>
          <w:szCs w:val="24"/>
          <w:color w:val="auto"/>
        </w:rPr>
      </w:pPr>
    </w:p>
    <w:p>
      <w:pPr>
        <w:ind w:left="340" w:right="2120"/>
        <w:spacing w:after="0" w:line="26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September 3, 2025, the number of shares outstanding of the registrant’s common stock, $0.0001 par value, was 49,932,207.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426720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40640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 w:name="page2"/>
    <w:bookmarkEnd w:id="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80" w:type="dxa"/>
            <w:vAlign w:val="bottom"/>
            <w:gridSpan w:val="11"/>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AeroVironment, Inc.</w:t>
            </w:r>
          </w:p>
        </w:tc>
        <w:tc>
          <w:tcPr>
            <w:tcW w:w="56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80" w:type="dxa"/>
            <w:vAlign w:val="bottom"/>
            <w:gridSpan w:val="11"/>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560" w:type="dxa"/>
            <w:vAlign w:val="bottom"/>
          </w:tcPr>
          <w:p>
            <w:pPr>
              <w:spacing w:after="0"/>
              <w:rPr>
                <w:sz w:val="24"/>
                <w:szCs w:val="24"/>
                <w:color w:val="auto"/>
              </w:rPr>
            </w:pPr>
          </w:p>
        </w:tc>
      </w:tr>
      <w:tr>
        <w:trPr>
          <w:trHeight w:val="391"/>
        </w:trPr>
        <w:tc>
          <w:tcPr>
            <w:tcW w:w="83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1.  Financial Statements :</w:t>
            </w:r>
          </w:p>
        </w:tc>
        <w:tc>
          <w:tcPr>
            <w:tcW w:w="56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August 2, 2025 (Unaudited) and April 30, 2025</w:t>
            </w:r>
          </w:p>
        </w:tc>
        <w:tc>
          <w:tcPr>
            <w:tcW w:w="720" w:type="dxa"/>
            <w:vAlign w:val="bottom"/>
            <w:gridSpan w:val="3"/>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Operations for the three months ended August 2, 2025</w:t>
            </w:r>
          </w:p>
        </w:tc>
        <w:tc>
          <w:tcPr>
            <w:tcW w:w="740" w:type="dxa"/>
            <w:vAlign w:val="bottom"/>
            <w:gridSpan w:val="4"/>
          </w:tcPr>
          <w:p>
            <w:pPr>
              <w:spacing w:after="0"/>
              <w:rPr>
                <w:sz w:val="20"/>
                <w:szCs w:val="20"/>
                <w:color w:val="auto"/>
              </w:rPr>
            </w:pPr>
          </w:p>
        </w:tc>
        <w:tc>
          <w:tcPr>
            <w:tcW w:w="560" w:type="dxa"/>
            <w:vAlign w:val="bottom"/>
          </w:tcPr>
          <w:p>
            <w:pPr>
              <w:spacing w:after="0"/>
              <w:rPr>
                <w:sz w:val="20"/>
                <w:szCs w:val="20"/>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and July 27, 2024 (Unaudited)</w:t>
            </w:r>
          </w:p>
        </w:tc>
        <w:tc>
          <w:tcPr>
            <w:tcW w:w="422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(Loss) Income for the three months ended</w:t>
            </w:r>
          </w:p>
        </w:tc>
        <w:tc>
          <w:tcPr>
            <w:tcW w:w="4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August 2, 2025 (Unaudited) and July 27, 2024 (Unaudited)</w:t>
            </w:r>
          </w:p>
        </w:tc>
        <w:tc>
          <w:tcPr>
            <w:tcW w:w="3080" w:type="dxa"/>
            <w:vAlign w:val="bottom"/>
            <w:gridSpan w:val="7"/>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5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months ended August 2, 2025</w:t>
            </w:r>
          </w:p>
        </w:tc>
        <w:tc>
          <w:tcPr>
            <w:tcW w:w="560" w:type="dxa"/>
            <w:vAlign w:val="bottom"/>
          </w:tcPr>
          <w:p>
            <w:pPr>
              <w:spacing w:after="0"/>
              <w:rPr>
                <w:sz w:val="20"/>
                <w:szCs w:val="20"/>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3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(Unaudited) and July 27, 2024 (Unaudited)</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August 2, 2025</w:t>
            </w:r>
          </w:p>
        </w:tc>
        <w:tc>
          <w:tcPr>
            <w:tcW w:w="68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and July 27, 2024 (Unaudited)</w:t>
            </w:r>
          </w:p>
        </w:tc>
        <w:tc>
          <w:tcPr>
            <w:tcW w:w="4220" w:type="dxa"/>
            <w:vAlign w:val="bottom"/>
            <w:gridSpan w:val="9"/>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83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3"/>
            <w:shd w:val="clear" w:color="auto" w:fill="0000EE"/>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83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360" w:type="dxa"/>
            <w:vAlign w:val="bottom"/>
            <w:tcBorders>
              <w:left w:val="single" w:sz="8" w:color="0000EE"/>
            </w:tcBorders>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83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53"/>
        </w:trPr>
        <w:tc>
          <w:tcPr>
            <w:tcW w:w="27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8"/>
              </w:rPr>
              <w:t>PART II. OTHER INFORMATION</w:t>
            </w:r>
          </w:p>
        </w:tc>
        <w:tc>
          <w:tcPr>
            <w:tcW w:w="558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r>
      <w:tr>
        <w:trPr>
          <w:trHeight w:val="453"/>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36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6"/>
        </w:trPr>
        <w:tc>
          <w:tcPr>
            <w:tcW w:w="83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1A.Risk Factors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83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83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538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6"/>
        </w:trPr>
        <w:tc>
          <w:tcPr>
            <w:tcW w:w="83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4.  Mine Safety Disclosures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7"/>
        </w:trPr>
        <w:tc>
          <w:tcPr>
            <w:tcW w:w="5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3"/>
          </w:tcPr>
          <w:p>
            <w:pPr>
              <w:spacing w:after="0"/>
              <w:rPr>
                <w:sz w:val="20"/>
                <w:szCs w:val="20"/>
                <w:color w:val="auto"/>
              </w:rPr>
            </w:pPr>
          </w:p>
        </w:tc>
        <w:tc>
          <w:tcPr>
            <w:tcW w:w="5940" w:type="dxa"/>
            <w:vAlign w:val="bottom"/>
            <w:gridSpan w:val="13"/>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6"/>
        </w:trPr>
        <w:tc>
          <w:tcPr>
            <w:tcW w:w="5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100" w:type="dxa"/>
            <w:vAlign w:val="bottom"/>
            <w:gridSpan w:val="18"/>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7"/>
        </w:trPr>
        <w:tc>
          <w:tcPr>
            <w:tcW w:w="83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66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685,803</w:t>
            </w:r>
          </w:p>
        </w:tc>
        <w:tc>
          <w:tcPr>
            <w:tcW w:w="1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$773 at August 2, 2025 and $203 at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April 30, 2025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Unbilled receivables and retentions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463,870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290,009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144,090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37,707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28,966</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1,639,339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606,516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50,704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98,514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Intangibles, 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1,118,848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48,711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2,539,560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256,781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42,702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32,889</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5,624,037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1,120,567</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91,133</w:t>
            </w:r>
          </w:p>
        </w:tc>
        <w:tc>
          <w:tcPr>
            <w:tcW w:w="1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Wages and related accruals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73,752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Customer advances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172,161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725,703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Liability for uncertain tax positions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$0.0001 par value: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Authorized shares—10,000,000; none issued or outstanding at August 2, 2025 and April</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30,2025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Authorized shares—100,000,000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Issued and outstanding shares—49,932,300 shares at August 2, 2025 and 28,267,517 shares at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April 30, 2025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4,226,012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618,711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(5,875)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(6,514)</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274,306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4,427,079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886,507</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5,624,037</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1,120,567</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4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280" w:type="dxa"/>
            <w:vAlign w:val="bottom"/>
          </w:tcPr>
          <w:p>
            <w:pPr>
              <w:spacing w:after="0"/>
              <w:rPr>
                <w:sz w:val="10"/>
                <w:szCs w:val="10"/>
                <w:color w:val="auto"/>
              </w:rPr>
            </w:pPr>
          </w:p>
        </w:tc>
      </w:tr>
      <w:tr>
        <w:trPr>
          <w:trHeight w:val="173"/>
        </w:trPr>
        <w:tc>
          <w:tcPr>
            <w:tcW w:w="64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5"/>
                <w:szCs w:val="15"/>
                <w:color w:val="auto"/>
              </w:rPr>
            </w:pPr>
          </w:p>
        </w:tc>
      </w:tr>
      <w:tr>
        <w:trPr>
          <w:trHeight w:val="19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313,533</w:t>
            </w:r>
          </w:p>
        </w:tc>
        <w:tc>
          <w:tcPr>
            <w:tcW w:w="60" w:type="dxa"/>
            <w:vAlign w:val="bottom"/>
          </w:tcPr>
          <w:p>
            <w:pPr>
              <w:spacing w:after="0"/>
              <w:rPr>
                <w:sz w:val="17"/>
                <w:szCs w:val="17"/>
                <w:color w:val="auto"/>
              </w:rPr>
            </w:pP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159,504</w:t>
            </w:r>
          </w:p>
        </w:tc>
        <w:tc>
          <w:tcPr>
            <w:tcW w:w="280" w:type="dxa"/>
            <w:vAlign w:val="bottom"/>
          </w:tcPr>
          <w:p>
            <w:pPr>
              <w:spacing w:after="0"/>
              <w:rPr>
                <w:sz w:val="17"/>
                <w:szCs w:val="17"/>
                <w:color w:val="auto"/>
              </w:rPr>
            </w:pPr>
          </w:p>
        </w:tc>
      </w:tr>
      <w:tr>
        <w:trPr>
          <w:trHeight w:val="203"/>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141,143</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29,979</w:t>
            </w:r>
          </w:p>
        </w:tc>
        <w:tc>
          <w:tcPr>
            <w:tcW w:w="280" w:type="dxa"/>
            <w:vAlign w:val="bottom"/>
            <w:shd w:val="clear" w:color="auto" w:fill="CCEEFF"/>
          </w:tcPr>
          <w:p>
            <w:pPr>
              <w:spacing w:after="0"/>
              <w:rPr>
                <w:sz w:val="17"/>
                <w:szCs w:val="17"/>
                <w:color w:val="auto"/>
              </w:rPr>
            </w:pPr>
          </w:p>
        </w:tc>
      </w:tr>
      <w:tr>
        <w:trPr>
          <w:trHeight w:val="196"/>
        </w:trPr>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454,676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189,483</w:t>
            </w:r>
          </w:p>
        </w:tc>
        <w:tc>
          <w:tcPr>
            <w:tcW w:w="280" w:type="dxa"/>
            <w:vAlign w:val="bottom"/>
          </w:tcPr>
          <w:p>
            <w:pPr>
              <w:spacing w:after="0"/>
              <w:rPr>
                <w:sz w:val="17"/>
                <w:szCs w:val="17"/>
                <w:color w:val="auto"/>
              </w:rPr>
            </w:pPr>
          </w:p>
        </w:tc>
      </w:tr>
      <w:tr>
        <w:trPr>
          <w:trHeight w:val="20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230,687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85,519</w:t>
            </w:r>
          </w:p>
        </w:tc>
        <w:tc>
          <w:tcPr>
            <w:tcW w:w="280" w:type="dxa"/>
            <w:vAlign w:val="bottom"/>
          </w:tcPr>
          <w:p>
            <w:pPr>
              <w:spacing w:after="0"/>
              <w:rPr>
                <w:sz w:val="17"/>
                <w:szCs w:val="17"/>
                <w:color w:val="auto"/>
              </w:rPr>
            </w:pPr>
          </w:p>
        </w:tc>
      </w:tr>
      <w:tr>
        <w:trPr>
          <w:trHeight w:val="203"/>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128,871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22,497</w:t>
            </w:r>
          </w:p>
        </w:tc>
        <w:tc>
          <w:tcPr>
            <w:tcW w:w="280" w:type="dxa"/>
            <w:vAlign w:val="bottom"/>
            <w:shd w:val="clear" w:color="auto" w:fill="CCEEFF"/>
          </w:tcPr>
          <w:p>
            <w:pPr>
              <w:spacing w:after="0"/>
              <w:rPr>
                <w:sz w:val="17"/>
                <w:szCs w:val="17"/>
                <w:color w:val="auto"/>
              </w:rPr>
            </w:pPr>
          </w:p>
        </w:tc>
      </w:tr>
      <w:tr>
        <w:trPr>
          <w:trHeight w:val="196"/>
        </w:trPr>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359,558</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108,016</w:t>
            </w:r>
          </w:p>
        </w:tc>
        <w:tc>
          <w:tcPr>
            <w:tcW w:w="280" w:type="dxa"/>
            <w:vAlign w:val="bottom"/>
          </w:tcPr>
          <w:p>
            <w:pPr>
              <w:spacing w:after="0"/>
              <w:rPr>
                <w:sz w:val="17"/>
                <w:szCs w:val="17"/>
                <w:color w:val="auto"/>
              </w:rPr>
            </w:pPr>
          </w:p>
        </w:tc>
      </w:tr>
      <w:tr>
        <w:trPr>
          <w:trHeight w:val="20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 sales</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82,846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73,985</w:t>
            </w:r>
          </w:p>
        </w:tc>
        <w:tc>
          <w:tcPr>
            <w:tcW w:w="280" w:type="dxa"/>
            <w:vAlign w:val="bottom"/>
          </w:tcPr>
          <w:p>
            <w:pPr>
              <w:spacing w:after="0"/>
              <w:rPr>
                <w:sz w:val="17"/>
                <w:szCs w:val="17"/>
                <w:color w:val="auto"/>
              </w:rPr>
            </w:pPr>
          </w:p>
        </w:tc>
      </w:tr>
      <w:tr>
        <w:trPr>
          <w:trHeight w:val="203"/>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Contract services</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7,482</w:t>
            </w:r>
          </w:p>
        </w:tc>
        <w:tc>
          <w:tcPr>
            <w:tcW w:w="280" w:type="dxa"/>
            <w:vAlign w:val="bottom"/>
            <w:shd w:val="clear" w:color="auto" w:fill="CCEEFF"/>
          </w:tcPr>
          <w:p>
            <w:pPr>
              <w:spacing w:after="0"/>
              <w:rPr>
                <w:sz w:val="17"/>
                <w:szCs w:val="17"/>
                <w:color w:val="auto"/>
              </w:rPr>
            </w:pPr>
          </w:p>
        </w:tc>
      </w:tr>
      <w:tr>
        <w:trPr>
          <w:trHeight w:val="196"/>
        </w:trPr>
        <w:tc>
          <w:tcPr>
            <w:tcW w:w="6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95,118</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81,467</w:t>
            </w:r>
          </w:p>
        </w:tc>
        <w:tc>
          <w:tcPr>
            <w:tcW w:w="280" w:type="dxa"/>
            <w:vAlign w:val="bottom"/>
            <w:tcBorders>
              <w:bottom w:val="single" w:sz="8" w:color="CCEEFF"/>
            </w:tcBorders>
          </w:tcPr>
          <w:p>
            <w:pPr>
              <w:spacing w:after="0"/>
              <w:rPr>
                <w:sz w:val="17"/>
                <w:szCs w:val="17"/>
                <w:color w:val="auto"/>
              </w:rPr>
            </w:pPr>
          </w:p>
        </w:tc>
      </w:tr>
      <w:tr>
        <w:trPr>
          <w:trHeight w:val="19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131,276</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33,795</w:t>
            </w:r>
          </w:p>
        </w:tc>
        <w:tc>
          <w:tcPr>
            <w:tcW w:w="280" w:type="dxa"/>
            <w:vAlign w:val="bottom"/>
            <w:shd w:val="clear" w:color="auto" w:fill="CCEEFF"/>
          </w:tcPr>
          <w:p>
            <w:pPr>
              <w:spacing w:after="0"/>
              <w:rPr>
                <w:sz w:val="17"/>
                <w:szCs w:val="17"/>
                <w:color w:val="auto"/>
              </w:rPr>
            </w:pPr>
          </w:p>
        </w:tc>
      </w:tr>
      <w:tr>
        <w:trPr>
          <w:trHeight w:val="203"/>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33,114</w:t>
            </w: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24,613</w:t>
            </w:r>
          </w:p>
        </w:tc>
        <w:tc>
          <w:tcPr>
            <w:tcW w:w="280" w:type="dxa"/>
            <w:vAlign w:val="bottom"/>
            <w:tcBorders>
              <w:bottom w:val="single" w:sz="8" w:color="CCEEFF"/>
            </w:tcBorders>
          </w:tcPr>
          <w:p>
            <w:pPr>
              <w:spacing w:after="0"/>
              <w:rPr>
                <w:sz w:val="17"/>
                <w:szCs w:val="17"/>
                <w:color w:val="auto"/>
              </w:rPr>
            </w:pPr>
          </w:p>
        </w:tc>
      </w:tr>
      <w:tr>
        <w:trPr>
          <w:trHeight w:val="19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from operations</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(69,272)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23,059</w:t>
            </w:r>
          </w:p>
        </w:tc>
        <w:tc>
          <w:tcPr>
            <w:tcW w:w="280" w:type="dxa"/>
            <w:vAlign w:val="bottom"/>
            <w:shd w:val="clear" w:color="auto" w:fill="CCEEFF"/>
          </w:tcPr>
          <w:p>
            <w:pPr>
              <w:spacing w:after="0"/>
              <w:rPr>
                <w:sz w:val="17"/>
                <w:szCs w:val="17"/>
                <w:color w:val="auto"/>
              </w:rPr>
            </w:pPr>
          </w:p>
        </w:tc>
      </w:tr>
      <w:tr>
        <w:trPr>
          <w:trHeight w:val="20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Other (loss) income: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2"/>
        </w:trPr>
        <w:tc>
          <w:tcPr>
            <w:tcW w:w="6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(17,415)</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(239)</w:t>
            </w:r>
          </w:p>
        </w:tc>
      </w:tr>
      <w:tr>
        <w:trPr>
          <w:trHeight w:val="203"/>
        </w:trPr>
        <w:tc>
          <w:tcPr>
            <w:tcW w:w="6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(234)</w:t>
            </w:r>
          </w:p>
        </w:tc>
      </w:tr>
      <w:tr>
        <w:trPr>
          <w:trHeight w:val="196"/>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income before income taxes</w:t>
            </w: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(84,326)</w:t>
            </w: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22,586</w:t>
            </w:r>
          </w:p>
        </w:tc>
        <w:tc>
          <w:tcPr>
            <w:tcW w:w="280" w:type="dxa"/>
            <w:vAlign w:val="bottom"/>
            <w:tcBorders>
              <w:top w:val="single" w:sz="8" w:color="CCEEFF"/>
            </w:tcBorders>
            <w:shd w:val="clear" w:color="auto" w:fill="CCEEFF"/>
          </w:tcPr>
          <w:p>
            <w:pPr>
              <w:spacing w:after="0"/>
              <w:rPr>
                <w:sz w:val="17"/>
                <w:szCs w:val="17"/>
                <w:color w:val="auto"/>
              </w:rPr>
            </w:pPr>
          </w:p>
        </w:tc>
      </w:tr>
      <w:tr>
        <w:trPr>
          <w:trHeight w:val="20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(Benefit from) provision for income taxes</w:t>
            </w:r>
          </w:p>
        </w:tc>
        <w:tc>
          <w:tcPr>
            <w:tcW w:w="16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(15,169)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280" w:type="dxa"/>
            <w:vAlign w:val="bottom"/>
          </w:tcPr>
          <w:p>
            <w:pPr>
              <w:spacing w:after="0"/>
              <w:rPr>
                <w:sz w:val="17"/>
                <w:szCs w:val="17"/>
                <w:color w:val="auto"/>
              </w:rPr>
            </w:pPr>
          </w:p>
        </w:tc>
      </w:tr>
      <w:tr>
        <w:trPr>
          <w:trHeight w:val="20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method investment income, net of tax</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80" w:type="dxa"/>
            <w:vAlign w:val="bottom"/>
            <w:shd w:val="clear" w:color="auto" w:fill="CCEEFF"/>
          </w:tcPr>
          <w:p>
            <w:pPr>
              <w:spacing w:after="0"/>
              <w:rPr>
                <w:sz w:val="17"/>
                <w:szCs w:val="17"/>
                <w:color w:val="auto"/>
              </w:rPr>
            </w:pPr>
          </w:p>
        </w:tc>
      </w:tr>
      <w:tr>
        <w:trPr>
          <w:trHeight w:val="23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(67,370)</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21,166</w:t>
            </w:r>
          </w:p>
        </w:tc>
        <w:tc>
          <w:tcPr>
            <w:tcW w:w="280" w:type="dxa"/>
            <w:vAlign w:val="bottom"/>
            <w:tcBorders>
              <w:bottom w:val="single" w:sz="8" w:color="CCEEFF"/>
            </w:tcBorders>
          </w:tcPr>
          <w:p>
            <w:pPr>
              <w:spacing w:after="0"/>
              <w:rPr>
                <w:sz w:val="20"/>
                <w:szCs w:val="20"/>
                <w:color w:val="auto"/>
              </w:rPr>
            </w:pPr>
          </w:p>
        </w:tc>
      </w:tr>
      <w:tr>
        <w:trPr>
          <w:trHeight w:val="183"/>
        </w:trPr>
        <w:tc>
          <w:tcPr>
            <w:tcW w:w="640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(loss) income per share</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203"/>
        </w:trPr>
        <w:tc>
          <w:tcPr>
            <w:tcW w:w="6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(1.44)</w:t>
            </w:r>
          </w:p>
        </w:tc>
        <w:tc>
          <w:tcPr>
            <w:tcW w:w="2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280" w:type="dxa"/>
            <w:vAlign w:val="bottom"/>
          </w:tcPr>
          <w:p>
            <w:pPr>
              <w:spacing w:after="0"/>
              <w:rPr>
                <w:sz w:val="17"/>
                <w:szCs w:val="17"/>
                <w:color w:val="auto"/>
              </w:rPr>
            </w:pPr>
          </w:p>
        </w:tc>
      </w:tr>
      <w:tr>
        <w:trPr>
          <w:trHeight w:val="203"/>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(1.44)</w:t>
            </w:r>
          </w:p>
        </w:tc>
        <w:tc>
          <w:tcPr>
            <w:tcW w:w="2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280" w:type="dxa"/>
            <w:vAlign w:val="bottom"/>
            <w:shd w:val="clear" w:color="auto" w:fill="CCEEFF"/>
          </w:tcPr>
          <w:p>
            <w:pPr>
              <w:spacing w:after="0"/>
              <w:rPr>
                <w:sz w:val="17"/>
                <w:szCs w:val="17"/>
                <w:color w:val="auto"/>
              </w:rPr>
            </w:pPr>
          </w:p>
        </w:tc>
      </w:tr>
      <w:tr>
        <w:trPr>
          <w:trHeight w:val="203"/>
        </w:trPr>
        <w:tc>
          <w:tcPr>
            <w:tcW w:w="64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46,882,350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27,959,692</w:t>
            </w:r>
          </w:p>
        </w:tc>
        <w:tc>
          <w:tcPr>
            <w:tcW w:w="280" w:type="dxa"/>
            <w:vAlign w:val="bottom"/>
            <w:shd w:val="clear" w:color="auto" w:fill="CCEEFF"/>
          </w:tcPr>
          <w:p>
            <w:pPr>
              <w:spacing w:after="0"/>
              <w:rPr>
                <w:sz w:val="17"/>
                <w:szCs w:val="17"/>
                <w:color w:val="auto"/>
              </w:rPr>
            </w:pPr>
          </w:p>
        </w:tc>
      </w:tr>
      <w:tr>
        <w:trPr>
          <w:trHeight w:val="210"/>
        </w:trPr>
        <w:tc>
          <w:tcPr>
            <w:tcW w:w="6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46,882,350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28,281,827</w:t>
            </w:r>
          </w:p>
        </w:tc>
        <w:tc>
          <w:tcPr>
            <w:tcW w:w="280" w:type="dxa"/>
            <w:vAlign w:val="bottom"/>
          </w:tcPr>
          <w:p>
            <w:pPr>
              <w:spacing w:after="0"/>
              <w:rPr>
                <w:sz w:val="18"/>
                <w:szCs w:val="18"/>
                <w:color w:val="auto"/>
              </w:rPr>
            </w:pPr>
          </w:p>
        </w:tc>
      </w:tr>
    </w:tbl>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64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8"/>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140" w:type="dxa"/>
            <w:vAlign w:val="bottom"/>
          </w:tcPr>
          <w:p>
            <w:pPr>
              <w:spacing w:after="0"/>
              <w:rPr>
                <w:sz w:val="10"/>
                <w:szCs w:val="10"/>
                <w:color w:val="auto"/>
              </w:rPr>
            </w:pPr>
          </w:p>
        </w:tc>
      </w:tr>
      <w:tr>
        <w:trPr>
          <w:trHeight w:val="173"/>
        </w:trPr>
        <w:tc>
          <w:tcPr>
            <w:tcW w:w="6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21,166</w:t>
            </w:r>
          </w:p>
        </w:tc>
        <w:tc>
          <w:tcPr>
            <w:tcW w:w="14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shd w:val="clear" w:color="auto" w:fill="CCEEFF"/>
          </w:tcPr>
          <w:p>
            <w:pPr>
              <w:spacing w:after="0"/>
              <w:rPr>
                <w:sz w:val="18"/>
                <w:szCs w:val="18"/>
                <w:color w:val="auto"/>
              </w:rPr>
            </w:pPr>
          </w:p>
        </w:tc>
      </w:tr>
      <w:tr>
        <w:trPr>
          <w:trHeight w:val="20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(66,731)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21,704</w:t>
            </w:r>
          </w:p>
        </w:tc>
        <w:tc>
          <w:tcPr>
            <w:tcW w:w="140" w:type="dxa"/>
            <w:vAlign w:val="bottom"/>
          </w:tcPr>
          <w:p>
            <w:pPr>
              <w:spacing w:after="0"/>
              <w:rPr>
                <w:sz w:val="18"/>
                <w:szCs w:val="18"/>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August 2, 2025 and July 27, 2024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840" w:type="dxa"/>
            <w:vAlign w:val="bottom"/>
          </w:tcPr>
          <w:p>
            <w:pPr>
              <w:spacing w:after="0"/>
              <w:rPr>
                <w:sz w:val="11"/>
                <w:szCs w:val="11"/>
                <w:color w:val="auto"/>
              </w:rPr>
            </w:pPr>
          </w:p>
        </w:tc>
        <w:tc>
          <w:tcPr>
            <w:tcW w:w="740" w:type="dxa"/>
            <w:vAlign w:val="bottom"/>
          </w:tcPr>
          <w:p>
            <w:pPr>
              <w:jc w:val="right"/>
              <w:ind w:right="13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10"/>
              <w:spacing w:after="0" w:line="129" w:lineRule="exact"/>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38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April 30, 2025</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28,267,517</w:t>
            </w:r>
          </w:p>
        </w:tc>
        <w:tc>
          <w:tcPr>
            <w:tcW w:w="1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618,711</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$ 274,306</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(6,514)</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886,507</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(67,370)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(67,370)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Employee stock purchase plan contributions</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18,555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2,467</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173,025</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(2,590)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4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(7,516)</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(10,786)</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(10,786)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17,425,849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2,637,345</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2,637,347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Shares issued, net of issuance costs</w:t>
            </w: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4,057,460</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966,846</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966,846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11,429</w:t>
            </w:r>
          </w:p>
        </w:tc>
        <w:tc>
          <w:tcPr>
            <w:tcW w:w="1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August 2, 2025</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49,932,300</w:t>
            </w: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4,226,012</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$ 206,936</w:t>
            </w:r>
          </w:p>
        </w:tc>
        <w:tc>
          <w:tcPr>
            <w:tcW w:w="1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(5,875)</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4,427,079</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3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40" w:type="dxa"/>
            <w:vAlign w:val="bottom"/>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April 30, 2024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28,134,438</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597,646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$ 230,687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(5,592)</w:t>
            </w: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822,745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21,166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 options exercised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stock awards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69,522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Restricted stock awards forfeited</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3840" w:type="dxa"/>
            <w:vAlign w:val="bottom"/>
            <w:shd w:val="clear" w:color="auto" w:fill="CCEEFF"/>
          </w:tcPr>
          <w:p>
            <w:pPr>
              <w:ind w:left="220"/>
              <w:spacing w:after="0" w:line="126" w:lineRule="exact"/>
              <w:rPr>
                <w:sz w:val="20"/>
                <w:szCs w:val="20"/>
                <w:color w:val="auto"/>
              </w:rPr>
            </w:pPr>
            <w:r>
              <w:rPr>
                <w:rFonts w:ascii="Times New Roman" w:cs="Times New Roman" w:eastAsia="Times New Roman" w:hAnsi="Times New Roman"/>
                <w:sz w:val="14"/>
                <w:szCs w:val="14"/>
                <w:color w:val="auto"/>
              </w:rPr>
              <w:t>Tax withholding payment related to net share settlement of</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(11,450)</w:t>
            </w: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 awards</w:t>
            </w:r>
          </w:p>
        </w:tc>
        <w:tc>
          <w:tcPr>
            <w:tcW w:w="7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Stock based compensation</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July 27, 2024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28,206,480</w:t>
            </w: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598,735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$ 251,853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(5,054)</w:t>
            </w:r>
          </w:p>
        </w:tc>
        <w:tc>
          <w:tcPr>
            <w:tcW w:w="26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845,538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AeroVironment, Inc.</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 (Unaudited)</w:t>
      </w:r>
    </w:p>
    <w:p>
      <w:pPr>
        <w:spacing w:after="0" w:line="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5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288"/>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180" w:type="dxa"/>
            <w:vAlign w:val="bottom"/>
          </w:tcPr>
          <w:p>
            <w:pPr>
              <w:spacing w:after="0"/>
              <w:rPr>
                <w:sz w:val="10"/>
                <w:szCs w:val="10"/>
                <w:color w:val="auto"/>
              </w:rPr>
            </w:pPr>
          </w:p>
        </w:tc>
      </w:tr>
      <w:tr>
        <w:trPr>
          <w:trHeight w:val="173"/>
        </w:trPr>
        <w:tc>
          <w:tcPr>
            <w:tcW w:w="5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income</w:t>
            </w:r>
          </w:p>
        </w:tc>
        <w:tc>
          <w:tcPr>
            <w:tcW w:w="58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(67,370)</w:t>
            </w:r>
          </w:p>
        </w:tc>
        <w:tc>
          <w:tcPr>
            <w:tcW w:w="3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21,166</w:t>
            </w:r>
          </w:p>
        </w:tc>
        <w:tc>
          <w:tcPr>
            <w:tcW w:w="180" w:type="dxa"/>
            <w:vAlign w:val="bottom"/>
          </w:tcPr>
          <w:p>
            <w:pPr>
              <w:spacing w:after="0"/>
              <w:rPr>
                <w:sz w:val="12"/>
                <w:szCs w:val="12"/>
                <w:color w:val="auto"/>
              </w:rPr>
            </w:pPr>
          </w:p>
        </w:tc>
      </w:tr>
      <w:tr>
        <w:trPr>
          <w:trHeight w:val="149"/>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income to cash (used in) provided by operating activities: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90,254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8,852</w:t>
            </w:r>
          </w:p>
        </w:tc>
        <w:tc>
          <w:tcPr>
            <w:tcW w:w="180" w:type="dxa"/>
            <w:vAlign w:val="bottom"/>
          </w:tcPr>
          <w:p>
            <w:pPr>
              <w:spacing w:after="0"/>
              <w:rPr>
                <w:sz w:val="12"/>
                <w:szCs w:val="12"/>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from equity method investments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(1,787)</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(65)</w:t>
            </w:r>
          </w:p>
        </w:tc>
      </w:tr>
      <w:tr>
        <w:trPr>
          <w:trHeight w:val="148"/>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180" w:type="dxa"/>
            <w:vAlign w:val="bottom"/>
          </w:tcPr>
          <w:p>
            <w:pPr>
              <w:spacing w:after="0"/>
              <w:rPr>
                <w:sz w:val="12"/>
                <w:szCs w:val="12"/>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Provision for credit losses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(101)</w:t>
            </w:r>
          </w:p>
        </w:tc>
      </w:tr>
      <w:tr>
        <w:trPr>
          <w:trHeight w:val="149"/>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Reserve for inventory excess and obsolescence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2,667</w:t>
            </w:r>
          </w:p>
        </w:tc>
        <w:tc>
          <w:tcPr>
            <w:tcW w:w="180" w:type="dxa"/>
            <w:vAlign w:val="bottom"/>
          </w:tcPr>
          <w:p>
            <w:pPr>
              <w:spacing w:after="0"/>
              <w:rPr>
                <w:sz w:val="12"/>
                <w:szCs w:val="12"/>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non-cash expense, net</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616</w:t>
            </w:r>
          </w:p>
        </w:tc>
        <w:tc>
          <w:tcPr>
            <w:tcW w:w="180" w:type="dxa"/>
            <w:vAlign w:val="bottom"/>
            <w:shd w:val="clear" w:color="auto" w:fill="CCEEFF"/>
          </w:tcPr>
          <w:p>
            <w:pPr>
              <w:spacing w:after="0"/>
              <w:rPr>
                <w:sz w:val="12"/>
                <w:szCs w:val="12"/>
                <w:color w:val="auto"/>
              </w:rPr>
            </w:pPr>
          </w:p>
        </w:tc>
      </w:tr>
      <w:tr>
        <w:trPr>
          <w:trHeight w:val="148"/>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2,430</w:t>
            </w:r>
          </w:p>
        </w:tc>
        <w:tc>
          <w:tcPr>
            <w:tcW w:w="180" w:type="dxa"/>
            <w:vAlign w:val="bottom"/>
          </w:tcPr>
          <w:p>
            <w:pPr>
              <w:spacing w:after="0"/>
              <w:rPr>
                <w:sz w:val="12"/>
                <w:szCs w:val="12"/>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foreign currency transactions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80" w:type="dxa"/>
            <w:vAlign w:val="bottom"/>
            <w:shd w:val="clear" w:color="auto" w:fill="CCEEFF"/>
          </w:tcPr>
          <w:p>
            <w:pPr>
              <w:spacing w:after="0"/>
              <w:rPr>
                <w:sz w:val="12"/>
                <w:szCs w:val="12"/>
                <w:color w:val="auto"/>
              </w:rPr>
            </w:pPr>
          </w:p>
        </w:tc>
      </w:tr>
      <w:tr>
        <w:trPr>
          <w:trHeight w:val="148"/>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Unrealized (gain) loss on available-for-sale equity securities, net</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(2,702)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321</w:t>
            </w:r>
          </w:p>
        </w:tc>
        <w:tc>
          <w:tcPr>
            <w:tcW w:w="180" w:type="dxa"/>
            <w:vAlign w:val="bottom"/>
          </w:tcPr>
          <w:p>
            <w:pPr>
              <w:spacing w:after="0"/>
              <w:rPr>
                <w:sz w:val="12"/>
                <w:szCs w:val="12"/>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w:t>
            </w:r>
          </w:p>
        </w:tc>
      </w:tr>
      <w:tr>
        <w:trPr>
          <w:trHeight w:val="149"/>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4,536</w:t>
            </w:r>
          </w:p>
        </w:tc>
        <w:tc>
          <w:tcPr>
            <w:tcW w:w="180" w:type="dxa"/>
            <w:vAlign w:val="bottom"/>
          </w:tcPr>
          <w:p>
            <w:pPr>
              <w:spacing w:after="0"/>
              <w:rPr>
                <w:sz w:val="12"/>
                <w:szCs w:val="12"/>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Loss on disposal of property and equipment</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180" w:type="dxa"/>
            <w:vAlign w:val="bottom"/>
            <w:shd w:val="clear" w:color="auto" w:fill="CCEEFF"/>
          </w:tcPr>
          <w:p>
            <w:pPr>
              <w:spacing w:after="0"/>
              <w:rPr>
                <w:sz w:val="12"/>
                <w:szCs w:val="12"/>
                <w:color w:val="auto"/>
              </w:rPr>
            </w:pPr>
          </w:p>
        </w:tc>
      </w:tr>
      <w:tr>
        <w:trPr>
          <w:trHeight w:val="148"/>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57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(15,693)</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34,993</w:t>
            </w:r>
          </w:p>
        </w:tc>
        <w:tc>
          <w:tcPr>
            <w:tcW w:w="180" w:type="dxa"/>
            <w:vAlign w:val="bottom"/>
            <w:shd w:val="clear" w:color="auto" w:fill="CCEEFF"/>
          </w:tcPr>
          <w:p>
            <w:pPr>
              <w:spacing w:after="0"/>
              <w:rPr>
                <w:sz w:val="12"/>
                <w:szCs w:val="12"/>
                <w:color w:val="auto"/>
              </w:rPr>
            </w:pPr>
          </w:p>
        </w:tc>
      </w:tr>
      <w:tr>
        <w:trPr>
          <w:trHeight w:val="148"/>
        </w:trPr>
        <w:tc>
          <w:tcPr>
            <w:tcW w:w="57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Unbilled receivables and retentions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(74,510)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(20,274)</w:t>
            </w:r>
          </w:p>
        </w:tc>
      </w:tr>
      <w:tr>
        <w:trPr>
          <w:trHeight w:val="149"/>
        </w:trPr>
        <w:tc>
          <w:tcPr>
            <w:tcW w:w="57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(12,704)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3,867</w:t>
            </w:r>
          </w:p>
        </w:tc>
        <w:tc>
          <w:tcPr>
            <w:tcW w:w="180" w:type="dxa"/>
            <w:vAlign w:val="bottom"/>
            <w:shd w:val="clear" w:color="auto" w:fill="CCEEFF"/>
          </w:tcPr>
          <w:p>
            <w:pPr>
              <w:spacing w:after="0"/>
              <w:rPr>
                <w:sz w:val="12"/>
                <w:szCs w:val="12"/>
                <w:color w:val="auto"/>
              </w:rPr>
            </w:pPr>
          </w:p>
        </w:tc>
      </w:tr>
      <w:tr>
        <w:trPr>
          <w:trHeight w:val="148"/>
        </w:trPr>
        <w:tc>
          <w:tcPr>
            <w:tcW w:w="57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Income taxes receivable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(16,390)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(336)</w:t>
            </w:r>
          </w:p>
        </w:tc>
      </w:tr>
      <w:tr>
        <w:trPr>
          <w:trHeight w:val="148"/>
        </w:trPr>
        <w:tc>
          <w:tcPr>
            <w:tcW w:w="57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(1,749)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(814)</w:t>
            </w:r>
          </w:p>
        </w:tc>
      </w:tr>
      <w:tr>
        <w:trPr>
          <w:trHeight w:val="148"/>
        </w:trPr>
        <w:tc>
          <w:tcPr>
            <w:tcW w:w="5760" w:type="dxa"/>
            <w:vAlign w:val="bottom"/>
          </w:tcPr>
          <w:p>
            <w:pPr>
              <w:ind w:left="3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(29,625)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(4,976)</w:t>
            </w:r>
          </w:p>
        </w:tc>
      </w:tr>
      <w:tr>
        <w:trPr>
          <w:trHeight w:val="148"/>
        </w:trPr>
        <w:tc>
          <w:tcPr>
            <w:tcW w:w="5760" w:type="dxa"/>
            <w:vAlign w:val="bottom"/>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(19,734)</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(25,081)</w:t>
            </w:r>
          </w:p>
        </w:tc>
      </w:tr>
      <w:tr>
        <w:trPr>
          <w:trHeight w:val="142"/>
        </w:trPr>
        <w:tc>
          <w:tcPr>
            <w:tcW w:w="5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(123,726)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28,351</w:t>
            </w:r>
          </w:p>
        </w:tc>
        <w:tc>
          <w:tcPr>
            <w:tcW w:w="180" w:type="dxa"/>
            <w:vAlign w:val="bottom"/>
          </w:tcPr>
          <w:p>
            <w:pPr>
              <w:spacing w:after="0"/>
              <w:rPr>
                <w:sz w:val="12"/>
                <w:szCs w:val="12"/>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and equipment</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(22,728)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(5,430)</w:t>
            </w:r>
          </w:p>
        </w:tc>
      </w:tr>
      <w:tr>
        <w:trPr>
          <w:trHeight w:val="149"/>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Contributions in equity method investments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(1,183)</w:t>
            </w: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capitalized software to be sold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(9,340)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Business acquisitions, net of cash acquired</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(844,580)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5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used in investing activities</w:t>
            </w: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(876,648)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(6,613)</w:t>
            </w:r>
          </w:p>
        </w:tc>
        <w:tc>
          <w:tcPr>
            <w:tcW w:w="180" w:type="dxa"/>
            <w:vAlign w:val="bottom"/>
          </w:tcPr>
          <w:p>
            <w:pPr>
              <w:spacing w:after="0"/>
              <w:rPr>
                <w:sz w:val="12"/>
                <w:szCs w:val="12"/>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term loan</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(700,000)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(10,500)</w:t>
            </w: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term loan</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693,202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Principal payments of revolver</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(265,000)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revolver, net of creditor costs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233,939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shares issued, net of underwriter costs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968,515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from convertible debt, net of underwriter costs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726,944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debt issuance costs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(2,445)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of equity issuance costs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(1,388)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Tax withholding payment related to net settlement of equity awards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(10,786)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(3,953)</w:t>
            </w: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Employee stock purchase plan contributions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180" w:type="dxa"/>
            <w:vAlign w:val="bottom"/>
          </w:tcPr>
          <w:p>
            <w:pPr>
              <w:spacing w:after="0"/>
              <w:rPr>
                <w:sz w:val="12"/>
                <w:szCs w:val="12"/>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w:t>
            </w:r>
          </w:p>
        </w:tc>
      </w:tr>
      <w:tr>
        <w:trPr>
          <w:trHeight w:val="142"/>
        </w:trPr>
        <w:tc>
          <w:tcPr>
            <w:tcW w:w="5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1,645,443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(13,954)</w:t>
            </w:r>
          </w:p>
        </w:tc>
        <w:tc>
          <w:tcPr>
            <w:tcW w:w="180" w:type="dxa"/>
            <w:vAlign w:val="bottom"/>
          </w:tcPr>
          <w:p>
            <w:pPr>
              <w:spacing w:after="0"/>
              <w:rPr>
                <w:sz w:val="12"/>
                <w:szCs w:val="12"/>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Effects of currency translation on cash and cash equivalents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180" w:type="dxa"/>
            <w:vAlign w:val="bottom"/>
            <w:shd w:val="clear" w:color="auto" w:fill="CCEEFF"/>
          </w:tcPr>
          <w:p>
            <w:pPr>
              <w:spacing w:after="0"/>
              <w:rPr>
                <w:sz w:val="12"/>
                <w:szCs w:val="12"/>
                <w:color w:val="auto"/>
              </w:rPr>
            </w:pPr>
          </w:p>
        </w:tc>
      </w:tr>
      <w:tr>
        <w:trPr>
          <w:trHeight w:val="142"/>
        </w:trPr>
        <w:tc>
          <w:tcPr>
            <w:tcW w:w="5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Net increase in cash and cash equivalents</w:t>
            </w: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644,941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7,861</w:t>
            </w:r>
          </w:p>
        </w:tc>
        <w:tc>
          <w:tcPr>
            <w:tcW w:w="180" w:type="dxa"/>
            <w:vAlign w:val="bottom"/>
          </w:tcPr>
          <w:p>
            <w:pPr>
              <w:spacing w:after="0"/>
              <w:rPr>
                <w:sz w:val="12"/>
                <w:szCs w:val="12"/>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4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40,862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73,301</w:t>
            </w:r>
          </w:p>
        </w:tc>
        <w:tc>
          <w:tcPr>
            <w:tcW w:w="180" w:type="dxa"/>
            <w:vAlign w:val="bottom"/>
            <w:shd w:val="clear" w:color="auto" w:fill="CCEEFF"/>
          </w:tcPr>
          <w:p>
            <w:pPr>
              <w:spacing w:after="0"/>
              <w:rPr>
                <w:sz w:val="12"/>
                <w:szCs w:val="12"/>
                <w:color w:val="auto"/>
              </w:rPr>
            </w:pPr>
          </w:p>
        </w:tc>
      </w:tr>
      <w:tr>
        <w:trPr>
          <w:trHeight w:val="182"/>
        </w:trPr>
        <w:tc>
          <w:tcPr>
            <w:tcW w:w="57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685,803</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81,162</w:t>
            </w:r>
          </w:p>
        </w:tc>
        <w:tc>
          <w:tcPr>
            <w:tcW w:w="180" w:type="dxa"/>
            <w:vAlign w:val="bottom"/>
            <w:tcBorders>
              <w:bottom w:val="single" w:sz="8" w:color="CCEEFF"/>
            </w:tcBorders>
          </w:tcPr>
          <w:p>
            <w:pPr>
              <w:spacing w:after="0"/>
              <w:rPr>
                <w:sz w:val="15"/>
                <w:szCs w:val="15"/>
                <w:color w:val="auto"/>
              </w:rPr>
            </w:pPr>
          </w:p>
        </w:tc>
      </w:tr>
      <w:tr>
        <w:trPr>
          <w:trHeight w:val="129"/>
        </w:trPr>
        <w:tc>
          <w:tcPr>
            <w:tcW w:w="57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paid, net during the period for:</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576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taxes</w:t>
            </w:r>
          </w:p>
        </w:tc>
        <w:tc>
          <w:tcPr>
            <w:tcW w:w="58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(223)</w:t>
            </w:r>
          </w:p>
        </w:tc>
        <w:tc>
          <w:tcPr>
            <w:tcW w:w="30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(101)</w:t>
            </w:r>
          </w:p>
        </w:tc>
      </w:tr>
      <w:tr>
        <w:trPr>
          <w:trHeight w:val="149"/>
        </w:trPr>
        <w:tc>
          <w:tcPr>
            <w:tcW w:w="576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w:t>
            </w:r>
          </w:p>
        </w:tc>
        <w:tc>
          <w:tcPr>
            <w:tcW w:w="58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11,854</w:t>
            </w:r>
          </w:p>
        </w:tc>
        <w:tc>
          <w:tcPr>
            <w:tcW w:w="80" w:type="dxa"/>
            <w:vAlign w:val="bottom"/>
          </w:tcPr>
          <w:p>
            <w:pPr>
              <w:spacing w:after="0"/>
              <w:rPr>
                <w:sz w:val="12"/>
                <w:szCs w:val="12"/>
                <w:color w:val="auto"/>
              </w:rPr>
            </w:pPr>
          </w:p>
        </w:tc>
        <w:tc>
          <w:tcPr>
            <w:tcW w:w="3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w:t>
            </w:r>
          </w:p>
        </w:tc>
        <w:tc>
          <w:tcPr>
            <w:tcW w:w="180" w:type="dxa"/>
            <w:vAlign w:val="bottom"/>
          </w:tcPr>
          <w:p>
            <w:pPr>
              <w:spacing w:after="0"/>
              <w:rPr>
                <w:sz w:val="12"/>
                <w:szCs w:val="12"/>
                <w:color w:val="auto"/>
              </w:rPr>
            </w:pPr>
          </w:p>
        </w:tc>
      </w:tr>
      <w:tr>
        <w:trPr>
          <w:trHeight w:val="148"/>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activities</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5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for business acquisition</w:t>
            </w:r>
          </w:p>
        </w:tc>
        <w:tc>
          <w:tcPr>
            <w:tcW w:w="58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2,640,365</w:t>
            </w:r>
          </w:p>
        </w:tc>
        <w:tc>
          <w:tcPr>
            <w:tcW w:w="80" w:type="dxa"/>
            <w:vAlign w:val="bottom"/>
          </w:tcPr>
          <w:p>
            <w:pPr>
              <w:spacing w:after="0"/>
              <w:rPr>
                <w:sz w:val="12"/>
                <w:szCs w:val="12"/>
                <w:color w:val="auto"/>
              </w:rPr>
            </w:pPr>
          </w:p>
        </w:tc>
        <w:tc>
          <w:tcPr>
            <w:tcW w:w="3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5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foreign currency translation adjustments</w:t>
            </w:r>
          </w:p>
        </w:tc>
        <w:tc>
          <w:tcPr>
            <w:tcW w:w="580" w:type="dxa"/>
            <w:vAlign w:val="bottom"/>
            <w:gridSpan w:val="2"/>
            <w:shd w:val="clear" w:color="auto" w:fill="CCEEFF"/>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639</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538</w:t>
            </w:r>
          </w:p>
        </w:tc>
        <w:tc>
          <w:tcPr>
            <w:tcW w:w="180" w:type="dxa"/>
            <w:vAlign w:val="bottom"/>
            <w:shd w:val="clear" w:color="auto" w:fill="CCEEFF"/>
          </w:tcPr>
          <w:p>
            <w:pPr>
              <w:spacing w:after="0"/>
              <w:rPr>
                <w:sz w:val="12"/>
                <w:szCs w:val="12"/>
                <w:color w:val="auto"/>
              </w:rPr>
            </w:pPr>
          </w:p>
        </w:tc>
      </w:tr>
      <w:tr>
        <w:trPr>
          <w:trHeight w:val="150"/>
        </w:trPr>
        <w:tc>
          <w:tcPr>
            <w:tcW w:w="5760" w:type="dxa"/>
            <w:vAlign w:val="bottom"/>
          </w:tcPr>
          <w:p>
            <w:pPr>
              <w:spacing w:after="0" w:line="150" w:lineRule="exact"/>
              <w:rPr>
                <w:sz w:val="20"/>
                <w:szCs w:val="20"/>
                <w:color w:val="auto"/>
              </w:rPr>
            </w:pPr>
            <w:r>
              <w:rPr>
                <w:rFonts w:ascii="Times New Roman" w:cs="Times New Roman" w:eastAsia="Times New Roman" w:hAnsi="Times New Roman"/>
                <w:sz w:val="14"/>
                <w:szCs w:val="14"/>
                <w:color w:val="auto"/>
              </w:rPr>
              <w:t>Acquisitions of property and equipment included in accounts payable</w:t>
            </w:r>
          </w:p>
        </w:tc>
        <w:tc>
          <w:tcPr>
            <w:tcW w:w="580" w:type="dxa"/>
            <w:vAlign w:val="bottom"/>
            <w:gridSpan w:val="2"/>
          </w:tcPr>
          <w:p>
            <w:pPr>
              <w:jc w:val="right"/>
              <w:ind w:right="63"/>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1,951</w:t>
            </w:r>
          </w:p>
        </w:tc>
        <w:tc>
          <w:tcPr>
            <w:tcW w:w="80" w:type="dxa"/>
            <w:vAlign w:val="bottom"/>
          </w:tcPr>
          <w:p>
            <w:pPr>
              <w:spacing w:after="0"/>
              <w:rPr>
                <w:sz w:val="13"/>
                <w:szCs w:val="13"/>
                <w:color w:val="auto"/>
              </w:rPr>
            </w:pPr>
          </w:p>
        </w:tc>
        <w:tc>
          <w:tcPr>
            <w:tcW w:w="300" w:type="dxa"/>
            <w:vAlign w:val="bottom"/>
            <w:gridSpan w:val="2"/>
          </w:tcPr>
          <w:p>
            <w:pPr>
              <w:jc w:val="right"/>
              <w:ind w:right="68"/>
              <w:spacing w:after="0" w:line="150"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1,208</w:t>
            </w:r>
          </w:p>
        </w:tc>
        <w:tc>
          <w:tcPr>
            <w:tcW w:w="180" w:type="dxa"/>
            <w:vAlign w:val="bottom"/>
          </w:tcPr>
          <w:p>
            <w:pPr>
              <w:spacing w:after="0"/>
              <w:rPr>
                <w:sz w:val="13"/>
                <w:szCs w:val="13"/>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AeroVironment,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 Organization and Significant Accounting Policies</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AeroVironment, Inc. (“AeroVironment”, “AV” or “the Company”), a Delaware corporation, is a defense technology provider delivering integrated capabilities across air, land, sea, space, and cyber. AV develops and deploys autonomous systems, precision strike systems, counter-UAS technologies, space-based platforms, directed energy systems, and cyber and electronic warfare capabilities. AV operates a national manufacturing footprint to deliver proven systems and capabilities whose markets offer the potential for significant long-term growth. In addition, the Company believes that some of the innovative potential products, services and technologies in its research and development (“R&amp;D”) pipeline will emerge as new growth platforms in the future, creating additional market opportunities.</w:t>
      </w:r>
    </w:p>
    <w:p>
      <w:pPr>
        <w:spacing w:after="0" w:line="189"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Effective May 1, 2025, the Company reorganized its segments. In connection with the Company’s acquisition of BlueHalo Financing Topco, LLC (“BlueHalo”), the reorganization was implemented to drive additional operational improvements, foster synergies and provide leaders with greater autonomy over their product lines. The Company’s reportable segments are as follows:</w:t>
      </w:r>
    </w:p>
    <w:p>
      <w:pPr>
        <w:spacing w:after="0" w:line="178"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i w:val="1"/>
          <w:iCs w:val="1"/>
          <w:color w:val="auto"/>
        </w:rPr>
        <w:t>Autonomous Systems (“AxS”)</w:t>
      </w:r>
      <w:r>
        <w:rPr>
          <w:rFonts w:ascii="Times New Roman" w:cs="Times New Roman" w:eastAsia="Times New Roman" w:hAnsi="Times New Roman"/>
          <w:sz w:val="18"/>
          <w:szCs w:val="18"/>
          <w:color w:val="auto"/>
        </w:rPr>
        <w:t>— The AxS segment focuses on the design, development, production, delivery, and support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intelligent, multi-domain robotic systems, including uncrewed aircraft systems (“UAS”) and ground robot systems. The segment includes the Company’s former Uncrewed Systems, Loitering Munitions Systems, and MacCready Works segments as well as Radio Frequency (“RF”) and Kinetic Counter-UAS (“C-UAS”), Electronic Warfare Systems (“EW”) and Unmanned Maritime products and services from the BlueHalo acquisition. It primarily serves organizations within or supplying the U.S. Department of Defense (“DoD”), other federal agencies, and international allied governments. This segment encompasses the Company’s core autonomous platforms, such as drones and robotic systems, tailored for mission-critical applications across air and ground domains.</w:t>
      </w:r>
    </w:p>
    <w:p>
      <w:pPr>
        <w:spacing w:after="0" w:line="185" w:lineRule="exact"/>
        <w:rPr>
          <w:sz w:val="20"/>
          <w:szCs w:val="20"/>
          <w:color w:val="auto"/>
        </w:rPr>
      </w:pPr>
    </w:p>
    <w:p>
      <w:pPr>
        <w:ind w:left="40" w:right="59"/>
        <w:spacing w:after="0" w:line="257" w:lineRule="auto"/>
        <w:rPr>
          <w:sz w:val="20"/>
          <w:szCs w:val="20"/>
          <w:color w:val="auto"/>
        </w:rPr>
      </w:pPr>
      <w:r>
        <w:rPr>
          <w:rFonts w:ascii="Times New Roman" w:cs="Times New Roman" w:eastAsia="Times New Roman" w:hAnsi="Times New Roman"/>
          <w:sz w:val="18"/>
          <w:szCs w:val="18"/>
          <w:i w:val="1"/>
          <w:iCs w:val="1"/>
          <w:color w:val="auto"/>
        </w:rPr>
        <w:t>Space, Cyber, and Directed Energy (“SCDE”)</w:t>
      </w:r>
      <w:r>
        <w:rPr>
          <w:rFonts w:ascii="Times New Roman" w:cs="Times New Roman" w:eastAsia="Times New Roman" w:hAnsi="Times New Roman"/>
          <w:sz w:val="18"/>
          <w:szCs w:val="18"/>
          <w:color w:val="auto"/>
        </w:rPr>
        <w:t>— The SCDE segment focuses on advanced technologies in the space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domain providing space-based and ground-based platforms, cyber capabilities, and directed energy systems. This segment positions the Company in high-growth areas of next-generation defense technology, addressing emerging threats and mission requirements in space, cyber warfare, and directed energy applications (e.g., high-energy lasers). It also primarily serves organizations within or supplying the U.S. Department of Defense (“DoD”), other federal agencies, and international allied governments.</w:t>
      </w: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months ended August 2, 2025 are not necessarily indicative of the results for the full year ending April 30, 2026. For further information, refer to the consolidated financial statements and footnotes thereto for the year ended April 30, 2025, included in the Company’s Annual Report on Form 10-K.</w:t>
      </w:r>
    </w:p>
    <w:p>
      <w:pPr>
        <w:spacing w:after="0" w:line="188"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unaudited condensed consolidated financial statements and accompanying notes. Actual results could differ from those estimates.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82"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include the assets, liabilities and operating results of wholly-owned subsidiaries. All intercompany accounts and transactions have been eliminated.</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Acquisitions</w:t>
      </w:r>
    </w:p>
    <w:p>
      <w:pPr>
        <w:spacing w:after="0" w:line="229"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On May 1, 2025, the Company closed its acquisition of BlueHalo, a Delaware limited liability company, pursuant to the Agreement and Plan of Merger, dated as of November 18, 2024 (the “Merger Agreement”) by and among AV, Archangel Merger Sub LLC, a Delaware limited liability company (“Merger Sub”), BlueHalo, and BlueHalo Holdings Parent, LLC, a Delaware limited liability company and sole member of BlueHalo (“Seller”). Refer to Note 17—Business Acquisitions for further details.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did not adopt any accounting standards during the three months ended August 2, 2025.</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ind w:left="40" w:right="139"/>
        <w:spacing w:after="0" w:line="266"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Specifically, the Company’s revenue disclosure of revenue by segment and the segment disclosures for prior periods have been recast to conform to the new segments and new measure of profitability.</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its customers. These contracts may be firm fixed price (“FFP”), cost plus award fee, and cost plus incentive fee (collectively “Cost Plus”), or time and materials (“T&amp;M”). The Company considers all such contracts to be within the scope of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29"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On August 2, 2025, the Company had approximately $1,066,423,000 of remaining performance obligations under fully funded contracts with its customers, which the Company also refers to as funded backlog. The Company currently expects to recognize approximately 80% of the remaining performance obligations as revenue in fiscal 2026 and the remaining 20% in fiscal 2027 or beyond.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29" w:lineRule="exact"/>
        <w:rPr>
          <w:sz w:val="20"/>
          <w:szCs w:val="20"/>
          <w:color w:val="auto"/>
        </w:rPr>
      </w:pPr>
    </w:p>
    <w:p>
      <w:pPr>
        <w:ind w:left="40" w:right="56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disaggregated by segment, contract type, customer category and geographic location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gridSpan w:val="10"/>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segment</w:t>
            </w: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76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AxS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285,324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SCDE</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169,352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CCEEFF"/>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454,676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gridSpan w:val="10"/>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contract type</w:t>
            </w:r>
          </w:p>
        </w:tc>
        <w:tc>
          <w:tcPr>
            <w:tcW w:w="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760" w:type="dxa"/>
            <w:vAlign w:val="bottom"/>
            <w:tcBorders>
              <w:bottom w:val="single" w:sz="8" w:color="CCEEFF"/>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FFP</w:t>
            </w: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298,977</w:t>
            </w:r>
          </w:p>
        </w:tc>
        <w:tc>
          <w:tcPr>
            <w:tcW w:w="220" w:type="dxa"/>
            <w:vAlign w:val="bottom"/>
            <w:gridSpan w:val="3"/>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171,869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Cost Plus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118,928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T&amp;M</w:t>
            </w:r>
          </w:p>
        </w:tc>
        <w:tc>
          <w:tcPr>
            <w:tcW w:w="6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36,771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454,676</w:t>
            </w:r>
          </w:p>
        </w:tc>
        <w:tc>
          <w:tcPr>
            <w:tcW w:w="220" w:type="dxa"/>
            <w:vAlign w:val="bottom"/>
            <w:gridSpan w:val="3"/>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189,483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40"/>
        <w:spacing w:after="0" w:line="258" w:lineRule="auto"/>
        <w:rPr>
          <w:sz w:val="20"/>
          <w:szCs w:val="20"/>
          <w:color w:val="auto"/>
        </w:rPr>
      </w:pPr>
      <w:r>
        <w:rPr>
          <w:rFonts w:ascii="Times New Roman" w:cs="Times New Roman" w:eastAsia="Times New Roman" w:hAnsi="Times New Roman"/>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Cost Plus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4"/>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by customer category</w:t>
            </w:r>
          </w:p>
        </w:tc>
        <w:tc>
          <w:tcPr>
            <w:tcW w:w="17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040" w:type="dxa"/>
            <w:vAlign w:val="bottom"/>
            <w:tcBorders>
              <w:bottom w:val="single" w:sz="8" w:color="CCEEFF"/>
            </w:tcBorders>
            <w:vMerge w:val="continue"/>
          </w:tcPr>
          <w:p>
            <w:pPr>
              <w:spacing w:after="0"/>
              <w:rPr>
                <w:sz w:val="15"/>
                <w:szCs w:val="15"/>
                <w:color w:val="auto"/>
              </w:rPr>
            </w:pPr>
          </w:p>
        </w:tc>
        <w:tc>
          <w:tcPr>
            <w:tcW w:w="17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395,337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Non-U.S. government</w:t>
            </w: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40,883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454,676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504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August 2,</w:t>
            </w:r>
          </w:p>
        </w:tc>
        <w:tc>
          <w:tcPr>
            <w:tcW w:w="2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center"/>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July 27,</w:t>
            </w: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location</w:t>
            </w: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107,537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122,485</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454,676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 percentage by recognition method</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0" w:type="dxa"/>
            <w:vAlign w:val="bottom"/>
          </w:tcPr>
          <w:p>
            <w:pPr>
              <w:spacing w:after="0"/>
              <w:rPr>
                <w:sz w:val="1"/>
                <w:szCs w:val="1"/>
                <w:color w:val="auto"/>
              </w:rPr>
            </w:pPr>
          </w:p>
        </w:tc>
      </w:tr>
      <w:tr>
        <w:trPr>
          <w:trHeight w:val="212"/>
        </w:trPr>
        <w:tc>
          <w:tcPr>
            <w:tcW w:w="5040" w:type="dxa"/>
            <w:vAlign w:val="bottom"/>
            <w:tcBorders>
              <w:bottom w:val="single" w:sz="8" w:color="CCEEFF"/>
            </w:tcBorders>
            <w:vMerge w:val="continue"/>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17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left="40" w:right="140"/>
        <w:spacing w:after="0" w:line="261" w:lineRule="auto"/>
        <w:rPr>
          <w:sz w:val="20"/>
          <w:szCs w:val="20"/>
          <w:color w:val="auto"/>
        </w:rPr>
      </w:pPr>
      <w:r>
        <w:rPr>
          <w:rFonts w:ascii="Times New Roman" w:cs="Times New Roman" w:eastAsia="Times New Roman" w:hAnsi="Times New Roman"/>
          <w:sz w:val="18"/>
          <w:szCs w:val="18"/>
          <w:color w:val="auto"/>
        </w:rPr>
        <w:t>Changes in the contract asset and liability balances during the three month period ended August 2, 2025 were not materially impacted by factors other than billings, cash collections, and timing of revenue recognition. For the Company’s contracts, there are no significant gaps between the receipt of payment and the transfer of the associated goods and services to the customer for material amounts of consideration.</w:t>
      </w:r>
    </w:p>
    <w:p>
      <w:pPr>
        <w:sectPr>
          <w:pgSz w:w="11900" w:h="16838" w:orient="portrait"/>
          <w:cols w:equalWidth="0" w:num="1">
            <w:col w:w="9060"/>
          </w:cols>
          <w:pgMar w:left="1440" w:top="513" w:right="1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type w:val="continuous"/>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0" w:right="179"/>
        <w:spacing w:after="0" w:line="266" w:lineRule="auto"/>
        <w:rPr>
          <w:sz w:val="20"/>
          <w:szCs w:val="20"/>
          <w:color w:val="auto"/>
        </w:rPr>
      </w:pPr>
      <w:r>
        <w:rPr>
          <w:rFonts w:ascii="Times New Roman" w:cs="Times New Roman" w:eastAsia="Times New Roman" w:hAnsi="Times New Roman"/>
          <w:sz w:val="18"/>
          <w:szCs w:val="18"/>
          <w:color w:val="auto"/>
        </w:rPr>
        <w:t>Revenue recognized for the three month period ended August 2, 2025 that was included in customer advances balances as of April 30, 2025 was $11,358,000. Revenue recognized for the three month period ended July 27, 2024 that was included in customer advances balances as of April 30, 2024 was $5,486,000.</w:t>
      </w:r>
    </w:p>
    <w:p>
      <w:pPr>
        <w:spacing w:after="0" w:line="1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16"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The Company’s investments are accounted for as available-for-sale and are reported at fair value. Unrealized gains and losses for debt securities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Investments in equity securities and warrants are measured at fair value with net unrealized gains and losses from changes in the fair value recognized in other expense, net. Management determines the appropriate classification of securities at the time of purchase and reevaluates such designation as of each balance sheet date.</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Fair Values of Financial Instruments</w:t>
      </w:r>
    </w:p>
    <w:p>
      <w:pPr>
        <w:spacing w:after="0" w:line="216" w:lineRule="exact"/>
        <w:rPr>
          <w:sz w:val="20"/>
          <w:szCs w:val="20"/>
          <w:color w:val="auto"/>
        </w:rPr>
      </w:pPr>
    </w:p>
    <w:p>
      <w:pPr>
        <w:ind w:left="40" w:right="359"/>
        <w:spacing w:after="0" w:line="282" w:lineRule="auto"/>
        <w:rPr>
          <w:sz w:val="20"/>
          <w:szCs w:val="20"/>
          <w:color w:val="auto"/>
        </w:rPr>
      </w:pPr>
      <w:r>
        <w:rPr>
          <w:rFonts w:ascii="Times New Roman" w:cs="Times New Roman" w:eastAsia="Times New Roman" w:hAnsi="Times New Roman"/>
          <w:sz w:val="18"/>
          <w:szCs w:val="18"/>
          <w:color w:val="auto"/>
        </w:rPr>
        <w:t>Fair values of cash and cash equivalents, accounts receivable, unbilled receivables and retentions, and accounts payable approximate cost due to the short period of time to maturity.</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Government Contracts</w:t>
      </w:r>
    </w:p>
    <w:p>
      <w:pPr>
        <w:spacing w:after="0" w:line="216"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Payments to the Company on government Cost Plus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Cost Plus and T&amp;M contracts.</w:t>
      </w:r>
    </w:p>
    <w:p>
      <w:pPr>
        <w:spacing w:after="0" w:line="183" w:lineRule="exact"/>
        <w:rPr>
          <w:sz w:val="20"/>
          <w:szCs w:val="20"/>
          <w:color w:val="auto"/>
        </w:rPr>
      </w:pPr>
    </w:p>
    <w:p>
      <w:pPr>
        <w:ind w:left="40" w:right="159"/>
        <w:spacing w:after="0" w:line="272" w:lineRule="auto"/>
        <w:rPr>
          <w:sz w:val="20"/>
          <w:szCs w:val="20"/>
          <w:color w:val="auto"/>
        </w:rPr>
      </w:pPr>
      <w:r>
        <w:rPr>
          <w:rFonts w:ascii="Times New Roman" w:cs="Times New Roman" w:eastAsia="Times New Roman" w:hAnsi="Times New Roman"/>
          <w:sz w:val="17"/>
          <w:szCs w:val="17"/>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estimated full year rates unless collectability is not reasonably assured. At August 2, 2025 and April 30, 2025, the Company had no reserve for incurred cost claim audits.</w:t>
      </w:r>
    </w:p>
    <w:p>
      <w:pPr>
        <w:spacing w:after="0" w:line="1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(Loss) Earnings Per Share</w:t>
      </w:r>
    </w:p>
    <w:p>
      <w:pPr>
        <w:spacing w:after="0" w:line="229" w:lineRule="exact"/>
        <w:rPr>
          <w:sz w:val="20"/>
          <w:szCs w:val="20"/>
          <w:color w:val="auto"/>
        </w:rPr>
      </w:pPr>
    </w:p>
    <w:p>
      <w:pPr>
        <w:ind w:left="40" w:right="199"/>
        <w:spacing w:after="0" w:line="282" w:lineRule="auto"/>
        <w:rPr>
          <w:sz w:val="20"/>
          <w:szCs w:val="20"/>
          <w:color w:val="auto"/>
        </w:rPr>
      </w:pPr>
      <w:r>
        <w:rPr>
          <w:rFonts w:ascii="Times New Roman" w:cs="Times New Roman" w:eastAsia="Times New Roman" w:hAnsi="Times New Roman"/>
          <w:sz w:val="18"/>
          <w:szCs w:val="18"/>
          <w:color w:val="auto"/>
        </w:rPr>
        <w:t>Basic (loss) earnings per share is computed using the weighted-average number of common shares outstanding, excluding shares of unvested restricted stock.</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reconciliation of basic to diluted shares is as follows (in thousands except share data):</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July 27, 2024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(67,370)</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21,166</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 for basic (loss) earnings per share: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46,882,350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27,959,692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Dilutive effect of employee stock options, restricted stock and restricted stock units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Denominator for diluted (loss) earnings per share</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46,882,350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28,281,827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63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6" w:lineRule="auto"/>
        <w:rPr>
          <w:sz w:val="20"/>
          <w:szCs w:val="20"/>
          <w:color w:val="auto"/>
        </w:rPr>
      </w:pPr>
      <w:r>
        <w:rPr>
          <w:rFonts w:ascii="Times New Roman" w:cs="Times New Roman" w:eastAsia="Times New Roman" w:hAnsi="Times New Roman"/>
          <w:sz w:val="18"/>
          <w:szCs w:val="18"/>
          <w:color w:val="auto"/>
        </w:rPr>
        <w:t>Due to the net loss for the three months ended August 2, 2025,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168,254 for the three months ended August 2, 2025. Potentially dilutive shares not included in the computation of diluted weighted-average common shares because their effect would have been anti-dilutive were 72 for the three months ended July 27, 2024.</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ind w:left="40" w:right="13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Income Tax Disclosures </w:t>
      </w:r>
      <w:r>
        <w:rPr>
          <w:rFonts w:ascii="Times New Roman" w:cs="Times New Roman" w:eastAsia="Times New Roman" w:hAnsi="Times New Roman"/>
          <w:sz w:val="18"/>
          <w:szCs w:val="18"/>
          <w:color w:val="auto"/>
        </w:rPr>
        <w:t>(“ASU 2023-09”). ASU 2023-09 requires updates to the rate reconciliation,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taxes paid and other disclosures. The new standard is effective for fiscal years beginning after December 15, 2024 and interim periods within fiscal years beginning after December 15, 2025, with early adoption permitted. ASU 2023-09 is adopted retrospectively. The Company is evaluating the potential impact of this adoption on its consolidated financial statements.</w:t>
      </w:r>
    </w:p>
    <w:p>
      <w:pPr>
        <w:spacing w:after="0" w:line="184" w:lineRule="exact"/>
        <w:rPr>
          <w:sz w:val="20"/>
          <w:szCs w:val="20"/>
          <w:color w:val="auto"/>
        </w:rPr>
      </w:pPr>
    </w:p>
    <w:p>
      <w:pPr>
        <w:ind w:left="40" w:right="179"/>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 Expense Disaggregation Disclosures (Subtopic 220-40): Disaggregation of Income Statement Expenses (“ASU 2024-03”). ASU 2024-03 requires disclosure, in the notes to financial statements, of specified information about certain costs and expenses included in each expense caption on the face of the income statement at interim and annual reporting periods. The new standard is effective for fiscal years beginning after December 15, 2026, and interim periods within fiscal years beginning after December 15, 2027, and should be applied either prospectively to financial statements issued for reporting periods after the effective date of this ASU or retrospectively to any or all prior periods presented in the financial statements. The Company is evaluating the potential impact of this adoption on its consolidated financial statements.</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2. Investments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0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gridSpan w:val="2"/>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securities and warrants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long-term available-for-sale securities investments</w:t>
            </w:r>
          </w:p>
        </w:tc>
        <w:tc>
          <w:tcPr>
            <w:tcW w:w="1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2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Investments in limited partnership funds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equity method investments</w:t>
            </w:r>
          </w:p>
        </w:tc>
        <w:tc>
          <w:tcPr>
            <w:tcW w:w="1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32,362</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36,267</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31,627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12</w:t>
            </w: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7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Equity Securities</w:t>
      </w:r>
    </w:p>
    <w:p>
      <w:pPr>
        <w:spacing w:after="0" w:line="229" w:lineRule="exact"/>
        <w:rPr>
          <w:sz w:val="20"/>
          <w:szCs w:val="20"/>
          <w:color w:val="auto"/>
        </w:rPr>
      </w:pPr>
    </w:p>
    <w:p>
      <w:pPr>
        <w:ind w:left="40" w:right="79"/>
        <w:spacing w:after="0" w:line="282" w:lineRule="auto"/>
        <w:rPr>
          <w:sz w:val="20"/>
          <w:szCs w:val="20"/>
          <w:color w:val="auto"/>
        </w:rPr>
      </w:pPr>
      <w:r>
        <w:rPr>
          <w:rFonts w:ascii="Times New Roman" w:cs="Times New Roman" w:eastAsia="Times New Roman" w:hAnsi="Times New Roman"/>
          <w:sz w:val="18"/>
          <w:szCs w:val="18"/>
          <w:color w:val="auto"/>
        </w:rPr>
        <w:t>Equity securities and warrants are measured at fair value with net unrealized gains and losses from changes in the fair value recognized in other expense, net. Unrealized gain (loss) recorded (in thousands):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August 2, 2025</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July 27, 2024</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(loss) recognized during the period on equity securities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198"/>
        </w:trPr>
        <w:tc>
          <w:tcPr>
            <w:tcW w:w="4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Net loss recognized during the period on equity securities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sold during the period</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47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Unrealized gain (loss) recognized during the period on equity</w:t>
            </w:r>
          </w:p>
        </w:tc>
        <w:tc>
          <w:tcPr>
            <w:tcW w:w="36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48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1"/>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still held at the reporting date</w:t>
            </w:r>
          </w:p>
        </w:tc>
        <w:tc>
          <w:tcPr>
            <w:tcW w:w="360" w:type="dxa"/>
            <w:vAlign w:val="bottom"/>
            <w:gridSpan w:val="2"/>
            <w:vMerge w:val="continue"/>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29"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76" w:lineRule="exact"/>
        <w:rPr>
          <w:sz w:val="20"/>
          <w:szCs w:val="20"/>
          <w:color w:val="auto"/>
        </w:rPr>
      </w:pPr>
    </w:p>
    <w:p>
      <w:pPr>
        <w:ind w:left="360" w:right="579" w:hanging="316"/>
        <w:spacing w:after="0" w:line="282"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to the valuation based upon quoted prices (unadjusted) for identical assets or liabilities in active markets that are accessible as of the measurement date.</w:t>
      </w:r>
    </w:p>
    <w:p>
      <w:pPr>
        <w:spacing w:after="0" w:line="161" w:lineRule="exact"/>
        <w:rPr>
          <w:rFonts w:ascii="Times New Roman" w:cs="Times New Roman" w:eastAsia="Times New Roman" w:hAnsi="Times New Roman"/>
          <w:sz w:val="18"/>
          <w:szCs w:val="18"/>
          <w:color w:val="auto"/>
        </w:rPr>
      </w:pPr>
    </w:p>
    <w:p>
      <w:pPr>
        <w:ind w:left="360" w:right="239" w:hanging="316"/>
        <w:spacing w:after="0" w:line="266" w:lineRule="auto"/>
        <w:tabs>
          <w:tab w:leader="none" w:pos="3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75" w:lineRule="exact"/>
        <w:rPr>
          <w:rFonts w:ascii="Times New Roman" w:cs="Times New Roman" w:eastAsia="Times New Roman" w:hAnsi="Times New Roman"/>
          <w:sz w:val="18"/>
          <w:szCs w:val="18"/>
          <w:color w:val="auto"/>
        </w:rPr>
      </w:pPr>
    </w:p>
    <w:p>
      <w:pPr>
        <w:ind w:left="340" w:hanging="296"/>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to the valuation that are unobservable inputs for the asset or liability.</w:t>
      </w:r>
    </w:p>
    <w:p>
      <w:pPr>
        <w:spacing w:after="0" w:line="225" w:lineRule="exact"/>
        <w:rPr>
          <w:sz w:val="20"/>
          <w:szCs w:val="20"/>
          <w:color w:val="auto"/>
        </w:rPr>
      </w:pPr>
    </w:p>
    <w:p>
      <w:pPr>
        <w:ind w:left="40" w:right="799"/>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August 2, 2025,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8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800" w:type="dxa"/>
            <w:vAlign w:val="bottom"/>
            <w:vMerge w:val="continue"/>
          </w:tcPr>
          <w:p>
            <w:pPr>
              <w:spacing w:after="0"/>
              <w:rPr>
                <w:sz w:val="15"/>
                <w:szCs w:val="15"/>
                <w:color w:val="auto"/>
              </w:rPr>
            </w:pPr>
          </w:p>
        </w:tc>
        <w:tc>
          <w:tcPr>
            <w:tcW w:w="2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2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2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8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8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had no financial liabilities measured at fair value on a recurring basis at August 2, 2025.</w:t>
      </w:r>
    </w:p>
    <w:p>
      <w:pPr>
        <w:spacing w:after="0" w:line="225" w:lineRule="exact"/>
        <w:rPr>
          <w:sz w:val="20"/>
          <w:szCs w:val="20"/>
          <w:color w:val="auto"/>
        </w:rPr>
      </w:pPr>
    </w:p>
    <w:p>
      <w:pPr>
        <w:ind w:left="40" w:right="859"/>
        <w:spacing w:after="0" w:line="282" w:lineRule="auto"/>
        <w:rPr>
          <w:sz w:val="20"/>
          <w:szCs w:val="20"/>
          <w:color w:val="auto"/>
        </w:rPr>
      </w:pPr>
      <w:r>
        <w:rPr>
          <w:rFonts w:ascii="Times New Roman" w:cs="Times New Roman" w:eastAsia="Times New Roman" w:hAnsi="Times New Roman"/>
          <w:sz w:val="18"/>
          <w:szCs w:val="18"/>
          <w:color w:val="auto"/>
        </w:rPr>
        <w:t>The Company’s financial assets measured at fair value on a recurring basis at April 30, 2025, were as follows (in thousands):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7"/>
          </w:tcPr>
          <w:p>
            <w:pPr>
              <w:ind w:left="840"/>
              <w:spacing w:after="0"/>
              <w:rPr>
                <w:sz w:val="20"/>
                <w:szCs w:val="20"/>
                <w:color w:val="auto"/>
              </w:rPr>
            </w:pPr>
            <w:r>
              <w:rPr>
                <w:rFonts w:ascii="Times New Roman" w:cs="Times New Roman" w:eastAsia="Times New Roman" w:hAnsi="Times New Roman"/>
                <w:sz w:val="14"/>
                <w:szCs w:val="14"/>
                <w:b w:val="1"/>
                <w:bCs w:val="1"/>
                <w:color w:val="auto"/>
              </w:rPr>
              <w:t>Fair Value Measurement Using</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0"/>
                <w:szCs w:val="10"/>
                <w:color w:val="auto"/>
              </w:rPr>
            </w:pPr>
          </w:p>
        </w:tc>
        <w:tc>
          <w:tcPr>
            <w:tcW w:w="70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980" w:type="dxa"/>
            <w:vAlign w:val="bottom"/>
            <w:gridSpan w:val="3"/>
          </w:tcPr>
          <w:p>
            <w:pPr>
              <w:jc w:val="center"/>
              <w:ind w:left="79"/>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Warrants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Company had no financial liabilities measured at fair value on a recurring basis at April 30, 2025.</w:t>
      </w:r>
    </w:p>
    <w:p>
      <w:pPr>
        <w:spacing w:after="0" w:line="225" w:lineRule="exact"/>
        <w:rPr>
          <w:sz w:val="20"/>
          <w:szCs w:val="20"/>
          <w:color w:val="auto"/>
        </w:rPr>
      </w:pPr>
    </w:p>
    <w:p>
      <w:pPr>
        <w:ind w:left="40" w:right="299"/>
        <w:spacing w:after="0" w:line="258" w:lineRule="auto"/>
        <w:rPr>
          <w:sz w:val="20"/>
          <w:szCs w:val="20"/>
          <w:color w:val="auto"/>
        </w:rPr>
      </w:pPr>
      <w:r>
        <w:rPr>
          <w:rFonts w:ascii="Times New Roman" w:cs="Times New Roman" w:eastAsia="Times New Roman" w:hAnsi="Times New Roman"/>
          <w:sz w:val="18"/>
          <w:szCs w:val="18"/>
          <w:color w:val="auto"/>
        </w:rPr>
        <w:t>On September 12, 2022, the Company invested $5,000,000 and acquired 500,000 shares of common stock and 500,000 privately placed, redeemable warrants of Amprius Technologies, Inc. The privately placed, redeemable warrants have an exercise price of $12.50 and redemption price of $20.00. The Company measures the fair value of the privately placed, redeemable warrants using the quoted market price of the public warrants which have an exercise price of $11.50 and a redemption price of $18.00 and classifies the warrants as a level 2 fair value measurement.</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Inventories, net</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173"/>
        </w:trPr>
        <w:tc>
          <w:tcPr>
            <w:tcW w:w="68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129"/>
        </w:trPr>
        <w:tc>
          <w:tcPr>
            <w:tcW w:w="6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113,922</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52,567</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73,434</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46,761</w:t>
            </w:r>
          </w:p>
        </w:tc>
        <w:tc>
          <w:tcPr>
            <w:tcW w:w="12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gross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271,267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172,762</w:t>
            </w: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inventory excess and obsolescence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(38,379)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(28,672)</w:t>
            </w: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232,888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144,090</w:t>
            </w:r>
          </w:p>
        </w:tc>
        <w:tc>
          <w:tcPr>
            <w:tcW w:w="12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Equity Method Investments</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Investments in Limited Partnership Funds</w:t>
      </w:r>
    </w:p>
    <w:p>
      <w:pPr>
        <w:spacing w:after="0" w:line="229" w:lineRule="exact"/>
        <w:rPr>
          <w:sz w:val="20"/>
          <w:szCs w:val="20"/>
          <w:color w:val="auto"/>
        </w:rPr>
      </w:pPr>
    </w:p>
    <w:p>
      <w:pPr>
        <w:jc w:val="both"/>
        <w:ind w:left="40" w:right="339"/>
        <w:spacing w:after="0" w:line="261" w:lineRule="auto"/>
        <w:rPr>
          <w:sz w:val="20"/>
          <w:szCs w:val="20"/>
          <w:color w:val="auto"/>
        </w:rPr>
      </w:pPr>
      <w:r>
        <w:rPr>
          <w:rFonts w:ascii="Times New Roman" w:cs="Times New Roman" w:eastAsia="Times New Roman" w:hAnsi="Times New Roman"/>
          <w:sz w:val="18"/>
          <w:szCs w:val="18"/>
          <w:color w:val="auto"/>
        </w:rPr>
        <w:t>In July 2019, the Company made its initial capital contribution to a limited partnership fund focusing on highly relevant technologies and start-up companies serving defense and industrial markets. Under the terms of the limited partnership agreement, the Company contributed a total of $10,000,000 during the fiscal years ended April 30, 2021 and 2022, and there were no further contribution commitments to this fund as of April 30, 2022.</w:t>
      </w:r>
    </w:p>
    <w:p>
      <w:pPr>
        <w:spacing w:after="0" w:line="180"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In March 2022, the Company entered into a limited partnership agreement with a second limited partnership fund also focusing on highly relevant technologies and start-up companies serving defense and industrial markets. Under the terms of the limited partnership agreement, the Company is committed to contributions totaling $20,000,000 over an expected five year period. During the fiscal years ended April 30, 2025 and 2024, the Company made total contributions of $5,674,000 and $3,074,000, respectively. During the three months ended August 2, 2025, the Company made no contributions. Under the terms of the limited partnership agreement, the Company has committed to make additional capital contributions of $5,474,000 to the fund, which are expected to be made over the next two fiscal years.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55" w:lineRule="auto"/>
        <w:rPr>
          <w:sz w:val="20"/>
          <w:szCs w:val="20"/>
          <w:color w:val="auto"/>
        </w:rPr>
      </w:pPr>
      <w:r>
        <w:rPr>
          <w:rFonts w:ascii="Times New Roman" w:cs="Times New Roman" w:eastAsia="Times New Roman" w:hAnsi="Times New Roman"/>
          <w:sz w:val="18"/>
          <w:szCs w:val="18"/>
          <w:color w:val="auto"/>
        </w:rPr>
        <w:t>The Company accounts for investments in limited partnerships as equity method investments as the Company is deemed to have significant influence when it holds more than a minor interest. For the three months ended August 2, 2025 and July 27, 2024, the Company recorded its ownership percentage of the net gain of equity method investments, of $1,787,000 and $65,000, respectively, in equity method investment income, net of $0 tax in the unaudited condensed consolidated statements of operations, respectively. At August 2, 2025 and April 30, 2025, the carrying value of the equity method investments of $32,362,000 and $30,423,000, respectively, was recorded in long-term investments on the unaudited condensed consolidated balance sheet.</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6. Warranty Reserves</w:t>
      </w:r>
    </w:p>
    <w:p>
      <w:pPr>
        <w:spacing w:after="0" w:line="162" w:lineRule="exact"/>
        <w:rPr>
          <w:sz w:val="20"/>
          <w:szCs w:val="20"/>
          <w:color w:val="auto"/>
        </w:rPr>
      </w:pPr>
    </w:p>
    <w:p>
      <w:pPr>
        <w:ind w:left="40" w:right="239"/>
        <w:spacing w:after="0" w:line="261" w:lineRule="auto"/>
        <w:rPr>
          <w:sz w:val="20"/>
          <w:szCs w:val="20"/>
          <w:color w:val="auto"/>
        </w:rPr>
      </w:pPr>
      <w:r>
        <w:rPr>
          <w:rFonts w:ascii="Times New Roman" w:cs="Times New Roman" w:eastAsia="Times New Roman" w:hAnsi="Times New Roman"/>
          <w:sz w:val="18"/>
          <w:szCs w:val="18"/>
          <w:color w:val="auto"/>
        </w:rPr>
        <w:t>The Company accrues an estimate of its exposure to warranty claims based upon both current and historical product sales data and warranty costs incurred. The warranty reserve is included in other current liabilities on the unaudited condensed consolidated balance sheet. The related expense is included in cost of sales. Warranty reserve activity is summarized as follows for the three months ended August 2, 2025 and July 27, 2024, respectively (in thousands):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60" w:type="dxa"/>
            <w:vAlign w:val="bottom"/>
            <w:gridSpan w:val="8"/>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67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14"/>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7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Balance acquired from acquisition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Warranty costs settled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Intangibles, net</w:t>
            </w: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intangibles are as follows (in thousands):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73"/>
        </w:trPr>
        <w:tc>
          <w:tcPr>
            <w:tcW w:w="67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497,861</w:t>
            </w:r>
          </w:p>
        </w:tc>
        <w:tc>
          <w:tcPr>
            <w:tcW w:w="20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Licenses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747,682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Backlog</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65,008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Trademarks and tradenames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gross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1,314,243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185,888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(195,395)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(137,177)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1,118,848</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48,711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879"/>
        <w:spacing w:after="0" w:line="312" w:lineRule="auto"/>
        <w:rPr>
          <w:sz w:val="20"/>
          <w:szCs w:val="20"/>
          <w:color w:val="auto"/>
        </w:rPr>
      </w:pPr>
      <w:r>
        <w:rPr>
          <w:rFonts w:ascii="Times New Roman" w:cs="Times New Roman" w:eastAsia="Times New Roman" w:hAnsi="Times New Roman"/>
          <w:sz w:val="17"/>
          <w:szCs w:val="17"/>
          <w:color w:val="auto"/>
        </w:rPr>
        <w:t>Technology, backlog and customer relationships intangibles were recognized in conjunction with the Company’s acquisition of Blue Halo on May 1 2025. Refer to Note 17—Business Acquisitions for further details.</w:t>
      </w:r>
    </w:p>
    <w:p>
      <w:pPr>
        <w:spacing w:after="0" w:line="140" w:lineRule="exact"/>
        <w:rPr>
          <w:sz w:val="20"/>
          <w:szCs w:val="20"/>
          <w:color w:val="auto"/>
        </w:rPr>
      </w:pPr>
    </w:p>
    <w:p>
      <w:pPr>
        <w:ind w:left="40" w:right="79"/>
        <w:spacing w:after="0" w:line="266" w:lineRule="auto"/>
        <w:rPr>
          <w:sz w:val="20"/>
          <w:szCs w:val="20"/>
          <w:color w:val="auto"/>
        </w:rPr>
      </w:pPr>
      <w:r>
        <w:rPr>
          <w:rFonts w:ascii="Times New Roman" w:cs="Times New Roman" w:eastAsia="Times New Roman" w:hAnsi="Times New Roman"/>
          <w:sz w:val="18"/>
          <w:szCs w:val="18"/>
          <w:color w:val="auto"/>
        </w:rPr>
        <w:t>The weighted average amortization period as of August 2, 2025 and April 30, 2025 was seven and three years, respectively. Amortization expense for the three months ended August 2, 2025 and July 27, 2024 was $58,161,000 and $4,774,000,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Estimated remaining amortization expense for the next five years is as follows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ending</w:t>
            </w:r>
          </w:p>
        </w:tc>
      </w:tr>
      <w:tr>
        <w:trPr>
          <w:trHeight w:val="173"/>
        </w:trPr>
        <w:tc>
          <w:tcPr>
            <w:tcW w:w="7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April 30,</w:t>
            </w:r>
          </w:p>
        </w:tc>
      </w:tr>
      <w:tr>
        <w:trPr>
          <w:trHeight w:val="209"/>
        </w:trPr>
        <w:tc>
          <w:tcPr>
            <w:tcW w:w="7760" w:type="dxa"/>
            <w:vAlign w:val="bottom"/>
            <w:tcBorders>
              <w:top w:val="single" w:sz="8" w:color="CCEEFF"/>
            </w:tcBorders>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171,112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164,607</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163,892</w:t>
            </w: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2029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161,196</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Times New Roman" w:cs="Times New Roman" w:eastAsia="Times New Roman" w:hAnsi="Times New Roman"/>
                <w:sz w:val="18"/>
                <w:szCs w:val="18"/>
                <w:color w:val="auto"/>
                <w:w w:val="94"/>
              </w:rPr>
              <w:t>2030</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145,061</w:t>
            </w:r>
          </w:p>
        </w:tc>
        <w:tc>
          <w:tcPr>
            <w:tcW w:w="120" w:type="dxa"/>
            <w:vAlign w:val="bottom"/>
            <w:shd w:val="clear" w:color="auto" w:fill="CCEEFF"/>
          </w:tcPr>
          <w:p>
            <w:pPr>
              <w:spacing w:after="0"/>
              <w:rPr>
                <w:sz w:val="18"/>
                <w:szCs w:val="18"/>
                <w:color w:val="auto"/>
              </w:rPr>
            </w:pPr>
          </w:p>
        </w:tc>
      </w:tr>
      <w:tr>
        <w:trPr>
          <w:trHeight w:val="210"/>
        </w:trPr>
        <w:tc>
          <w:tcPr>
            <w:tcW w:w="7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805,868</w:t>
            </w:r>
          </w:p>
        </w:tc>
        <w:tc>
          <w:tcPr>
            <w:tcW w:w="12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goodwill balance by segment (in thousands):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AxS</w:t>
            </w:r>
          </w:p>
        </w:tc>
        <w:tc>
          <w:tcPr>
            <w:tcW w:w="120" w:type="dxa"/>
            <w:vAlign w:val="bottom"/>
          </w:tcPr>
          <w:p>
            <w:pPr>
              <w:spacing w:after="0"/>
              <w:rPr>
                <w:sz w:val="15"/>
                <w:szCs w:val="15"/>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SCDE</w:t>
            </w:r>
          </w:p>
        </w:tc>
        <w:tc>
          <w:tcPr>
            <w:tcW w:w="120" w:type="dxa"/>
            <w:vAlign w:val="bottom"/>
          </w:tcPr>
          <w:p>
            <w:pPr>
              <w:spacing w:after="0"/>
              <w:rPr>
                <w:sz w:val="15"/>
                <w:szCs w:val="15"/>
                <w:color w:val="auto"/>
              </w:rPr>
            </w:pPr>
          </w:p>
        </w:tc>
        <w:tc>
          <w:tcPr>
            <w:tcW w:w="8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59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r>
      <w:tr>
        <w:trPr>
          <w:trHeight w:val="216"/>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431,157</w:t>
            </w:r>
          </w:p>
        </w:tc>
      </w:tr>
      <w:tr>
        <w:trPr>
          <w:trHeight w:val="21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(174,376)</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(174,376)</w:t>
            </w:r>
          </w:p>
        </w:tc>
      </w:tr>
      <w:tr>
        <w:trPr>
          <w:trHeight w:val="210"/>
        </w:trPr>
        <w:tc>
          <w:tcPr>
            <w:tcW w:w="59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at April 30, 2025</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256,781</w:t>
            </w:r>
          </w:p>
        </w:tc>
      </w:tr>
      <w:tr>
        <w:trPr>
          <w:trHeight w:val="21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 to goodwill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914,683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2,282,779</w:t>
            </w:r>
          </w:p>
        </w:tc>
      </w:tr>
      <w:tr>
        <w:trPr>
          <w:trHeight w:val="216"/>
        </w:trPr>
        <w:tc>
          <w:tcPr>
            <w:tcW w:w="5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1,345,840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2,713,936</w:t>
            </w:r>
          </w:p>
        </w:tc>
      </w:tr>
      <w:tr>
        <w:trPr>
          <w:trHeight w:val="216"/>
        </w:trPr>
        <w:tc>
          <w:tcPr>
            <w:tcW w:w="5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(174,376)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(174,376)</w:t>
            </w:r>
          </w:p>
        </w:tc>
      </w:tr>
      <w:tr>
        <w:trPr>
          <w:trHeight w:val="210"/>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August 2,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1,171,464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1,368,096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2,539,560</w:t>
            </w:r>
          </w:p>
        </w:tc>
      </w:tr>
    </w:tbl>
    <w:p>
      <w:pPr>
        <w:spacing w:after="0" w:line="198"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8"/>
          <w:szCs w:val="18"/>
          <w:color w:val="auto"/>
        </w:rPr>
        <w:t>The AxS segment includes goodwill from the acquisitions of Pulse Aerospace, LLC (“Pulse”), Arcturus UAV, Inc. (“Arcturus”), Telerob Gesellschaft für Fernhantierungstechnik mbH (“Telerob”), Planck Aerosystems, Inc., Tomahawk Robotics, Inc. and certain BlueHalo reporting units and includes goodwill from the purchase of certain assets of Intelligent Systems Group business segment of Progeny Systems Corporation. The SCDE segment includes goodwill from certain BlueHalo reporting units.</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229"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On October 4, 2024, the Company entered into a Third Amendment to Credit Agreement with the existing lenders, Bank of America, N.A. (“BofA NA”), the administrative agent and the swingline lender, JPMorgan Chase Bank, N.A. (“JPM”), U.S. Bank National Association (“U.S. Bank”), and Citibank, N.A. (“Citibank”) (the “Third Amendment to Credit Agreement”).</w:t>
      </w:r>
    </w:p>
    <w:p>
      <w:pPr>
        <w:spacing w:after="0" w:line="180" w:lineRule="exact"/>
        <w:rPr>
          <w:sz w:val="20"/>
          <w:szCs w:val="20"/>
          <w:color w:val="auto"/>
        </w:rPr>
      </w:pPr>
    </w:p>
    <w:p>
      <w:pPr>
        <w:ind w:left="40" w:right="159"/>
        <w:spacing w:after="0" w:line="254" w:lineRule="auto"/>
        <w:rPr>
          <w:sz w:val="20"/>
          <w:szCs w:val="20"/>
          <w:color w:val="auto"/>
        </w:rPr>
      </w:pPr>
      <w:r>
        <w:rPr>
          <w:rFonts w:ascii="Times New Roman" w:cs="Times New Roman" w:eastAsia="Times New Roman" w:hAnsi="Times New Roman"/>
          <w:sz w:val="18"/>
          <w:szCs w:val="18"/>
          <w:color w:val="auto"/>
        </w:rPr>
        <w:t>The Third Amendment to Credit Agreement provided for an aggregate $200,000,000 revolving credit facility (the “Revolving Facility”), including a $25,000,000 sublimit for the issuance of standby and commercial letters of credit, and a $10,000,000 sublimit for swingline loans, secured by all assets of the Company and the Company’s domestic subsidiaries (the “Guarantors”), and extends the maturity date for obligations pursuant to the Credit Agreement to October 4, 2029. Upon effectiveness of the Third Amendment to Credit Agreement, the Company drew $15,000,000 from the amended Revolving Facility and repaid in full all outstanding amounts owed pursuant to the prior Term Loan Facility. The unamortized debt issuance costs allocated to the prior Term Loan Facility of $590,000 were expensed upon repayment of the Term Loan Facility and recorded in interest expense.</w:t>
      </w:r>
    </w:p>
    <w:p>
      <w:pPr>
        <w:spacing w:after="0" w:line="192" w:lineRule="exact"/>
        <w:rPr>
          <w:sz w:val="20"/>
          <w:szCs w:val="20"/>
          <w:color w:val="auto"/>
        </w:rPr>
      </w:pPr>
    </w:p>
    <w:p>
      <w:pPr>
        <w:ind w:left="40" w:right="239"/>
        <w:spacing w:after="0" w:line="256" w:lineRule="auto"/>
        <w:rPr>
          <w:sz w:val="20"/>
          <w:szCs w:val="20"/>
          <w:color w:val="auto"/>
        </w:rPr>
      </w:pPr>
      <w:r>
        <w:rPr>
          <w:rFonts w:ascii="Times New Roman" w:cs="Times New Roman" w:eastAsia="Times New Roman" w:hAnsi="Times New Roman"/>
          <w:sz w:val="18"/>
          <w:szCs w:val="18"/>
          <w:color w:val="auto"/>
        </w:rPr>
        <w:t>On May 1, 2025 (the “Closing Date”), in connection with the consummation of the BlueHalo acquisition, the Company entered into a Fourth Amendment to Credit Agreement with BofA NA, the administrative agent and the swingline lender, JPM, U.S. Bank, Citibank, BMO Bank N.A. (“BMO”), Citizens Banks, N.A. (“Citizens”) and Royal Bank of Canada (“RBC”) (the “Fourth Amendment to Credit Agreement” and the existing Credit Agreement as amended thereby, the “Amended Credit Agreement”). The Amended Credit Agreement now provides for an aggregate $700,000,000 term loan (the “Term Loan Facility” and, together with the Revolving Facility, the “Credit Facilities”) and an aggregate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$350,000,000 revolving credit facility, including a $25,000,000 sublimit for the issuance of standby and commercial letters of credit, and a $10,000,000 sublimit for swingline loans, secured by all assets of the Company and the Guarantors, maintains the maturity date for obligations pursuant to the prior Amended Credit Agreement to October 4, 2029. Upon effectiveness of the Amended Credit Agreement, the Company drew $225,000,000 from the amended Revolving Facility and the full $700,000,000 of the Term Loan Facility. In June 2025, the Company drew an additional $10,000,000 under the Revolving Facility.</w:t>
      </w:r>
    </w:p>
    <w:p>
      <w:pPr>
        <w:spacing w:after="0" w:line="187" w:lineRule="exact"/>
        <w:rPr>
          <w:sz w:val="20"/>
          <w:szCs w:val="20"/>
          <w:color w:val="auto"/>
        </w:rPr>
      </w:pPr>
    </w:p>
    <w:p>
      <w:pPr>
        <w:ind w:left="40" w:right="119"/>
        <w:spacing w:after="0" w:line="252" w:lineRule="auto"/>
        <w:rPr>
          <w:sz w:val="20"/>
          <w:szCs w:val="20"/>
          <w:color w:val="auto"/>
        </w:rPr>
      </w:pPr>
      <w:r>
        <w:rPr>
          <w:rFonts w:ascii="Times New Roman" w:cs="Times New Roman" w:eastAsia="Times New Roman" w:hAnsi="Times New Roman"/>
          <w:sz w:val="18"/>
          <w:szCs w:val="18"/>
          <w:color w:val="auto"/>
        </w:rPr>
        <w:t>The Term A Loan drawn under the Term Loan Facility matures two years after the Closing Date and amortizes at a rate of 5.00% per annum, with the remaining outstanding principal amount due and payable on the maturity date. The applicable margin on the Term A Loan is based upon the Company’s Consolidated Leverage Ratio (as defined in the Credit Agreement) and whether the Company elects as its benchmark rate (i) SOFR (in which case, the applicable margin ranges from 1.50 - 2.50% per annum depending on the Company’s Consolidated Leverage Ratio) plus a credit spread adjustment of 0.10% or (ii) Base Rate (in which case, the applicable margin ranges from 0.50 - 1.50% per annum depending on the Company’s Consolidated Leverage Ratio). Upon the occurrence of an event of default, an additional 2.00% per annum default interest rate may apply. Pursuant to the Fourth Amendment to Credit Agreement, the Company is subject to two financial maintenance covenants which require that (i) the Consolidated Senior Secured Leverage Ratio (as defined in the Credit Agreement) not exceed 3.50 to 1.00 as of the end of any fiscal quarter, for the four fiscal quarters following consummation of the BlueHalo acquisition, and thereafter 3.00 to 1.00 as of the end of any fiscal quarter, and (ii) the Consolidated Fixed Charge Coverage Ratio (as defined in the Credit Agreement) not be less than 1.25 to 1.00 as of the end of any fiscal quarter. The Company’s ability to borrow under the Revolving Facility is reduced by outstanding letters of credit, which as of August 2, 2025 and April 30, 2025 was $11,912,000 and $9,376,000, respectively. As of August 2, 2025, approximately $338,088,000 was available under the Revolving Facility. Borrowings under the Revolving Facility may be used for working capital and other general corporate purposes, including acquisitions that meet certain parameters. As of August 2, 2025, the Company was in compliance with all amended covenants.</w:t>
      </w:r>
    </w:p>
    <w:p>
      <w:pPr>
        <w:spacing w:after="0" w:line="193" w:lineRule="exact"/>
        <w:rPr>
          <w:sz w:val="20"/>
          <w:szCs w:val="20"/>
          <w:color w:val="auto"/>
        </w:rPr>
      </w:pPr>
    </w:p>
    <w:p>
      <w:pPr>
        <w:ind w:left="40" w:right="259"/>
        <w:spacing w:after="0" w:line="256" w:lineRule="auto"/>
        <w:rPr>
          <w:sz w:val="20"/>
          <w:szCs w:val="20"/>
          <w:color w:val="auto"/>
        </w:rPr>
      </w:pPr>
      <w:r>
        <w:rPr>
          <w:rFonts w:ascii="Times New Roman" w:cs="Times New Roman" w:eastAsia="Times New Roman" w:hAnsi="Times New Roman"/>
          <w:sz w:val="18"/>
          <w:szCs w:val="18"/>
          <w:color w:val="auto"/>
        </w:rPr>
        <w:t>In July 2025, the Company used the proceeds from the issuance of common stock and the Company’s 0% Convertible Senior Notes due 2030 (the “Notes”) to fully repay the Term A Loan and outstanding Revolving Facility balance. The unamortized debt issuance costs allocated to the Term Loan Facility of $6,668,000 were expensed upon repayment of the Term Loan Facility and recorded as interest expense in the consolidated statements of operations. The Revolver Facility remains open and available to the Company. Please refer to Note 10–Convertible Notes and Note 16–Share Issuances for further details.</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Long-term debt and the current period interest rates were as follows:</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April 30,</w:t>
            </w:r>
          </w:p>
        </w:tc>
        <w:tc>
          <w:tcPr>
            <w:tcW w:w="0" w:type="dxa"/>
            <w:vAlign w:val="bottom"/>
          </w:tcPr>
          <w:p>
            <w:pPr>
              <w:spacing w:after="0"/>
              <w:rPr>
                <w:sz w:val="1"/>
                <w:szCs w:val="1"/>
                <w:color w:val="auto"/>
              </w:rPr>
            </w:pPr>
          </w:p>
        </w:tc>
      </w:tr>
      <w:tr>
        <w:trPr>
          <w:trHeight w:val="199"/>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16"/>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debt issuance costs–convertible notes</w:t>
            </w:r>
          </w:p>
        </w:tc>
        <w:tc>
          <w:tcPr>
            <w:tcW w:w="3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 of unamortized debt issuance costs–convertible notes</w:t>
            </w:r>
          </w:p>
        </w:tc>
        <w:tc>
          <w:tcPr>
            <w:tcW w:w="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725,703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Unamortized debt issuance costs–revolving credit facility</w:t>
            </w:r>
          </w:p>
        </w:tc>
        <w:tc>
          <w:tcPr>
            <w:tcW w:w="3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2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2,128</w:t>
            </w:r>
          </w:p>
        </w:tc>
        <w:tc>
          <w:tcPr>
            <w:tcW w:w="1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interest rate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864"/>
        </w:trPr>
        <w:tc>
          <w:tcPr>
            <w:tcW w:w="602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Future contractual long-term debt principal payments at August 2, 2025 were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3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2031</w:t>
            </w:r>
          </w:p>
        </w:tc>
        <w:tc>
          <w:tcPr>
            <w:tcW w:w="3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747,500</w:t>
            </w:r>
          </w:p>
        </w:tc>
      </w:tr>
      <w:tr>
        <w:trPr>
          <w:trHeight w:val="209"/>
        </w:trPr>
        <w:tc>
          <w:tcPr>
            <w:tcW w:w="4340" w:type="dxa"/>
            <w:vAlign w:val="bottom"/>
            <w:tcBorders>
              <w:bottom w:val="single" w:sz="8" w:color="CCEEFF"/>
            </w:tcBorders>
            <w:shd w:val="clear" w:color="auto" w:fill="CCEEFF"/>
          </w:tcPr>
          <w:p>
            <w:pPr>
              <w:spacing w:after="0"/>
              <w:rPr>
                <w:sz w:val="18"/>
                <w:szCs w:val="18"/>
                <w:color w:val="auto"/>
              </w:rPr>
            </w:pPr>
          </w:p>
        </w:tc>
        <w:tc>
          <w:tcPr>
            <w:tcW w:w="3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747,500</w:t>
            </w:r>
          </w:p>
        </w:tc>
      </w:tr>
      <w:tr>
        <w:trPr>
          <w:trHeight w:val="20"/>
        </w:trPr>
        <w:tc>
          <w:tcPr>
            <w:tcW w:w="4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10. Convertible Notes</w:t>
      </w:r>
    </w:p>
    <w:p>
      <w:pPr>
        <w:spacing w:after="0" w:line="94"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In July 2025, the Company entered into an underwriting agreement (the “Note Underwriting Agreement”) with certain underwriters (the “Note Underwriters”) agreeing, subject to customary conditions, to issue and sell $650,000,000 aggregate principal amount of the Notes to the Note Underwriters. In addition, pursuant to the Note Underwriting Agreement, the Company granted the Note Underwriters an option, which was exercisable within 30 days after entering the Note Underwriting Agreement, to purchase up to an additional $97,500,000 aggregate principal amount of Notes solely to cover over-allotments. The Note Underwriters exercised such option to purchase an additional $97,500,000 aggregate principal amount of Notes. The issuance of $747,500,000 aggregate principal amount of Notes was completed in July 2025.</w:t>
      </w:r>
    </w:p>
    <w:p>
      <w:pPr>
        <w:spacing w:after="0" w:line="189"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The Notes are the Company’s senior, unsecured obligations and are (i) equal in right of payment with the Company’s existing and future senior, unsecured indebtedness; (ii) senior in right of payment to the Company’s existing and future indebtedness that is expressly subordinated to the Notes; (iii) effectively subordinated to the Company’s existing and future secured indebtedness, to the extent of the value of the collateral securing that indebtedness, including any borrowings under the Company's revolving credit facility; and (iv) structurally subordinated to all existing and future indebtedness and other liabilities, including trade payables, and (to the extent the Company is not a holder thereof) preferred equity, if any, of the Company’s subsidiaries.</w:t>
      </w:r>
    </w:p>
    <w:p>
      <w:pPr>
        <w:spacing w:after="0" w:line="189"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The Notes do not bear regular interest, and the principal amount of the Notes will not accrete. Special interest will accrue on the Notes upon the occurrence of certain events relating to the Company's failure to file certain SEC reports as provided in the Indenture. The Notes will mature on July 15, 2030, unless earlier repurchased, redeemed or converted. Before April 15, 2030, noteholders have the right to convert their Notes only upon the occurrence of certain events. From and after April 15, 2030, noteholders may convert their Notes at any time at their election until the close of business on the second scheduled trading day immediately before the maturity date. The Company will have the right to elect to settle conversions either entirely in cash or in a combination of cash and shares of its common stock. Upon conversion of any Note, the consideration due upon conversion, which will be determined over an “Observation Period” (as defined in the Indenture) consisting of 60 consecutive trading days, will be paid in cash up to at least the principal amount of the Notes being converted and the Company will pay or deliver, as the case may be, cash, shares of the Company’s common stock or a combination of cash and shares of the Company’s common stock, at the Company’s election, in respect of the remainder, if any, of the Company’s conversion obligation in excess of the principal amount of the Notes being converted. The initial conversion rate is 3.1017 shares of the Company's common stock per $1,000 principal amount of Notes, which represents an initial conversion price of approximately $322.40 per share of the Company's common stock. The conversion rate and conversion price will be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w:t>
      </w:r>
    </w:p>
    <w:p>
      <w:pPr>
        <w:spacing w:after="0" w:line="193" w:lineRule="exact"/>
        <w:rPr>
          <w:sz w:val="20"/>
          <w:szCs w:val="20"/>
          <w:color w:val="auto"/>
        </w:rPr>
      </w:pPr>
    </w:p>
    <w:p>
      <w:pPr>
        <w:ind w:left="40" w:right="59"/>
        <w:spacing w:after="0" w:line="256" w:lineRule="auto"/>
        <w:rPr>
          <w:sz w:val="20"/>
          <w:szCs w:val="20"/>
          <w:color w:val="auto"/>
        </w:rPr>
      </w:pPr>
      <w:r>
        <w:rPr>
          <w:rFonts w:ascii="Times New Roman" w:cs="Times New Roman" w:eastAsia="Times New Roman" w:hAnsi="Times New Roman"/>
          <w:sz w:val="18"/>
          <w:szCs w:val="18"/>
          <w:color w:val="auto"/>
        </w:rPr>
        <w:t>The Notes will be redeemable, in whole or in part (subject to certain limitations described below), at the Company’s option at any time, and from time to time, on or after July 21, 2028 and on or before the 61st scheduled trading day immediately before the maturity date, at a cash redemption price equal to the principal amount of the Notes to be redeemed, plus accrued and unpaid special interest, if any, to, but excluding, the redemption date, but only if the last reported sale price per share of the Company’s common stock exceeds 130% of the conversion price on (i) each of at least 20 trading days, whether or not consecutive, during the 30 consecutive trading days ending on, and including,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79"/>
        <w:spacing w:after="0" w:line="274" w:lineRule="auto"/>
        <w:rPr>
          <w:sz w:val="20"/>
          <w:szCs w:val="20"/>
          <w:color w:val="auto"/>
        </w:rPr>
      </w:pPr>
      <w:r>
        <w:rPr>
          <w:rFonts w:ascii="Times New Roman" w:cs="Times New Roman" w:eastAsia="Times New Roman" w:hAnsi="Times New Roman"/>
          <w:sz w:val="17"/>
          <w:szCs w:val="17"/>
          <w:color w:val="auto"/>
        </w:rPr>
        <w:t>trading day immediately before the date the Company sends the related redemption notice; and (ii) the trading day immediately before the date the Company sends such notice. However, the Company may not redeem less than all of the outstanding Notes unless at least $100.0 million aggregate principal amount of Notes are outstanding and not called for redemption as of the time the Company sends the related redemption notice.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73"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8"/>
          <w:szCs w:val="18"/>
          <w:color w:val="auto"/>
        </w:rPr>
        <w:t>If certain events that constitute a “Fundamental Change” (as defined in the Indenture) occur, then, subject to a limited exception for certain cash mergers as provided in the Indenture, noteholders may require the Company to repurchase their Notes at a cash repurchase price equal to the principal amount of the Notes to be repurchased, plus accrued and unpaid special interest, if any, to, but excluding, the fundamental change repurchase date. The definition in the Indenture of Fundamental Change includes certain business combination transactions involving the Company and certain de-listing events with respect to the Company’s common stock.</w:t>
      </w:r>
    </w:p>
    <w:p>
      <w:pPr>
        <w:spacing w:after="0" w:line="187"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The Notes have customary provisions relating to the occurrence of “Events of Default” (as defined in the Indenture), which include the following: (i) certain payment defaults on the Notes (which, in the case of a default in the payment of special interest on the Notes, will be subject to a 30-day cure period); (ii) the Company’s failure to send certain notices under the Indenture within specified periods of time; (iii) the Company's failure to convert a Note in accordance with the Indenture within a specified period of time; (iv) the Company’s failure to comply with certain covenants in the Indenture relating to the Company’s ability to consolidate with or merge with or into, or sell, lease or otherwise transfer, in one transaction or a series of transactions, all or substantially all of the assets of the Company and its subsidiaries, taken as a whole, to another person; (v) a default by the Company in its other obligations or agreements under the Indenture or the Notes if such default is not cured or waived within 60 days after notice is given in accordance with the Indenture; (vi) certain defaults by the Company or any of its significant subsidiaries with respect to indebtedness for borrowed money of at least $55,000,000; and (vii) certain events of bankruptcy, insolvency and reorganization involving the Company or any of its significant subsidiaries.</w:t>
      </w:r>
    </w:p>
    <w:p>
      <w:pPr>
        <w:spacing w:after="0" w:line="190" w:lineRule="exact"/>
        <w:rPr>
          <w:sz w:val="20"/>
          <w:szCs w:val="20"/>
          <w:color w:val="auto"/>
        </w:rPr>
      </w:pPr>
    </w:p>
    <w:p>
      <w:pPr>
        <w:ind w:left="40" w:right="179"/>
        <w:spacing w:after="0" w:line="253" w:lineRule="auto"/>
        <w:rPr>
          <w:sz w:val="20"/>
          <w:szCs w:val="20"/>
          <w:color w:val="auto"/>
        </w:rPr>
      </w:pPr>
      <w:r>
        <w:rPr>
          <w:rFonts w:ascii="Times New Roman" w:cs="Times New Roman" w:eastAsia="Times New Roman" w:hAnsi="Times New Roman"/>
          <w:sz w:val="18"/>
          <w:szCs w:val="18"/>
          <w:color w:val="auto"/>
        </w:rPr>
        <w:t>If an Event of Default involving bankruptcy, insolvency or reorganization events with respect to the Company (and not solely with respect to a significant subsidiary of the Company) occurs, then the principal amount of, and all accrued and unpaid interest, if any, on all of the Notes then outstanding will immediately become due and payable without any further action or notice by any person. If any other Event of Default occurs and is continuing, then, the Trustee, by notice to the Company, or noteholders of at least 25% of the aggregate principal amount of Notes then outstanding, by notice to the Company and the Trustee, may declare the principal amount of, and all accrued and unpaid interest, if any, on, all of the Notes then outstanding to become due and payable immediately. However, notwithstanding the foregoing, the Company may elect, at its option, that the sole remedy for an Event of Default relating to certain failures by the Company to comply with certain reporting covenants in the Indenture consists exclusively of the right of the noteholders to receive special interest on the Notes for up to 365 days, at a rate per annum equal to 0.25% of the principal amount of the Notes for the first 180 days on which special interest accrues and, thereafter, at a rate per annum equal to 0.50% of the principal amount thereof.</w:t>
      </w:r>
    </w:p>
    <w:p>
      <w:pPr>
        <w:spacing w:after="0" w:line="2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9"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The components of lease costs recorded in cost of sales and selling, general and administrative (“SG&amp;A”) expense were as follows (in thousands):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26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Three Months Ended Three Months Ended</w:t>
            </w:r>
          </w:p>
        </w:tc>
      </w:tr>
      <w:tr>
        <w:trPr>
          <w:trHeight w:val="117"/>
        </w:trPr>
        <w:tc>
          <w:tcPr>
            <w:tcW w:w="6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jc w:val="right"/>
              <w:ind w:right="276"/>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280" w:type="dxa"/>
            <w:vAlign w:val="bottom"/>
          </w:tcPr>
          <w:p>
            <w:pPr>
              <w:spacing w:after="0"/>
              <w:rPr>
                <w:sz w:val="10"/>
                <w:szCs w:val="10"/>
                <w:color w:val="auto"/>
              </w:rPr>
            </w:pPr>
          </w:p>
        </w:tc>
        <w:tc>
          <w:tcPr>
            <w:tcW w:w="1080" w:type="dxa"/>
            <w:vAlign w:val="bottom"/>
          </w:tcPr>
          <w:p>
            <w:pPr>
              <w:jc w:val="right"/>
              <w:ind w:right="356"/>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r>
      <w:tr>
        <w:trPr>
          <w:trHeight w:val="173"/>
        </w:trPr>
        <w:tc>
          <w:tcPr>
            <w:tcW w:w="6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Short term lease cost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costs, net</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w:t>
            </w:r>
          </w:p>
        </w:tc>
      </w:tr>
      <w:tr>
        <w:trPr>
          <w:trHeight w:val="20"/>
        </w:trPr>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Supplemental lease information was as follows: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w:t>
            </w: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new lease liabilities</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months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Maturities of operating lease liabilities as of August 2, 2025 were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23,651</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21,609</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18,512</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39,369</w:t>
            </w:r>
          </w:p>
        </w:tc>
        <w:tc>
          <w:tcPr>
            <w:tcW w:w="0" w:type="dxa"/>
            <w:vAlign w:val="bottom"/>
          </w:tcPr>
          <w:p>
            <w:pPr>
              <w:spacing w:after="0"/>
              <w:rPr>
                <w:sz w:val="1"/>
                <w:szCs w:val="1"/>
                <w:color w:val="auto"/>
              </w:rPr>
            </w:pPr>
          </w:p>
        </w:tc>
      </w:tr>
      <w:tr>
        <w:trPr>
          <w:trHeight w:val="209"/>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132,661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(28,656)</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Total present value of operating lease liabilities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104,005</w:t>
            </w:r>
          </w:p>
        </w:tc>
        <w:tc>
          <w:tcPr>
            <w:tcW w:w="0" w:type="dxa"/>
            <w:vAlign w:val="bottom"/>
          </w:tcPr>
          <w:p>
            <w:pPr>
              <w:spacing w:after="0"/>
              <w:rPr>
                <w:sz w:val="1"/>
                <w:szCs w:val="1"/>
                <w:color w:val="auto"/>
              </w:rPr>
            </w:pPr>
          </w:p>
        </w:tc>
      </w:tr>
      <w:tr>
        <w:trPr>
          <w:trHeight w:val="20"/>
        </w:trPr>
        <w:tc>
          <w:tcPr>
            <w:tcW w:w="63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Loss and Reclassifications Adjustments</w:t>
            </w: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3"/>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and adjustments are as follows (in thousands):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24"/>
                <w:szCs w:val="24"/>
                <w:color w:val="auto"/>
              </w:rPr>
            </w:pPr>
          </w:p>
        </w:tc>
        <w:tc>
          <w:tcPr>
            <w:tcW w:w="13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right"/>
              <w:ind w:right="278"/>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353"/>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0" w:type="dxa"/>
            <w:vAlign w:val="bottom"/>
          </w:tcPr>
          <w:p>
            <w:pPr>
              <w:spacing w:after="0"/>
              <w:rPr>
                <w:sz w:val="1"/>
                <w:szCs w:val="1"/>
                <w:color w:val="auto"/>
              </w:rPr>
            </w:pPr>
          </w:p>
        </w:tc>
      </w:tr>
      <w:tr>
        <w:trPr>
          <w:trHeight w:val="173"/>
        </w:trPr>
        <w:tc>
          <w:tcPr>
            <w:tcW w:w="526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April 30, 2025 and April 30, 2024, respectively</w:t>
            </w: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Change in foreign currency translation adjustments</w:t>
            </w:r>
          </w:p>
        </w:tc>
        <w:tc>
          <w:tcPr>
            <w:tcW w:w="8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August 2, 2025 and July 27, 2024, respectively</w:t>
            </w:r>
          </w:p>
        </w:tc>
        <w:tc>
          <w:tcPr>
            <w:tcW w:w="8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13. Customer-Funded Research &amp; Development</w:t>
      </w:r>
    </w:p>
    <w:p>
      <w:pPr>
        <w:spacing w:after="0" w:line="216"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8"/>
          <w:szCs w:val="18"/>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is recognized in accordance with ASC 606 over time as costs are incurred. Revenue from customer-funded R&amp;D was approximately $60,847,000 for the three months ended August 2, 2025. Revenue from customer-funded R&amp;D was approximately $18,559,000 for the three months ended July 27, 2024.</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14. Long-Term Incentive Awards</w:t>
      </w:r>
    </w:p>
    <w:p>
      <w:pPr>
        <w:spacing w:after="0" w:line="229" w:lineRule="exact"/>
        <w:rPr>
          <w:sz w:val="20"/>
          <w:szCs w:val="20"/>
          <w:color w:val="auto"/>
        </w:rPr>
      </w:pPr>
    </w:p>
    <w:p>
      <w:pPr>
        <w:ind w:left="40" w:right="139"/>
        <w:spacing w:after="0" w:line="254" w:lineRule="auto"/>
        <w:rPr>
          <w:sz w:val="20"/>
          <w:szCs w:val="20"/>
          <w:color w:val="auto"/>
        </w:rPr>
      </w:pPr>
      <w:r>
        <w:rPr>
          <w:rFonts w:ascii="Times New Roman" w:cs="Times New Roman" w:eastAsia="Times New Roman" w:hAnsi="Times New Roman"/>
          <w:sz w:val="18"/>
          <w:szCs w:val="18"/>
          <w:color w:val="auto"/>
        </w:rPr>
        <w:t>During the three months ended August 2, 2025, the Company granted awards under its 2021 Equity Incentive Plan (the “2021 Plan”) to key employees (“Fiscal 2026 LTIP”). Awards under the Fiscal 2026 LTIP consist of: (i) time-based restricted stock awards and time-based restricted stock units, which vest in equal tranches in July 2026, July 2027 and July 2028, and (ii) performance-based restricted stock units (“PRSUs”), which vest based on the Company’s achievement of revenue and non-GAAP adjusted earnings before interest, taxes, depreciation and amortization (“adjusted EBITDA”) targets for the three-year period ending April 30, 2028. At the award date, target achievement levels for each of the financial performance metrics were established for the PRSUs, at which levels the PRSUs would vest at 100% for each such metric. Threshold achievement levels for which the PRSUs would vest at 50% for each such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8"/>
          <w:szCs w:val="18"/>
          <w:color w:val="auto"/>
        </w:rPr>
        <w:t>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months ended August 2, 2025 and July 27, 2024, the Company recorded $809,000 of compensation expense and no compensation expense related to the Fiscal 2026 LTIP, respectively. At August 2, 2025, the maximum compensation expense that may be recorded for the performance-based portion of the Fiscal 2026 LTIP is $33,249,000.</w:t>
      </w:r>
    </w:p>
    <w:p>
      <w:pPr>
        <w:spacing w:after="0" w:line="189" w:lineRule="exact"/>
        <w:rPr>
          <w:sz w:val="20"/>
          <w:szCs w:val="20"/>
          <w:color w:val="auto"/>
        </w:rPr>
      </w:pPr>
    </w:p>
    <w:p>
      <w:pPr>
        <w:ind w:left="40" w:right="59"/>
        <w:spacing w:after="0" w:line="244" w:lineRule="auto"/>
        <w:rPr>
          <w:sz w:val="20"/>
          <w:szCs w:val="20"/>
          <w:color w:val="auto"/>
        </w:rPr>
      </w:pPr>
      <w:r>
        <w:rPr>
          <w:rFonts w:ascii="Times New Roman" w:cs="Times New Roman" w:eastAsia="Times New Roman" w:hAnsi="Times New Roman"/>
          <w:sz w:val="18"/>
          <w:szCs w:val="18"/>
          <w:color w:val="auto"/>
        </w:rPr>
        <w:t>During the three months ended July 27, 2024, the Company granted awards under its 2021 Plan to key employees (“Fiscal 2025 LTIP”). Awards under the Fiscal 2025 LTIP consist of: (i) time-based restricted stock awards and time-based restricted stock units, which vest in equal tranches in July 2025, July 2026 and July 2027, and (ii) PRSUs, which vest based on the Company’s achievement of revenue and non-GAAP adjusted EBITDA targets for the three-year period ending April 30, 2027.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months ended August 2, 2025 and July 27</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2024, the Company recorded $3,859,000 and $306,000 and of compensation expense related to the Fiscal 2025 LTIP. At August 2, 2025, the maximum compensation expense that may be recorded for the performance-based portion of the Fiscal 2025 LTIP is $18,288,000.</w:t>
      </w:r>
    </w:p>
    <w:p>
      <w:pPr>
        <w:spacing w:after="0" w:line="195" w:lineRule="exact"/>
        <w:rPr>
          <w:sz w:val="20"/>
          <w:szCs w:val="20"/>
          <w:color w:val="auto"/>
        </w:rPr>
      </w:pPr>
    </w:p>
    <w:p>
      <w:pPr>
        <w:ind w:left="40" w:right="79"/>
        <w:spacing w:after="0" w:line="269" w:lineRule="auto"/>
        <w:rPr>
          <w:sz w:val="20"/>
          <w:szCs w:val="20"/>
          <w:color w:val="auto"/>
        </w:rPr>
      </w:pPr>
      <w:r>
        <w:rPr>
          <w:rFonts w:ascii="Times New Roman" w:cs="Times New Roman" w:eastAsia="Times New Roman" w:hAnsi="Times New Roman"/>
          <w:sz w:val="17"/>
          <w:szCs w:val="17"/>
          <w:color w:val="auto"/>
        </w:rPr>
        <w:t>During the three months ended July 29, 2023, the Company granted awards under the 2021 Plan to key employees (“Fiscal 2024 LTIP”). Awards under the Fiscal 2024 LTIP consist of: (i) time-based restricted stock awards and time-based restricted stock units, which vest in equal tranches in July 2024, July 2025 and July 2026, and (ii) PRSUs, which vest based on the Company’s achievement of revenue and non-GAAP adjusted EBITDA targets for the three-year period ending April 30, 2026.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months ended August 2, 2025 and July 27, 2024 the Company recorded $3,008,000 and $1,112,000 of compensation expense related to the Fiscal 2024 LTIP, respectively. At August 2, 2025, the maximum compensation expense that may be recorded for the performance-based portion of the Fiscal 2024 LTIP is $14,942,000.</w:t>
      </w:r>
    </w:p>
    <w:p>
      <w:pPr>
        <w:spacing w:after="0" w:line="176" w:lineRule="exact"/>
        <w:rPr>
          <w:sz w:val="20"/>
          <w:szCs w:val="20"/>
          <w:color w:val="auto"/>
        </w:rPr>
      </w:pPr>
    </w:p>
    <w:p>
      <w:pPr>
        <w:ind w:left="40" w:right="79"/>
        <w:spacing w:after="0" w:line="254" w:lineRule="auto"/>
        <w:rPr>
          <w:sz w:val="20"/>
          <w:szCs w:val="20"/>
          <w:color w:val="auto"/>
        </w:rPr>
      </w:pPr>
      <w:r>
        <w:rPr>
          <w:rFonts w:ascii="Times New Roman" w:cs="Times New Roman" w:eastAsia="Times New Roman" w:hAnsi="Times New Roman"/>
          <w:sz w:val="18"/>
          <w:szCs w:val="18"/>
          <w:color w:val="auto"/>
        </w:rPr>
        <w:t>During the three months ended July 30, 2022, the Company granted awards under the 2021 Plan to key employees (“Fiscal 2023 LTIP”). Awards under the Fiscal 2023 LTIP consist of: (i) time-based restricted stock awards and time-based restricted stock units, which vest in equal tranches in July 2023, July 2024 and July 2025, and (ii) PRSUs, which vest based on the Company’s achievement of revenue and non-GAAP adjusted EBITDA targets for the three-year period ending April 30, 2025. During the three months ended August 2, 2025, the Company issued a total of 61,605 fully-vested shares of the Company’s common stock to settle the PRSUs in the Fiscal 2023 LTIP. For the three months ended August 2, 2025 and July 27, 2024, the Company recorded no compensation expense and $865,000 of compensation expense related to the Fiscal 2023 LTIP, respectively.</w:t>
      </w:r>
    </w:p>
    <w:p>
      <w:pPr>
        <w:spacing w:after="0" w:line="192" w:lineRule="exact"/>
        <w:rPr>
          <w:sz w:val="20"/>
          <w:szCs w:val="20"/>
          <w:color w:val="auto"/>
        </w:rPr>
      </w:pPr>
    </w:p>
    <w:p>
      <w:pPr>
        <w:ind w:left="40" w:right="159"/>
        <w:spacing w:after="0" w:line="258" w:lineRule="auto"/>
        <w:rPr>
          <w:sz w:val="20"/>
          <w:szCs w:val="20"/>
          <w:color w:val="auto"/>
        </w:rPr>
      </w:pPr>
      <w:r>
        <w:rPr>
          <w:rFonts w:ascii="Times New Roman" w:cs="Times New Roman" w:eastAsia="Times New Roman" w:hAnsi="Times New Roman"/>
          <w:sz w:val="18"/>
          <w:szCs w:val="18"/>
          <w:color w:val="auto"/>
        </w:rPr>
        <w:t>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16" w:lineRule="exact"/>
        <w:rPr>
          <w:sz w:val="20"/>
          <w:szCs w:val="20"/>
          <w:color w:val="auto"/>
        </w:rPr>
      </w:pPr>
    </w:p>
    <w:p>
      <w:pPr>
        <w:ind w:left="40" w:right="79"/>
        <w:spacing w:after="0" w:line="255" w:lineRule="auto"/>
        <w:rPr>
          <w:sz w:val="20"/>
          <w:szCs w:val="20"/>
          <w:color w:val="auto"/>
        </w:rPr>
      </w:pPr>
      <w:r>
        <w:rPr>
          <w:rFonts w:ascii="Times New Roman" w:cs="Times New Roman" w:eastAsia="Times New Roman" w:hAnsi="Times New Roman"/>
          <w:sz w:val="18"/>
          <w:szCs w:val="18"/>
          <w:color w:val="auto"/>
        </w:rPr>
        <w:t>For the three months ended August 2, 2025, the Company recorded an income tax benefit of $(15,169,000) yielding an effective tax rate of 18.0%. For the three months ended July 27, 2024, the Company recorded an income tax expense provision of $1,485,000 yielding an effective tax rate of 6.6%. The variance from statutory rates for the three months ended August 2, 2025 was primarily due to the loss before income taxes for the three months ended August 2, 2025. The variance from statutory rates for the three months ended July 27, 2024 was primarily due to foreign-derived intangible income (“FDII”) deductions, federal R&amp;D credits and excess tax benefits from the exercise of stock options and vesting of equity awards.</w:t>
      </w:r>
    </w:p>
    <w:p>
      <w:pPr>
        <w:spacing w:after="0" w:line="189"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On July 4, 2025, the reconciliation bill, commonly known as the One Big Beautiful Bill Act (“OBBBA”), was enacted into law. The OBBBA, among other things, eliminates the requirement to capitalize U.S. R&amp;D expenses, permanently extends certain provisions of the Tax Cuts &amp; Jobs Act of 2017 and modifies certain international tax provisions, including changes to the Global Intangible Low-Taxed Income (“GILTI”) and the FDII regimes, with effective dates beginning in calendar year 2025 and extending through calendar year 2027. As the OBBBA was enacted during the Company’s fiscal quarter ended August 2, 2025, the Company reflected the impacts of the OBBBA on the condensed consolidated financial statements. The Company is in the process of evaluating the financial statement impact of these provisions to future periods. Each of these changes may result in accelerated tax deductions during the current and future tax years. Cash tax payments for the fiscal year ending April 30, 2026 are expected to be significantly reduced as a result of the accelerated tax deductions. However, the Company's total income tax expense and effective tax rate are not expected to materially change as a result of the new legislation.</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16. Share Issuances</w:t>
      </w:r>
    </w:p>
    <w:p>
      <w:pPr>
        <w:spacing w:after="0" w:line="216" w:lineRule="exact"/>
        <w:rPr>
          <w:sz w:val="20"/>
          <w:szCs w:val="20"/>
          <w:color w:val="auto"/>
        </w:rPr>
      </w:pPr>
    </w:p>
    <w:p>
      <w:pPr>
        <w:ind w:left="40" w:right="179"/>
        <w:spacing w:after="0" w:line="253" w:lineRule="auto"/>
        <w:rPr>
          <w:sz w:val="20"/>
          <w:szCs w:val="20"/>
          <w:color w:val="auto"/>
        </w:rPr>
      </w:pPr>
      <w:r>
        <w:rPr>
          <w:rFonts w:ascii="Times New Roman" w:cs="Times New Roman" w:eastAsia="Times New Roman" w:hAnsi="Times New Roman"/>
          <w:sz w:val="18"/>
          <w:szCs w:val="18"/>
          <w:color w:val="auto"/>
        </w:rPr>
        <w:t>In July 2025, the Company entered into an underwriting agreement (the “Common Stock Underwriting Agreement”) with certain underwriters (the “Common Stock Underwriters”) agreeing, subject to customary conditions, to issue and sell 3,528,226 shares of the Company’s common stock to the Common Stock Underwriters. In addition, pursuant to the Common Stock Underwriting Agreement, the Company granted the Common Stock Underwriters an option, exercisable within 30 days after entering the Common Stock Underwriting Agreement, to purchase up to an additional 529,234 shares of the Company’s common stock (the “Over-allotment Option”). The issuance of 3,528,226 shares of common stock was completed in July 2025. Subsequently, the Company closed the issuance and sale of 529,234 shares of its common stock pursuant to the underwriters’ full exercise of the Over-allotment Option in July 2025 for a total issuance of 4,057,460 shares, generating gross proceeds to the Company of $1,006,250,000, proceeds of $968,515,000, net of underwriting discount and $966,846,000 net of underwriting discount and other equity issuance costs.</w:t>
      </w:r>
    </w:p>
    <w:p>
      <w:pPr>
        <w:spacing w:after="0" w:line="190" w:lineRule="exact"/>
        <w:rPr>
          <w:sz w:val="20"/>
          <w:szCs w:val="20"/>
          <w:color w:val="auto"/>
        </w:rPr>
      </w:pPr>
    </w:p>
    <w:p>
      <w:pPr>
        <w:ind w:left="40" w:right="7059" w:firstLine="4"/>
        <w:spacing w:after="0" w:line="532" w:lineRule="auto"/>
        <w:tabs>
          <w:tab w:leader="none" w:pos="31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Acquisitions BlueHalo Acquisition</w:t>
      </w:r>
    </w:p>
    <w:p>
      <w:pPr>
        <w:spacing w:after="0" w:line="1" w:lineRule="exact"/>
        <w:rPr>
          <w:sz w:val="20"/>
          <w:szCs w:val="20"/>
          <w:color w:val="auto"/>
        </w:rPr>
      </w:pPr>
    </w:p>
    <w:p>
      <w:pPr>
        <w:ind w:left="40" w:right="239"/>
        <w:spacing w:after="0" w:line="258" w:lineRule="auto"/>
        <w:rPr>
          <w:sz w:val="20"/>
          <w:szCs w:val="20"/>
          <w:color w:val="auto"/>
        </w:rPr>
      </w:pPr>
      <w:r>
        <w:rPr>
          <w:rFonts w:ascii="Times New Roman" w:cs="Times New Roman" w:eastAsia="Times New Roman" w:hAnsi="Times New Roman"/>
          <w:sz w:val="18"/>
          <w:szCs w:val="18"/>
          <w:color w:val="auto"/>
        </w:rPr>
        <w:t>On May 1, 2025, the Company closed its acquisition of BlueHalo LLC for merger consideration, net of cash acquired, of $3,484,945,000. Through the acquisition, BlueHalo is incorporated into the Company’s AxS and SCDE segments. The acquisition will help to advance the combined company as a global defense technology leader across air, land, sea, space, and cyber. The Company accounted for the acquisition under the acquisition method of accounting for business combinations.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Amount</w:t>
            </w:r>
          </w:p>
        </w:tc>
      </w:tr>
      <w:tr>
        <w:trPr>
          <w:trHeight w:val="209"/>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Merger consideration transferred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2,640,365</w:t>
            </w:r>
          </w:p>
        </w:tc>
      </w:tr>
      <w:tr>
        <w:trPr>
          <w:trHeight w:val="216"/>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Settlement of BlueHalo’s transaction expenses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25,214</w:t>
            </w:r>
          </w:p>
        </w:tc>
      </w:tr>
      <w:tr>
        <w:trPr>
          <w:trHeight w:val="216"/>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 of BlueHalo’s debt</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863,207</w:t>
            </w:r>
          </w:p>
        </w:tc>
      </w:tr>
      <w:tr>
        <w:trPr>
          <w:trHeight w:val="209"/>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Merger consideration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3,528,786</w:t>
            </w:r>
          </w:p>
        </w:tc>
      </w:tr>
      <w:tr>
        <w:trPr>
          <w:trHeight w:val="216"/>
        </w:trPr>
        <w:tc>
          <w:tcPr>
            <w:tcW w:w="7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cash acquired</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(43,841)</w:t>
            </w:r>
          </w:p>
        </w:tc>
      </w:tr>
      <w:tr>
        <w:trPr>
          <w:trHeight w:val="228"/>
        </w:trPr>
        <w:tc>
          <w:tcPr>
            <w:tcW w:w="7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3,484,945</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The fair value of the Company’s common stock issued is based on 17,425,849 shares issued as consideration, per the terms of the Merger Agreement, and the closing share price of $151.52 on April 30, 2025.</w:t>
      </w:r>
    </w:p>
    <w:p>
      <w:pPr>
        <w:spacing w:after="0" w:line="162"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The following table summarizes the preliminary allocation of the fair value of the merger consideration transferred to assets acquired and liabilities assumed as of the acquisition date. The allocation of the purchase price is preliminary and subject to change as the Company continues to evaluate the fair values of certain assets and liabilities acquired. Open items in the purchase price allocation include the valuation of assets acquired and liabilities assumed including, but not limited to technology, backlog and customer relationships intangibles and fair value adjustment to inventory; property, plant and equipment; leases; details surrounding tax matters; and assumptions underlying certain existing or potential reserves, such as those for inventory and legal matters (in thousands):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May 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8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Fair value of assets acquired: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$420 at May 1, 2025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Unbilled receivables and retentions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taxes receivable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liabilities assumed: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Wages and related accruals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advances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383,468</w:t>
            </w:r>
          </w:p>
        </w:tc>
        <w:tc>
          <w:tcPr>
            <w:tcW w:w="0" w:type="dxa"/>
            <w:vAlign w:val="bottom"/>
          </w:tcPr>
          <w:p>
            <w:pPr>
              <w:spacing w:after="0"/>
              <w:rPr>
                <w:sz w:val="1"/>
                <w:szCs w:val="1"/>
                <w:color w:val="auto"/>
              </w:rPr>
            </w:pPr>
          </w:p>
        </w:tc>
      </w:tr>
      <w:tr>
        <w:trPr>
          <w:trHeight w:val="210"/>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Determining the fair value of the intangible assets acquired requires significant judgment, including the amount and timing of expected future cash flows, long-term growth rates and discount rates. The fair value assigned to intangible assets has been estimated based on third-party preliminary valuation studies utilizing income-based methodologies and corroborated with benchmarks of similar transactions in the industry. Use of different estimates and judgments could yield materially different results. All intangible assets acquired in the BlueHalo acquisition are subject to amortization.</w:t>
      </w:r>
    </w:p>
    <w:p>
      <w:pPr>
        <w:spacing w:after="0" w:line="183" w:lineRule="exact"/>
        <w:rPr>
          <w:sz w:val="20"/>
          <w:szCs w:val="20"/>
          <w:color w:val="auto"/>
        </w:rPr>
      </w:pPr>
    </w:p>
    <w:p>
      <w:pPr>
        <w:ind w:left="40" w:right="279"/>
        <w:spacing w:after="0" w:line="266" w:lineRule="auto"/>
        <w:rPr>
          <w:sz w:val="20"/>
          <w:szCs w:val="20"/>
          <w:color w:val="auto"/>
        </w:rPr>
      </w:pPr>
      <w:r>
        <w:rPr>
          <w:rFonts w:ascii="Times New Roman" w:cs="Times New Roman" w:eastAsia="Times New Roman" w:hAnsi="Times New Roman"/>
          <w:sz w:val="18"/>
          <w:szCs w:val="18"/>
          <w:color w:val="auto"/>
        </w:rPr>
        <w:t>The goodwill is attributable to the differences between the estimated fair value of the consideration transferred and the estimated fair value of the assets acquired, and liabilities assumed. For income tax purposes the goodwill and intangibles are not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summarizes the valuation of the fair value of intangible assets acquired (in thousands):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Preliminary Fair Value</w:t>
            </w:r>
          </w:p>
        </w:tc>
        <w:tc>
          <w:tcPr>
            <w:tcW w:w="19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Estimated Useful Life</w:t>
            </w:r>
          </w:p>
        </w:tc>
      </w:tr>
      <w:tr>
        <w:trPr>
          <w:trHeight w:val="234"/>
        </w:trPr>
        <w:tc>
          <w:tcPr>
            <w:tcW w:w="4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Years</w:t>
            </w:r>
          </w:p>
        </w:tc>
      </w:tr>
      <w:tr>
        <w:trPr>
          <w:trHeight w:val="21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Preliminary fair value of intangible assets acquired:</w:t>
            </w:r>
          </w:p>
        </w:tc>
        <w:tc>
          <w:tcPr>
            <w:tcW w:w="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Backlog</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670,000</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396,000</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10"/>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1,128,000</w:t>
            </w:r>
          </w:p>
        </w:tc>
        <w:tc>
          <w:tcPr>
            <w:tcW w:w="194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9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b w:val="1"/>
          <w:bCs w:val="1"/>
          <w:color w:val="auto"/>
        </w:rPr>
        <w:t>BlueHalo Supplemental Pro Forma Information (unaudited)</w:t>
      </w:r>
    </w:p>
    <w:p>
      <w:pPr>
        <w:spacing w:after="0" w:line="229"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8"/>
          <w:szCs w:val="18"/>
          <w:color w:val="auto"/>
        </w:rPr>
        <w:t>BlueHalo revenue and loss from operations for the three months ended August 2, 2025 since its acquisition on May 1, 2025 was $235,282,000 and $(49,451,000), respectively. The pro forma results for the first quarter ended August 2, 2025 were prepared as if the acquisition was completed on the first day of the Company's fiscal year May 1, 2024. The pro forma amounts include the historical operating results of the Company and BlueHalo prior to the acquisition. The pro forma results are not necessarily indicative of the Company's results of operations that would have been obtained had the acquisition of BlueHalo been completed for the period presented, or which may be realized in the future (in thousands):</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4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Borders>
              <w:bottom w:val="single" w:sz="8" w:color="auto"/>
            </w:tcBorders>
          </w:tcPr>
          <w:p>
            <w:pPr>
              <w:spacing w:after="0"/>
              <w:rPr>
                <w:sz w:val="15"/>
                <w:szCs w:val="15"/>
                <w:color w:val="auto"/>
              </w:rPr>
            </w:pPr>
          </w:p>
        </w:tc>
      </w:tr>
      <w:tr>
        <w:trPr>
          <w:trHeight w:val="227"/>
        </w:trPr>
        <w:tc>
          <w:tcPr>
            <w:tcW w:w="40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78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July 27,</w:t>
            </w:r>
          </w:p>
        </w:tc>
      </w:tr>
      <w:tr>
        <w:trPr>
          <w:trHeight w:val="199"/>
        </w:trPr>
        <w:tc>
          <w:tcPr>
            <w:tcW w:w="406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454,675</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378,924</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AeroVironment, Inc.</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(36,110)</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(88,402)</w:t>
            </w:r>
          </w:p>
        </w:tc>
      </w:tr>
    </w:tbl>
    <w:p>
      <w:pPr>
        <w:spacing w:after="0" w:line="179" w:lineRule="exact"/>
        <w:rPr>
          <w:sz w:val="20"/>
          <w:szCs w:val="20"/>
          <w:color w:val="auto"/>
        </w:rPr>
      </w:pPr>
    </w:p>
    <w:p>
      <w:pPr>
        <w:ind w:left="40" w:right="159"/>
        <w:spacing w:after="0" w:line="261" w:lineRule="auto"/>
        <w:rPr>
          <w:sz w:val="20"/>
          <w:szCs w:val="20"/>
          <w:color w:val="auto"/>
        </w:rPr>
      </w:pPr>
      <w:r>
        <w:rPr>
          <w:rFonts w:ascii="Times New Roman" w:cs="Times New Roman" w:eastAsia="Times New Roman" w:hAnsi="Times New Roman"/>
          <w:sz w:val="18"/>
          <w:szCs w:val="18"/>
          <w:color w:val="auto"/>
        </w:rPr>
        <w:t>The Company recognized a nonrecurring pro forma adjustment to pro forma earnings to amortize an increase in the fair value of inventory acquired during the three months ended August 2, 2025. In addition, for the three months ended August 2, 2025, the amortization expense associated with the Company's one-year intangible backlog has been eliminated within the pro forma adjustments.</w:t>
      </w:r>
    </w:p>
    <w:p>
      <w:pPr>
        <w:spacing w:after="0" w:line="180" w:lineRule="exact"/>
        <w:rPr>
          <w:sz w:val="20"/>
          <w:szCs w:val="20"/>
          <w:color w:val="auto"/>
        </w:rPr>
      </w:pPr>
    </w:p>
    <w:p>
      <w:pPr>
        <w:ind w:left="40" w:right="119"/>
        <w:spacing w:after="0" w:line="261" w:lineRule="auto"/>
        <w:rPr>
          <w:sz w:val="20"/>
          <w:szCs w:val="20"/>
          <w:color w:val="auto"/>
        </w:rPr>
      </w:pPr>
      <w:r>
        <w:rPr>
          <w:rFonts w:ascii="Times New Roman" w:cs="Times New Roman" w:eastAsia="Times New Roman" w:hAnsi="Times New Roman"/>
          <w:sz w:val="18"/>
          <w:szCs w:val="18"/>
          <w:color w:val="auto"/>
        </w:rPr>
        <w:t>These pro forma amounts have been calculated by applying the Company’s accounting policies, assuming transaction costs had been incurred during the three months ended July 27, 2024, reflecting the additional amortization and depreciation that would have been charged, incremental interest expense associated with the initial financing for the acquisition under the term loan and revolver, and including the results of BlueHalo prior to acquisition.</w:t>
      </w:r>
    </w:p>
    <w:p>
      <w:pPr>
        <w:spacing w:after="0" w:line="180" w:lineRule="exact"/>
        <w:rPr>
          <w:sz w:val="20"/>
          <w:szCs w:val="20"/>
          <w:color w:val="auto"/>
        </w:rPr>
      </w:pPr>
    </w:p>
    <w:p>
      <w:pPr>
        <w:jc w:val="both"/>
        <w:ind w:left="40" w:right="139"/>
        <w:spacing w:after="0" w:line="261" w:lineRule="auto"/>
        <w:rPr>
          <w:sz w:val="20"/>
          <w:szCs w:val="20"/>
          <w:color w:val="auto"/>
        </w:rPr>
      </w:pPr>
      <w:r>
        <w:rPr>
          <w:rFonts w:ascii="Times New Roman" w:cs="Times New Roman" w:eastAsia="Times New Roman" w:hAnsi="Times New Roman"/>
          <w:sz w:val="18"/>
          <w:szCs w:val="18"/>
          <w:color w:val="auto"/>
        </w:rPr>
        <w:t>The Company incurred approximately $43,020,000 of BlueHalo acquisition-related expenses. The Company recognized a nonrecurring pro forma adjustment to the three months ended August 2, 2025 to remove the impact of the transaction costs from the historical balance, while recognizing the $43,020,000 of transaction expenses within the three months ended July 27, 2024 to reflect the costs as if the acquisition was completed during the three months ended July 27, 2024.</w:t>
      </w:r>
    </w:p>
    <w:p>
      <w:pPr>
        <w:spacing w:after="0" w:line="180" w:lineRule="exact"/>
        <w:rPr>
          <w:sz w:val="20"/>
          <w:szCs w:val="20"/>
          <w:color w:val="auto"/>
        </w:rPr>
      </w:pPr>
    </w:p>
    <w:p>
      <w:pPr>
        <w:ind w:left="40" w:right="319"/>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information presented above does not give effect to the July 2025 common stock issuance and Notes issuance, as such proceeds were not used to fund the BlueHalo acquisition. As the Company’s repayment of indebtedness using the proceeds of the common stock issuance and Notes issuance was not directly attributable to the acquisition, the related reduction in interest expense is not reflected in this unaudited pro forma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18. Pension</w:t>
      </w:r>
    </w:p>
    <w:p>
      <w:pPr>
        <w:spacing w:after="0" w:line="229" w:lineRule="exact"/>
        <w:rPr>
          <w:sz w:val="20"/>
          <w:szCs w:val="20"/>
          <w:color w:val="auto"/>
        </w:rPr>
      </w:pPr>
    </w:p>
    <w:p>
      <w:pPr>
        <w:ind w:left="40" w:right="199"/>
        <w:spacing w:after="0" w:line="258" w:lineRule="auto"/>
        <w:rPr>
          <w:sz w:val="20"/>
          <w:szCs w:val="20"/>
          <w:color w:val="auto"/>
        </w:rPr>
      </w:pPr>
      <w:r>
        <w:rPr>
          <w:rFonts w:ascii="Times New Roman" w:cs="Times New Roman" w:eastAsia="Times New Roman" w:hAnsi="Times New Roman"/>
          <w:sz w:val="18"/>
          <w:szCs w:val="18"/>
          <w:color w:val="auto"/>
        </w:rPr>
        <w:t>As part of the Telerob acquisition, the Company acquired a small foreign-based defined benefit pension plan. The Rheinmetall-Zusatzversorgung service plan covers three former employees based on individual contracts issued to the employees. No other employees are eligible to participate. The Company has reinsurance policies that were taken out for participating former employees, which were pledged to the employees. The measurement date for the Company’s pension plan was April 30, 2025.</w:t>
      </w:r>
    </w:p>
    <w:p>
      <w:pPr>
        <w:spacing w:after="0" w:line="183" w:lineRule="exact"/>
        <w:rPr>
          <w:sz w:val="20"/>
          <w:szCs w:val="20"/>
          <w:color w:val="auto"/>
        </w:rPr>
      </w:pPr>
    </w:p>
    <w:p>
      <w:pPr>
        <w:ind w:left="40" w:right="399"/>
        <w:spacing w:after="0" w:line="282" w:lineRule="auto"/>
        <w:rPr>
          <w:sz w:val="20"/>
          <w:szCs w:val="20"/>
          <w:color w:val="auto"/>
        </w:rPr>
      </w:pPr>
      <w:r>
        <w:rPr>
          <w:rFonts w:ascii="Times New Roman" w:cs="Times New Roman" w:eastAsia="Times New Roman" w:hAnsi="Times New Roman"/>
          <w:sz w:val="18"/>
          <w:szCs w:val="18"/>
          <w:color w:val="auto"/>
        </w:rPr>
        <w:t>The table below includes the projected benefit obligation and fair value of plan assets as of April 30, 2025. The net fair value of plan assets (in thousands) is recorded in other assets on the unaudited condensed consolidated balance sheet.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Projected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-111760</wp:posOffset>
            </wp:positionV>
            <wp:extent cx="565785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18"/>
          <w:szCs w:val="18"/>
          <w:color w:val="auto"/>
        </w:rPr>
        <w:t>Funded status of the plan</w:t>
      </w:r>
    </w:p>
    <w:p>
      <w:pPr>
        <w:spacing w:after="0" w:line="20" w:lineRule="exact"/>
        <w:rPr>
          <w:sz w:val="20"/>
          <w:szCs w:val="20"/>
          <w:color w:val="auto"/>
        </w:rPr>
      </w:pPr>
      <w:r>
        <w:rPr>
          <w:sz w:val="20"/>
          <w:szCs w:val="20"/>
          <w:color w:val="auto"/>
        </w:rPr>
        <w:br w:type="column"/>
      </w:r>
    </w:p>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April 30,</w:t>
      </w:r>
    </w:p>
    <w:p>
      <w:pPr>
        <w:spacing w:after="0" w:line="55"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9004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35"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 w:lineRule="exact"/>
        <w:rPr>
          <w:sz w:val="20"/>
          <w:szCs w:val="20"/>
          <w:color w:val="auto"/>
        </w:rPr>
      </w:pPr>
    </w:p>
    <w:p>
      <w:pPr>
        <w:ind w:left="884" w:hanging="884"/>
        <w:spacing w:after="0"/>
        <w:tabs>
          <w:tab w:leader="none" w:pos="8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(3,335)</w:t>
      </w:r>
    </w:p>
    <w:p>
      <w:pPr>
        <w:spacing w:after="0" w:line="7" w:lineRule="exact"/>
        <w:rPr>
          <w:rFonts w:ascii="Times New Roman" w:cs="Times New Roman" w:eastAsia="Times New Roman" w:hAnsi="Times New Roman"/>
          <w:sz w:val="18"/>
          <w:szCs w:val="18"/>
          <w:color w:val="auto"/>
        </w:rPr>
      </w:pPr>
    </w:p>
    <w:p>
      <w:pPr>
        <w:ind w:left="9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3,817</w:t>
      </w:r>
    </w:p>
    <w:p>
      <w:pPr>
        <w:spacing w:after="0" w:line="9" w:lineRule="exact"/>
        <w:rPr>
          <w:sz w:val="20"/>
          <w:szCs w:val="20"/>
          <w:color w:val="auto"/>
        </w:rPr>
      </w:pPr>
    </w:p>
    <w:p>
      <w:pPr>
        <w:ind w:left="1104" w:hanging="1104"/>
        <w:spacing w:after="0"/>
        <w:tabs>
          <w:tab w:leader="none" w:pos="11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9004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6816" w:space="720"/>
            <w:col w:w="1483"/>
          </w:cols>
          <w:pgMar w:left="1440" w:top="513" w:right="1440" w:bottom="1440" w:gutter="0" w:footer="0" w:header="0"/>
          <w:type w:val="continuous"/>
        </w:sectPr>
      </w:pPr>
    </w:p>
    <w:p>
      <w:pPr>
        <w:spacing w:after="0" w:line="52"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The projected benefit obligation includes assumptions of a discount rate of 3.6% and pension increase for in-payment benefits of 2.5% for both August 2, 2025 and April 30, 2025. The accumulated benefit obligation is approximately equal to the Company’s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2026. The Company assumed expected return on plan assets of 2.9% for August 2, 2025 and April 30, 2025, respectively.</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benefit payments as of April 30, 2025 (in thousands):</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2031-2035</w:t>
            </w:r>
          </w:p>
        </w:tc>
        <w:tc>
          <w:tcPr>
            <w:tcW w:w="4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expected benefit payments</w:t>
            </w:r>
          </w:p>
        </w:tc>
        <w:tc>
          <w:tcPr>
            <w:tcW w:w="4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periodic benefit cost (in thousands) is recorded in interest expense, net.</w:t>
            </w:r>
          </w:p>
        </w:tc>
        <w:tc>
          <w:tcPr>
            <w:tcW w:w="4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60" w:type="dxa"/>
            <w:vAlign w:val="bottom"/>
            <w:tcBorders>
              <w:bottom w:val="single" w:sz="8" w:color="auto"/>
            </w:tcBorders>
            <w:gridSpan w:val="7"/>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1380" w:type="dxa"/>
            <w:vAlign w:val="bottom"/>
            <w:gridSpan w:val="2"/>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31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4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80" w:type="dxa"/>
            <w:vAlign w:val="bottom"/>
          </w:tcPr>
          <w:p>
            <w:pPr>
              <w:spacing w:after="0"/>
              <w:rPr>
                <w:sz w:val="19"/>
                <w:szCs w:val="19"/>
                <w:color w:val="auto"/>
              </w:rPr>
            </w:pP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31</w:t>
            </w:r>
          </w:p>
        </w:tc>
        <w:tc>
          <w:tcPr>
            <w:tcW w:w="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19. Segments</w:t>
      </w:r>
    </w:p>
    <w:p>
      <w:pPr>
        <w:spacing w:after="0" w:line="229"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R&amp;D and other significant expenses, leading to decisions related to resource allocations in relation to profit and loss. Accordingly, the Company identifies two reportable segments.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Effective May 1, 2025, the Company reorganized its segments. In connection with the Company’s acquisition of BlueHalo, the reorganization was implemented to drive additional operational improvements, foster synergies and provide leaders with greater autonomy over their business units. The Company’s reportable segments are Autonomous Systems and Space, Cyber and Directed Energy.</w:t>
      </w:r>
    </w:p>
    <w:p>
      <w:pPr>
        <w:spacing w:after="0" w:line="180"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1, “Organization and Significant Accounting Policies.” The operating segments sales to each other are eliminated. Effective May 1, 2025, segment adjusted EBITDA is the measure of profitability used by the CODM for purposes of making decisions about allocating resources to the segments and assessing performance. Segment adjusted EBITDA is defined as segment (loss) income from operations before depreciation and amortization, adjusted for the impact of certain other non-cash items, including amortization of implementation of cloud computing arrangements, stock-based compensation, and acquisition related expenses. Prior period segment information has been revised to align with the new segment measure of profitability.</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gridSpan w:val="6"/>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 August 2, 2025</w:t>
            </w:r>
          </w:p>
        </w:tc>
        <w:tc>
          <w:tcPr>
            <w:tcW w:w="90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AxS</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SCDE</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44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240,744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72,789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Cost of sales less intangible amortization and other</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175,047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147,132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cost of sales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4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General and administrative less intangible</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30,486</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SG&amp;A</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4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arrangement</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implementation</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8,775</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56,556</w:t>
            </w:r>
          </w:p>
        </w:tc>
        <w:tc>
          <w:tcPr>
            <w:tcW w:w="0" w:type="dxa"/>
            <w:vAlign w:val="bottom"/>
          </w:tcPr>
          <w:p>
            <w:pPr>
              <w:spacing w:after="0"/>
              <w:rPr>
                <w:sz w:val="1"/>
                <w:szCs w:val="1"/>
                <w:color w:val="auto"/>
              </w:rPr>
            </w:pPr>
          </w:p>
        </w:tc>
      </w:tr>
      <w:tr>
        <w:trPr>
          <w:trHeight w:val="864"/>
        </w:trPr>
        <w:tc>
          <w:tcPr>
            <w:tcW w:w="4140" w:type="dxa"/>
            <w:vAlign w:val="bottom"/>
          </w:tcPr>
          <w:p>
            <w:pPr>
              <w:spacing w:after="0"/>
              <w:rPr>
                <w:sz w:val="24"/>
                <w:szCs w:val="24"/>
                <w:color w:val="auto"/>
              </w:rPr>
            </w:pPr>
          </w:p>
        </w:tc>
        <w:tc>
          <w:tcPr>
            <w:tcW w:w="4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26</w:t>
            </w: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0" w:type="dxa"/>
            <w:vAlign w:val="bottom"/>
            <w:gridSpan w:val="5"/>
          </w:tcPr>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 July 27, 2024</w:t>
            </w:r>
          </w:p>
        </w:tc>
        <w:tc>
          <w:tcPr>
            <w:tcW w:w="240" w:type="dxa"/>
            <w:vAlign w:val="bottom"/>
          </w:tcPr>
          <w:p>
            <w:pPr>
              <w:spacing w:after="0"/>
              <w:rPr>
                <w:sz w:val="13"/>
                <w:szCs w:val="13"/>
                <w:color w:val="auto"/>
              </w:rPr>
            </w:pPr>
          </w:p>
        </w:tc>
        <w:tc>
          <w:tcPr>
            <w:tcW w:w="90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AxS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SCDE</w:t>
            </w: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 sales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Contract services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Cost of sales less intangible amortization and other</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cost of sales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General and administrative less intangible</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14,231</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amortization included in SG&amp;A</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Add: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cloud computing arrangement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implementation</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439"/>
        <w:spacing w:after="0" w:line="282" w:lineRule="auto"/>
        <w:rPr>
          <w:sz w:val="20"/>
          <w:szCs w:val="20"/>
          <w:color w:val="auto"/>
        </w:rPr>
      </w:pPr>
      <w:r>
        <w:rPr>
          <w:rFonts w:ascii="Times New Roman" w:cs="Times New Roman" w:eastAsia="Times New Roman" w:hAnsi="Times New Roman"/>
          <w:sz w:val="18"/>
          <w:szCs w:val="18"/>
          <w:color w:val="auto"/>
        </w:rPr>
        <w:t>The following table (in thousands) provides a reconciliation from segment adjusted EBITDA to income before income taxes:</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7"/>
        </w:trPr>
        <w:tc>
          <w:tcPr>
            <w:tcW w:w="4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0" w:type="dxa"/>
            <w:vAlign w:val="bottom"/>
          </w:tcPr>
          <w:p>
            <w:pPr>
              <w:spacing w:after="0"/>
              <w:rPr>
                <w:sz w:val="1"/>
                <w:szCs w:val="1"/>
                <w:color w:val="auto"/>
              </w:rPr>
            </w:pPr>
          </w:p>
        </w:tc>
      </w:tr>
      <w:tr>
        <w:trPr>
          <w:trHeight w:val="212"/>
        </w:trPr>
        <w:tc>
          <w:tcPr>
            <w:tcW w:w="4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56,556</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37,178</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(90,254)</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(8,852)</w:t>
            </w: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cloud computing arrangement implementation</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9"/>
        </w:trPr>
        <w:tc>
          <w:tcPr>
            <w:tcW w:w="4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securities investments activity, net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2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(17,415)</w:t>
            </w:r>
          </w:p>
        </w:tc>
        <w:tc>
          <w:tcPr>
            <w:tcW w:w="2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8"/>
          <w:szCs w:val="18"/>
          <w:color w:val="auto"/>
        </w:rPr>
        <w:t>Identifiable segment assets are summarized in the table below. Corporate assets primarily consist of cash and cash equivalents, prepaid expenses and other current assets, long-term investments, property and equipment, net, operating lease right-of-use assets, deferred income taxes and other assets managed centrally on behalf of the business segments.</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7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AxS</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SCDE</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August 2, 2025</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2,219,426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2,360,843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1,043,768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5,624,037</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As of April 30, 2025</w:t>
            </w:r>
          </w:p>
        </w:tc>
        <w:tc>
          <w:tcPr>
            <w:tcW w:w="1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872,530</w:t>
            </w:r>
          </w:p>
        </w:tc>
        <w:tc>
          <w:tcPr>
            <w:tcW w:w="46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248,037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1,120,567</w:t>
            </w:r>
          </w:p>
        </w:tc>
      </w:tr>
    </w:tbl>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Capital expenditures are summarized in the table below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26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AxS</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SCDE</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August 2, 2025</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32,068</w:t>
            </w: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July 27, 2024</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900" w:right="339" w:hanging="849"/>
        <w:spacing w:after="0" w:line="286"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9"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The following is a discussion and analysis of our financial condition and the results of operations as of and for the periods presented below. The following discussion and analysis should be read in conjunction with the “Condensed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2025, as updated by our subsequent filings under the Securities and Exchange Act of 1934, as amended (the “Exchange Act”).</w:t>
      </w:r>
    </w:p>
    <w:p>
      <w:pPr>
        <w:spacing w:after="0" w:line="190" w:lineRule="exact"/>
        <w:rPr>
          <w:sz w:val="20"/>
          <w:szCs w:val="20"/>
          <w:color w:val="auto"/>
        </w:rPr>
      </w:pPr>
    </w:p>
    <w:p>
      <w:pPr>
        <w:ind w:left="40" w:right="219"/>
        <w:spacing w:after="0" w:line="282" w:lineRule="auto"/>
        <w:rPr>
          <w:sz w:val="20"/>
          <w:szCs w:val="20"/>
          <w:color w:val="auto"/>
        </w:rPr>
      </w:pPr>
      <w:r>
        <w:rPr>
          <w:rFonts w:ascii="Times New Roman" w:cs="Times New Roman" w:eastAsia="Times New Roman" w:hAnsi="Times New Roman"/>
          <w:sz w:val="18"/>
          <w:szCs w:val="18"/>
          <w:color w:val="auto"/>
        </w:rPr>
        <w:t>Unless required by law, we expressly disclaim any obligation to update publicly any forward-looking statements, whether as result of new information, future events or otherwise.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40" w:right="519"/>
        <w:spacing w:after="0" w:line="282" w:lineRule="auto"/>
        <w:rPr>
          <w:sz w:val="20"/>
          <w:szCs w:val="20"/>
          <w:color w:val="auto"/>
        </w:rPr>
      </w:pPr>
      <w:r>
        <w:rPr>
          <w:rFonts w:ascii="Times New Roman" w:cs="Times New Roman" w:eastAsia="Times New Roman" w:hAnsi="Times New Roman"/>
          <w:sz w:val="18"/>
          <w:szCs w:val="18"/>
          <w:color w:val="auto"/>
        </w:rPr>
        <w:t>The following should be read in conjunction with the critical accounting estimates presented in our Annual Report on Form 10-K for the fiscal year ended April 30, 2025.</w:t>
      </w:r>
    </w:p>
    <w:p>
      <w:pPr>
        <w:spacing w:after="0" w:line="162"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When we prepare these condensed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9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ind w:left="40" w:right="59"/>
        <w:spacing w:after="0" w:line="253" w:lineRule="auto"/>
        <w:rPr>
          <w:sz w:val="20"/>
          <w:szCs w:val="20"/>
          <w:color w:val="auto"/>
        </w:rPr>
      </w:pPr>
      <w:r>
        <w:rPr>
          <w:rFonts w:ascii="Times New Roman" w:cs="Times New Roman" w:eastAsia="Times New Roman" w:hAnsi="Times New Roman"/>
          <w:sz w:val="18"/>
          <w:szCs w:val="18"/>
          <w:color w:val="auto"/>
        </w:rPr>
        <w:t>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including the finalization of undefinitized contract actions, occur. The impact of revisions in estimate of completion and variable consideration for all types of contracts are recognized on a cumulative catch-up basis in the period in which the revisions are made. Changes in variable consideration associated with the finalization of undefinitized contract actions could result in cumulative catch up adjustments to revenue that could be material. During the three months ended August 2, 2025 and July 27, 2024, changes in accounting estimates on contracts recognized using the over time method are presented below. Amounts representing contract change orders or claims are included in revenue if the order or claim meets the criteria of a contract or contract modification in accordance with ASU 2014-09, Revenue from Contracts with Customers (“ASC 606”).</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82" w:lineRule="auto"/>
        <w:rPr>
          <w:sz w:val="20"/>
          <w:szCs w:val="20"/>
          <w:color w:val="auto"/>
        </w:rPr>
      </w:pPr>
      <w:r>
        <w:rPr>
          <w:rFonts w:ascii="Times New Roman" w:cs="Times New Roman" w:eastAsia="Times New Roman" w:hAnsi="Times New Roman"/>
          <w:sz w:val="18"/>
          <w:szCs w:val="18"/>
          <w:color w:val="auto"/>
        </w:rPr>
        <w:t>For the three months ended August 2, 2025 and July 27, 2024, favorable and unfavorable cumulative catch-up adjustments included in revenue were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favorable adjustments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unfavorable adjustments</w:t>
            </w:r>
          </w:p>
        </w:tc>
        <w:tc>
          <w:tcPr>
            <w:tcW w:w="19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(unfavorable) favorable adjustments</w:t>
            </w:r>
          </w:p>
        </w:tc>
        <w:tc>
          <w:tcPr>
            <w:tcW w:w="19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For the three months ended August 2, 2025, favorable cumulative catch-up adjustments of $2.3 million were primarily due to cost adjustments on 13 contracts, which individually were not material. For the same period, unfavorable cumulative catch-up adjustments of $6.5 million were primarily related to higher than expected costs on 13 contracts, which individually were not material.</w:t>
      </w:r>
    </w:p>
    <w:p>
      <w:pPr>
        <w:spacing w:after="0" w:line="180"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For the three months ended July 27, 2024, favorable cumulative catch-up adjustments of $0.8 million were primarily due to final cost adjustments on 11 contracts, which individually were not material. For the same period, unfavorable cumulative catch-up adjustments of $0.3 million were primarily related to higher than expected costs on 10 contracts, which individually were not material.</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ind w:left="40" w:right="199"/>
        <w:spacing w:after="0" w:line="255" w:lineRule="auto"/>
        <w:rPr>
          <w:sz w:val="20"/>
          <w:szCs w:val="20"/>
          <w:color w:val="auto"/>
        </w:rPr>
      </w:pPr>
      <w:r>
        <w:rPr>
          <w:rFonts w:ascii="Times New Roman" w:cs="Times New Roman" w:eastAsia="Times New Roman" w:hAnsi="Times New Roman"/>
          <w:sz w:val="18"/>
          <w:szCs w:val="18"/>
          <w:color w:val="auto"/>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spacing w:after="0" w:line="189" w:lineRule="exact"/>
        <w:rPr>
          <w:sz w:val="20"/>
          <w:szCs w:val="20"/>
          <w:color w:val="auto"/>
        </w:rPr>
      </w:pPr>
    </w:p>
    <w:p>
      <w:pPr>
        <w:ind w:left="40" w:right="99"/>
        <w:spacing w:after="0" w:line="253" w:lineRule="auto"/>
        <w:rPr>
          <w:sz w:val="20"/>
          <w:szCs w:val="20"/>
          <w:color w:val="auto"/>
        </w:rPr>
      </w:pPr>
      <w:r>
        <w:rPr>
          <w:rFonts w:ascii="Times New Roman" w:cs="Times New Roman" w:eastAsia="Times New Roman" w:hAnsi="Times New Roman"/>
          <w:sz w:val="18"/>
          <w:szCs w:val="18"/>
          <w:color w:val="auto"/>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our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our business.</w:t>
      </w:r>
    </w:p>
    <w:p>
      <w:pPr>
        <w:spacing w:after="0" w:line="192" w:lineRule="exact"/>
        <w:rPr>
          <w:sz w:val="20"/>
          <w:szCs w:val="20"/>
          <w:color w:val="auto"/>
        </w:rPr>
      </w:pPr>
    </w:p>
    <w:p>
      <w:pPr>
        <w:ind w:left="40" w:right="79"/>
        <w:spacing w:after="0" w:line="253" w:lineRule="auto"/>
        <w:rPr>
          <w:sz w:val="20"/>
          <w:szCs w:val="20"/>
          <w:color w:val="auto"/>
        </w:rPr>
      </w:pPr>
      <w:r>
        <w:rPr>
          <w:rFonts w:ascii="Times New Roman" w:cs="Times New Roman" w:eastAsia="Times New Roman" w:hAnsi="Times New Roman"/>
          <w:sz w:val="18"/>
          <w:szCs w:val="18"/>
          <w:color w:val="auto"/>
        </w:rPr>
        <w:t>As part of our annual goodwill impairment and identifiable asset test during the fiscal quarter ended April 30, 2025, we determined the carrying value of the Unmanned Ground Vehicles (“UGV”) reporting unit exceeded its fair value due to a decrease in forecasted results of the UGV reporting unit resulting from reduced probability and delays of obtaining certain opportunities as well as an increase in forecast expenditures to support operational decisions identified during the fiscal quarter ended April 30, 2025. These changes in estimates resulted in the recognition of a goodwill impairment charge of $18.4 million during the three months ended April 30, 2025 in the UGV reporting unit. We determined that it was more likely than not that the fair value of our other reporting units were more than their carrying values as of the annual goodwill impairment test date. As such, during the most recent annual impairment test during the fourth quarter of fiscal year 2025, the estimated fair value of all reporting units, other than UGV, substantially exceeded their carrying value. As of August 2, 2025, we have not identified any events or circumstances that could trigger an impairment review prior to the Company’s annual impairment test, including taking into account the reporting units identified from the BlueHalo acquisition on May 1, 2025.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we could recognize future impairment charges, the amount of which could be material.</w:t>
      </w:r>
    </w:p>
    <w:p>
      <w:pPr>
        <w:spacing w:after="0" w:line="1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229"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Due to our fixed year end date of April 30, our first and fourth quarters each consist of approximately 13 weeks. The second and third quarters each consist of exactly 13 weeks. Our first three quarters end on a Saturday. Our 2026 fiscal year ends on April 30, 2026 and our fiscal quarters end on August 2, 2025, November 1, 2025 and January 31, 2026, respectively.</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 (in thousands):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August 2, 2025 Compared to Three Months Ended July 27, 2024</w:t>
      </w: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94"/>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454,676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359,558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95,118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33,114</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income: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from) provision for income taxes</w:t>
            </w:r>
          </w:p>
        </w:tc>
        <w:tc>
          <w:tcPr>
            <w:tcW w:w="1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(15,169)</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Equity method investment income, net of tax</w:t>
            </w:r>
          </w:p>
        </w:tc>
        <w:tc>
          <w:tcPr>
            <w:tcW w:w="17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96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August 2, 2025</w:t>
            </w:r>
          </w:p>
        </w:tc>
        <w:tc>
          <w:tcPr>
            <w:tcW w:w="9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AxS</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SCDE</w:t>
            </w:r>
          </w:p>
        </w:tc>
        <w:tc>
          <w:tcPr>
            <w:tcW w:w="2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285,324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169,352</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454,676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6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52,760</w:t>
            </w:r>
          </w:p>
        </w:tc>
        <w:tc>
          <w:tcPr>
            <w:tcW w:w="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74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56,556</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60" w:type="dxa"/>
            <w:vAlign w:val="bottom"/>
            <w:gridSpan w:val="6"/>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July 27, 2024</w:t>
            </w:r>
          </w:p>
        </w:tc>
        <w:tc>
          <w:tcPr>
            <w:tcW w:w="90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6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AxS</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SCDE</w:t>
            </w:r>
          </w:p>
        </w:tc>
        <w:tc>
          <w:tcPr>
            <w:tcW w:w="2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16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37,178</w:t>
            </w:r>
          </w:p>
        </w:tc>
        <w:tc>
          <w:tcPr>
            <w:tcW w:w="4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right="9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August 2, 2025 was $454.7 million, as compared to $189.5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months ended July 27, 2024, representing an increase of $265.2 million, or 140%. The increase in revenue was due to an increase in product revenue of $154.0 million and an increase in service revenue of $111.2 million. The increase in product revenue was primarily due to the $123.7 million of product revenue resulting from our acquisition of BlueHalo in May 2025. Legacy AV product revenue included in the AxS segment increased by $30.3 million driven by an increase in LMS products due to increased global demand for our Switchblade products associated with the current global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conflicts as well as U.S. D.o.D. resupply, partially offset by a decrease in SUAS due to a decrease in international sales. The increase in service revenue was primarily due to the $111.5 million service revenue resulting from our acquisition of BlueHalo. Legacy AV service revenue, included in the AxS segment remained consistent as training and repairs service revenue decreased $2.0 million driven by the decrease in SUAS product sales, partially offset by an increase of $1.8 million in customer funded R&amp;D and engineering services driven by an increase in contractor-owned, contractor-operated (“COCO”) demand. Proportion of service revenue to product revenue is expected to remain higher following the acquisition of BlueHalo.</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Cost of Sales. </w:t>
      </w:r>
      <w:r>
        <w:rPr>
          <w:rFonts w:ascii="Times New Roman" w:cs="Times New Roman" w:eastAsia="Times New Roman" w:hAnsi="Times New Roman"/>
          <w:sz w:val="18"/>
          <w:szCs w:val="18"/>
          <w:color w:val="auto"/>
        </w:rPr>
        <w:t>Cost of sales for the three months ended August 2, 2025 was $359.6 million, as compared to $108.0 million</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the three months ended July 27, 2024, representing an increase of $251.6 million, or 233%. The increase in cost of sales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was a result of an increase in product cost of sales of $145.2 million and an increase in service costs of sales of $106.4</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million. The increase in product costs of sales was primarily due to an increase of approximately $83 million associated</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with the recently acquired BlueHalo product lines and an increase of approximately $29 million intangible amortization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related to the BlueHalo acquisition. For legacy AV business, product cost of sales increased $33.1 million. The increase in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legacy product costs of sales was primarily due to an increase of approximately $17 million due to mix shift to a higher</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proportion of lower margin products driven by the increase in Switchblade production and approximately $16 million due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the increase in sales volume. The increase in service cost of sales was primarily due to an increase of approximately</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$100 million associated with the BlueHalo acquisition and an increase of approximately $5 million intangible amortization</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related to the BlueHalo acquisition. Cost of sales for the three months ended August 2, 2025 included $37.4 million of</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intangible amortization and other related non-cash purchase accounting expenses as compared to $3.7 million for the three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months ended July 27, 2024. As a percentage of revenue, cost of sales increased from 57% to 79% primarily due to</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increased amortization and other non-cash purchase accounting expenses and an increase in the proportion of service</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revenue resulting from the effect of the BlueHalo acquisition, resulting in gross margin decreasing from 43% to 21%.</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Gross Margin. </w:t>
      </w:r>
      <w:r>
        <w:rPr>
          <w:rFonts w:ascii="Times New Roman" w:cs="Times New Roman" w:eastAsia="Times New Roman" w:hAnsi="Times New Roman"/>
          <w:sz w:val="18"/>
          <w:szCs w:val="18"/>
          <w:color w:val="auto"/>
        </w:rPr>
        <w:t>Gross margin is equal to revenue minus cost of sales.</w:t>
      </w:r>
    </w:p>
    <w:p>
      <w:pPr>
        <w:spacing w:after="0" w:line="225" w:lineRule="exact"/>
        <w:rPr>
          <w:sz w:val="20"/>
          <w:szCs w:val="20"/>
          <w:color w:val="auto"/>
        </w:rPr>
      </w:pPr>
    </w:p>
    <w:p>
      <w:pPr>
        <w:ind w:left="40" w:right="13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SG&amp;A expense for the three months ended August 2, 2025 was $131.3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29% of revenue, as compared to SG&amp;A expense of $33.8 million, or 18% of revenue, for the three months ended July 27, 2024. The increase in SG&amp;A expense was primarily due to an increase of $41.2 million of intangible amortization expense related to the BlueHalo acquisition, an increase of $23.7 million of acquisition related expenses related to the BlueHalo acquisition and an increase of $14.7 million of employee related expenses related to the increase in headcount.</w:t>
      </w:r>
    </w:p>
    <w:p>
      <w:pPr>
        <w:spacing w:after="0" w:line="179"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R&amp;D expense for the three months ended August 2, 2025 was $33.1 million, or 7%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as compared to R&amp;D expense of $24.6 million, or 13% of revenue, for the three months ended July 27, 2024. The increase was primarily related to the BlueHalo acquisition. R&amp;D expense is expected to continue to be 7% to 8% of revenue.</w:t>
      </w:r>
    </w:p>
    <w:p>
      <w:pPr>
        <w:spacing w:after="0" w:line="176" w:lineRule="exact"/>
        <w:rPr>
          <w:sz w:val="20"/>
          <w:szCs w:val="20"/>
          <w:color w:val="auto"/>
        </w:rPr>
      </w:pPr>
    </w:p>
    <w:p>
      <w:pPr>
        <w:ind w:left="40" w:right="43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Interest expense, net for the three months ended August 2, 2025 was $17.4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net of $0.2 million for the three months ended July 27, 2024. The increase was driven by the interest expense related to the Term Loan and Revolver Facility obtained on May 1, 2025 in conjunction with the BlueHalo acquisition and the unamortized debt issuance costs allocated to the Term Loan Facility of $6.7 million, which were expensed upon repayment of the Term Loan Facility in July using the proceeds from the Notes and common stock issuances in July 2025.</w:t>
      </w:r>
    </w:p>
    <w:p>
      <w:pPr>
        <w:spacing w:after="0" w:line="182" w:lineRule="exact"/>
        <w:rPr>
          <w:sz w:val="20"/>
          <w:szCs w:val="20"/>
          <w:color w:val="auto"/>
        </w:rPr>
      </w:pPr>
    </w:p>
    <w:p>
      <w:pPr>
        <w:ind w:left="4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Other income, net, for the three months ended August 2, 2025 was $2.4 million as compared to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net of $0.2 million for the three months ended July 27, 2024. The increase was driven by unrealized gains in equity security investments.</w:t>
      </w:r>
    </w:p>
    <w:p>
      <w:pPr>
        <w:spacing w:after="0" w:line="171" w:lineRule="exact"/>
        <w:rPr>
          <w:sz w:val="20"/>
          <w:szCs w:val="20"/>
          <w:color w:val="auto"/>
        </w:rPr>
      </w:pPr>
    </w:p>
    <w:p>
      <w:pPr>
        <w:ind w:left="40" w:right="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 from) Provision for Income Taxes. </w:t>
      </w:r>
      <w:r>
        <w:rPr>
          <w:rFonts w:ascii="Times New Roman" w:cs="Times New Roman" w:eastAsia="Times New Roman" w:hAnsi="Times New Roman"/>
          <w:sz w:val="18"/>
          <w:szCs w:val="18"/>
          <w:color w:val="auto"/>
        </w:rPr>
        <w:t>Our effective income tax rate was 18.0% for the three months ended August 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as compared to 6.6% for the three months ended July 27, 2024. The increase in our effective income tax rate was primarily due to an increase in federal R&amp;D tax credits, a decrease in FDII deductions, partially offset by an increase non-deductible acquisition related expenses combined with the net loss before income taxes for the quarter. The effective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79"/>
        <w:spacing w:after="0" w:line="282" w:lineRule="auto"/>
        <w:rPr>
          <w:sz w:val="20"/>
          <w:szCs w:val="20"/>
          <w:color w:val="auto"/>
        </w:rPr>
      </w:pPr>
      <w:r>
        <w:rPr>
          <w:rFonts w:ascii="Times New Roman" w:cs="Times New Roman" w:eastAsia="Times New Roman" w:hAnsi="Times New Roman"/>
          <w:sz w:val="18"/>
          <w:szCs w:val="18"/>
          <w:color w:val="auto"/>
        </w:rPr>
        <w:t>income tax rate for the three months ended August 2, 2025 was primarily impacted by expected federal R&amp;D tax credits, excess tax benefits from equity awards, and non-deductible acquisition related expenses.</w:t>
      </w:r>
    </w:p>
    <w:p>
      <w:pPr>
        <w:spacing w:after="0" w:line="158" w:lineRule="exact"/>
        <w:rPr>
          <w:sz w:val="20"/>
          <w:szCs w:val="20"/>
          <w:color w:val="auto"/>
        </w:rPr>
      </w:pPr>
    </w:p>
    <w:p>
      <w:pPr>
        <w:ind w:left="4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Method Investment Income, net of Tax. </w:t>
      </w:r>
      <w:r>
        <w:rPr>
          <w:rFonts w:ascii="Times New Roman" w:cs="Times New Roman" w:eastAsia="Times New Roman" w:hAnsi="Times New Roman"/>
          <w:sz w:val="18"/>
          <w:szCs w:val="18"/>
          <w:color w:val="auto"/>
        </w:rPr>
        <w:t>Equity method investment income, net of tax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 2025 was $1.8 as compared $0.1 million for the three months ended July 27, 2024.</w:t>
      </w:r>
    </w:p>
    <w:p>
      <w:pPr>
        <w:spacing w:after="0" w:line="15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Autonomous Systems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285,324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52,760</w:t>
            </w:r>
          </w:p>
        </w:tc>
        <w:tc>
          <w:tcPr>
            <w:tcW w:w="5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37,178</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right="17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AxS revenue for the three months ended August 2, 2025 was $285.3 million, as compared to $189.5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July 27, 2024, representing an increase of $95.8 million, or 51%. The increase in revenue was due to an increase in product and service revenues of $81.2 million and $14.6 million, respectively. The increase in product revenue was primarily due to the $50.9 million of product revenue resulting from our acquisition of BlueHalo. Legacy AV product revenue included in the AxS segment increased by $30.3 million driven by an increase in LMS products due to increased global demand for our Switchblade products associated with the current global conflicts as well as U.S. D.o.D. resupply, partially offset by a decrease in SUAS due to a decrease in international sales. The increase in service revenue was primarily due to the $10.6 million of service revenue resulting from our acquisition of BlueHalo. Legacy AV service revenue, included in the AxS segment remained consistent as training and repairs service revenue decreased $2.0 million driven by the decrease in SUAS product sales, partially offset by an increase of $1.8 million in customer funded R&amp;D and engineering services driven by an increase in COCO demand.</w:t>
      </w:r>
    </w:p>
    <w:p>
      <w:pPr>
        <w:spacing w:after="0" w:line="182" w:lineRule="exact"/>
        <w:rPr>
          <w:sz w:val="20"/>
          <w:szCs w:val="20"/>
          <w:color w:val="auto"/>
        </w:rPr>
      </w:pPr>
    </w:p>
    <w:p>
      <w:pPr>
        <w:ind w:left="40" w:right="11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AxS Segment adjusted EBITDA. </w:t>
      </w:r>
      <w:r>
        <w:rPr>
          <w:rFonts w:ascii="Times New Roman" w:cs="Times New Roman" w:eastAsia="Times New Roman" w:hAnsi="Times New Roman"/>
          <w:sz w:val="18"/>
          <w:szCs w:val="18"/>
          <w:color w:val="auto"/>
        </w:rPr>
        <w:t>AxS segment adjusted EBITDA for the three months August 2, 2025 was $52.8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compared to $37.1 million for the three months ended July 27, 2024, representing an increase of $16.0 million, or 42%. The increase in AxS segment adjusted EBITDA was primarily due to an increase in revenue of $95.8 million. The increase in AxS segment adjusted EBITDA was partially offset by an increase in adjusted cost of sales of $68.6 million, adjusted SG&amp;A of $5.3 million primarily due employee related costs driven by the increased headcount, and R&amp;D of $5.2 million. The increase in adjusted cost of sales was primarily due to an increase of approximately $37 million associated with the recently acquired BlueHalo product lines, an increase of approximately $16 million due to mix shift to a higher proportion of lower margin products driven by the increase in Switchblade production and approximately $16 million due to the increase in sales volume.</w:t>
      </w:r>
    </w:p>
    <w:p>
      <w:pPr>
        <w:spacing w:after="0" w:line="1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Space, Cyber and Directed Energy</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August 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July 27,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0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21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5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0" w:right="1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SCDE revenue for the three months ended August 2, 2025 was $169.4 million, as compared to $0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July 27, 2024. The SCDE segment consists of business units obtained in the BlueHalo acquisition on May 1, 2025, and the increase in revenue is a result of the acquisition.</w:t>
      </w:r>
    </w:p>
    <w:p>
      <w:pPr>
        <w:spacing w:after="0" w:line="171" w:lineRule="exact"/>
        <w:rPr>
          <w:sz w:val="20"/>
          <w:szCs w:val="20"/>
          <w:color w:val="auto"/>
        </w:rPr>
      </w:pPr>
    </w:p>
    <w:p>
      <w:pPr>
        <w:ind w:left="40" w:right="3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SCDE Segment adjusted EBITDA. </w:t>
      </w:r>
      <w:r>
        <w:rPr>
          <w:rFonts w:ascii="Times New Roman" w:cs="Times New Roman" w:eastAsia="Times New Roman" w:hAnsi="Times New Roman"/>
          <w:sz w:val="18"/>
          <w:szCs w:val="18"/>
          <w:color w:val="auto"/>
        </w:rPr>
        <w:t>SCDE segment adjusted EBITDA for the three months August 2, 2025 was $3.8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as compared to $0 for the three months ended July 27, 2024, representing an increase of $3.8 million, or 100%. The SCDE segment consists of business units obtained in the BlueHalo acquisition on May 1, 2025, and the increase in segment adjusted EBITDA is a result of the acquisition.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left="40" w:right="379"/>
        <w:spacing w:after="0" w:line="266" w:lineRule="auto"/>
        <w:rPr>
          <w:sz w:val="20"/>
          <w:szCs w:val="20"/>
          <w:color w:val="auto"/>
        </w:rPr>
      </w:pPr>
      <w:r>
        <w:rPr>
          <w:rFonts w:ascii="Times New Roman" w:cs="Times New Roman" w:eastAsia="Times New Roman" w:hAnsi="Times New Roman"/>
          <w:sz w:val="18"/>
          <w:szCs w:val="18"/>
          <w:color w:val="auto"/>
        </w:rPr>
        <w:t>Consistent with ASC 606, we define funded backlog as remaining performance obligations under firm orders for which funding is currently appropriated to us under a customer contract. As of August 2, 2025, our funded backlog was approximately $1,066.4 million, as compared to $726.6 million as of April 30, 2025.</w:t>
      </w:r>
    </w:p>
    <w:p>
      <w:pPr>
        <w:spacing w:after="0" w:line="176"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color w:val="auto"/>
        </w:rPr>
        <w:t>In addition to our funded backlog, we also had unfunded backlog of $3,092.1 million as of August 2, 2025. Unfunded backlog does not meet the definition of a performance obligation under ASC 606. We define unfunded backlog as the total remaining potential order amounts under cost reimbursable and FFP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w:t>
      </w:r>
    </w:p>
    <w:p>
      <w:pPr>
        <w:spacing w:after="0" w:line="187"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40" w:right="119"/>
        <w:spacing w:after="0" w:line="253" w:lineRule="auto"/>
        <w:rPr>
          <w:sz w:val="20"/>
          <w:szCs w:val="20"/>
          <w:color w:val="auto"/>
        </w:rPr>
      </w:pPr>
      <w:r>
        <w:rPr>
          <w:rFonts w:ascii="Times New Roman" w:cs="Times New Roman" w:eastAsia="Times New Roman" w:hAnsi="Times New Roman"/>
          <w:sz w:val="18"/>
          <w:szCs w:val="18"/>
          <w:color w:val="auto"/>
        </w:rPr>
        <w:t>On October 4, 2024, we amended the Credit Agreement to increase the Revolving Facility to $200 million, and the Term Loan Facility was repaid in full and removed from the Credit Agreement. Borrowings under the Credit Agreement may be used for working capital and other general corporate purposes, including acquisitions that meet certain parameters. In February 2025, we borrowed $15.0 million under the Revolving Facility. In May 2025, in connection with the consummation of the BlueHalo Acquisition, the Company entered into a Fourth Amendment to Credit Agreement with BofA NA, the administrative agent and the swingline lender, JPM, U.S. Bank, Citibank, BMO, Citizens and RBC. The Amended Credit Agreement provides for an aggregate $700.0 million term loan and an aggregate $350.0 million revolving credit facility. Upon effectiveness of the Amended Credit Agreement, we drew $225.0 million from the amended Revolving Facility and the full $700,000,000 of the Term Loan Facility. The proceeds from the Term Loan Facility and the Revolving Facility were used to repay certain outstanding indebtedness of BlueHalo and to pay for certain related transaction costs. In June 2025, we drew an additional $10.0 million under the Revolving Facility.</w:t>
      </w:r>
    </w:p>
    <w:p>
      <w:pPr>
        <w:spacing w:after="0" w:line="192"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In July 2025, we issued 4,057,460 shares of common stock at a public offering price of $248.00 per share (the “Common Stock Offering”) and issued $747,500,000 aggregate principal amount of 0% convertible senior notes due 2030 (the “Notes Offering”). The aggregate net proceeds from the Common Stock Offering and the Notes Offering, after deducting underwriting discounts and debt and equity issuance costs, was approximately $1.70 billion. The Company used approximately $965.3 million of the net proceeds from the Common Stock Offering and the Notes Offering to repay indebtedness under the Term Loan Facility and outstanding borrowings under the Revolving Credit Facility, and the remainder is expected to be used for general corporate purposes, including to increase manufacturing capacity.</w:t>
      </w:r>
    </w:p>
    <w:p>
      <w:pPr>
        <w:spacing w:after="0" w:line="189" w:lineRule="exact"/>
        <w:rPr>
          <w:sz w:val="20"/>
          <w:szCs w:val="20"/>
          <w:color w:val="auto"/>
        </w:rPr>
      </w:pPr>
    </w:p>
    <w:p>
      <w:pPr>
        <w:ind w:left="40" w:right="59"/>
        <w:spacing w:after="0" w:line="258" w:lineRule="auto"/>
        <w:rPr>
          <w:sz w:val="20"/>
          <w:szCs w:val="20"/>
          <w:color w:val="auto"/>
        </w:rPr>
      </w:pPr>
      <w:r>
        <w:rPr>
          <w:rFonts w:ascii="Times New Roman" w:cs="Times New Roman" w:eastAsia="Times New Roman" w:hAnsi="Times New Roman"/>
          <w:sz w:val="18"/>
          <w:szCs w:val="18"/>
          <w:color w:val="auto"/>
        </w:rPr>
        <w:t>Our ability to borrow under the Revolving Facility is reduced by outstanding letters of credit of $11.9 million as of August 2, 2025. As of August 2, 2025, approximately $338.1 million was available under the Revolving Facility. Refer to Note 9— Debt to our unaudited condensed consolidated financial statements in Part I, Item 1 of this Quarterly Report on Form 10-Q for further details. In addition, Telerob has a line of credit of €7.0 million ($8.1 million) available for issuing letters of credit of which €2.3 million ($2.7 million) was outstanding as of August 2, 2025.</w:t>
      </w:r>
    </w:p>
    <w:p>
      <w:pPr>
        <w:spacing w:after="0" w:line="183"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We anticipate funding our normal recurring trade payables, accrued expenses, ongoing R&amp;D costs and obligations under the Credit Facilities through our existing working capital and funds provided by operating activities including those provided by our acquisition.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and future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58" w:lineRule="auto"/>
        <w:rPr>
          <w:sz w:val="20"/>
          <w:szCs w:val="20"/>
          <w:color w:val="auto"/>
        </w:rPr>
      </w:pPr>
      <w:r>
        <w:rPr>
          <w:rFonts w:ascii="Times New Roman" w:cs="Times New Roman" w:eastAsia="Times New Roman" w:hAnsi="Times New Roman"/>
          <w:sz w:val="18"/>
          <w:szCs w:val="18"/>
          <w:color w:val="auto"/>
        </w:rPr>
        <w:t>obligations related to the acquisition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spacing w:after="0" w:line="183" w:lineRule="exact"/>
        <w:rPr>
          <w:sz w:val="20"/>
          <w:szCs w:val="20"/>
          <w:color w:val="auto"/>
        </w:rPr>
      </w:pPr>
    </w:p>
    <w:p>
      <w:pPr>
        <w:ind w:left="40" w:right="179"/>
        <w:spacing w:after="0" w:line="253" w:lineRule="auto"/>
        <w:rPr>
          <w:sz w:val="20"/>
          <w:szCs w:val="20"/>
          <w:color w:val="auto"/>
        </w:rPr>
      </w:pPr>
      <w:r>
        <w:rPr>
          <w:rFonts w:ascii="Times New Roman" w:cs="Times New Roman" w:eastAsia="Times New Roman" w:hAnsi="Times New Roman"/>
          <w:sz w:val="18"/>
          <w:szCs w:val="18"/>
          <w:color w:val="auto"/>
        </w:rPr>
        <w:t>Our primary recurring liquidity needs are for financing working capital, investing in capital expenditures, supporting product development efforts, introducing new products and enhancing existing products, marketing acceptance and adoption of our products and services, and possible acquisitions of entities or strategic assets.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Facilities are insufficient to fund our future activities, we may need to raise additional funds through public or private equity or debt financing, subject to the limitations specified in the Amended Credit Facility Agreement. In addition, we may also need to seek additional equity funding or debt financing if we become a party to any agreement or letter of intent for potential investments in, or acquisitions of, businesses, services or technologies.</w:t>
      </w:r>
    </w:p>
    <w:p>
      <w:pPr>
        <w:spacing w:after="0" w:line="194"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Our working capital requirements vary by contract type. On Cost Plus and T&amp;M contracts, we typically bill our incurred costs and fees monthly as work progresses, and therefore working capital investment is minimal. On FFP contracts, we typically are paid as we deliver products, and working capital is needed to fund labor and expenses incurred during the lead time from contract award until contract deliveries begin. Certain contract have negotiated progress payments, which facilitates billing and collection as work is completed.</w:t>
      </w:r>
    </w:p>
    <w:p>
      <w:pPr>
        <w:spacing w:after="0" w:line="183" w:lineRule="exact"/>
        <w:rPr>
          <w:sz w:val="20"/>
          <w:szCs w:val="20"/>
          <w:color w:val="auto"/>
        </w:rPr>
      </w:pPr>
    </w:p>
    <w:p>
      <w:pPr>
        <w:ind w:left="40" w:right="619"/>
        <w:spacing w:after="0" w:line="282" w:lineRule="auto"/>
        <w:rPr>
          <w:sz w:val="20"/>
          <w:szCs w:val="20"/>
          <w:color w:val="auto"/>
        </w:rPr>
      </w:pPr>
      <w:r>
        <w:rPr>
          <w:rFonts w:ascii="Times New Roman" w:cs="Times New Roman" w:eastAsia="Times New Roman" w:hAnsi="Times New Roman"/>
          <w:sz w:val="18"/>
          <w:szCs w:val="18"/>
          <w:color w:val="auto"/>
        </w:rPr>
        <w:t>Due to the OBBBA, which allows R&amp;D expenditures to be deducted, we expect our cash taxes paid for U.S. federal income taxes to be significantly reduced for the fiscal year ending April 30, 2026.</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40" w:right="839"/>
        <w:spacing w:after="0" w:line="282" w:lineRule="auto"/>
        <w:rPr>
          <w:sz w:val="20"/>
          <w:szCs w:val="20"/>
          <w:color w:val="auto"/>
        </w:rPr>
      </w:pPr>
      <w:r>
        <w:rPr>
          <w:rFonts w:ascii="Times New Roman" w:cs="Times New Roman" w:eastAsia="Times New Roman" w:hAnsi="Times New Roman"/>
          <w:sz w:val="18"/>
          <w:szCs w:val="18"/>
          <w:color w:val="auto"/>
        </w:rPr>
        <w:t>The following table provides our cash flow data for the three months ended August 2, 2025 and July 27, 2024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17"/>
        </w:trPr>
        <w:tc>
          <w:tcPr>
            <w:tcW w:w="5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41"/>
              <w:spacing w:after="0" w:line="118" w:lineRule="exact"/>
              <w:rPr>
                <w:sz w:val="20"/>
                <w:szCs w:val="20"/>
                <w:color w:val="auto"/>
              </w:rPr>
            </w:pPr>
            <w:r>
              <w:rPr>
                <w:rFonts w:ascii="Times New Roman" w:cs="Times New Roman" w:eastAsia="Times New Roman" w:hAnsi="Times New Roman"/>
                <w:sz w:val="13"/>
                <w:szCs w:val="13"/>
                <w:b w:val="1"/>
                <w:bCs w:val="1"/>
                <w:color w:val="auto"/>
              </w:rPr>
              <w:t>August 2,</w:t>
            </w:r>
          </w:p>
        </w:tc>
        <w:tc>
          <w:tcPr>
            <w:tcW w:w="1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July 27,</w:t>
            </w:r>
          </w:p>
        </w:tc>
        <w:tc>
          <w:tcPr>
            <w:tcW w:w="100" w:type="dxa"/>
            <w:vAlign w:val="bottom"/>
          </w:tcPr>
          <w:p>
            <w:pPr>
              <w:spacing w:after="0"/>
              <w:rPr>
                <w:sz w:val="10"/>
                <w:szCs w:val="10"/>
                <w:color w:val="auto"/>
              </w:rPr>
            </w:pPr>
          </w:p>
        </w:tc>
      </w:tr>
      <w:tr>
        <w:trPr>
          <w:trHeight w:val="173"/>
        </w:trPr>
        <w:tc>
          <w:tcPr>
            <w:tcW w:w="5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28"/>
        </w:trPr>
        <w:tc>
          <w:tcPr>
            <w:tcW w:w="5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80" w:type="dxa"/>
            <w:vAlign w:val="bottom"/>
            <w:gridSpan w:val="4"/>
          </w:tcPr>
          <w:p>
            <w:pPr>
              <w:jc w:val="right"/>
              <w:ind w:right="658"/>
              <w:spacing w:after="0" w:line="129"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1"/>
                <w:szCs w:val="11"/>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(123,726)</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28,351</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(876,648)</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1,645,443</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(13,954)</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Provided by Operating Activities. </w:t>
      </w:r>
      <w:r>
        <w:rPr>
          <w:rFonts w:ascii="Times New Roman" w:cs="Times New Roman" w:eastAsia="Times New Roman" w:hAnsi="Times New Roman"/>
          <w:sz w:val="18"/>
          <w:szCs w:val="18"/>
          <w:color w:val="auto"/>
        </w:rPr>
        <w:t>Net cash used in operating activities for the three months ended August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 2025 increased by $152.1 million to ($123.7) million, as compared to net cash provided by operating activities of $28.4 million for the three months ended July 27, 2024. The increase in net cash used in operating activities was primarily due to a decrease in cash as a result of changes in operating assets and liabilities of $157.8 million, largely related to increases in accounts receivable, unbilled receivables and retentions and decreases in accounts payable due to year over year timing differences as well as increases in inventory to meet demand. The increase in cash used in operating activities was also driven by a decrease in net income of $88.5 million, partially offset by an increase in depreciation and amortization of $94.2 million, largely due to the intangibles and acquired property and equipment from the BlueHalo acquisition.</w:t>
      </w:r>
    </w:p>
    <w:p>
      <w:pPr>
        <w:spacing w:after="0" w:line="185" w:lineRule="exact"/>
        <w:rPr>
          <w:sz w:val="20"/>
          <w:szCs w:val="20"/>
          <w:color w:val="auto"/>
        </w:rPr>
      </w:pPr>
    </w:p>
    <w:p>
      <w:pPr>
        <w:ind w:left="40" w:right="1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Used in Investing Activities. </w:t>
      </w:r>
      <w:r>
        <w:rPr>
          <w:rFonts w:ascii="Times New Roman" w:cs="Times New Roman" w:eastAsia="Times New Roman" w:hAnsi="Times New Roman"/>
          <w:sz w:val="18"/>
          <w:szCs w:val="18"/>
          <w:color w:val="auto"/>
        </w:rPr>
        <w:t>Net cash used in investing activities increased by $870.0 million to $876.6 million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three months ended August 2, 2025, as compared to $6.6 million for the three months ended July 27, 2024. The increase in net cash used in investing activities was primarily due to the cash consideration for the acquisition of BlueHalo, net of cash acquired of $844.6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right="1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Provided by (Used in) Financing Activities. </w:t>
      </w:r>
      <w:r>
        <w:rPr>
          <w:rFonts w:ascii="Times New Roman" w:cs="Times New Roman" w:eastAsia="Times New Roman" w:hAnsi="Times New Roman"/>
          <w:sz w:val="18"/>
          <w:szCs w:val="18"/>
          <w:color w:val="auto"/>
        </w:rPr>
        <w:t>Net cash provided by financing activities increased by $1,659.4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$1,645.4 million for the three months ended August 2, 2025, as compared to net cash used in financing activities of $(14.0) million for the three months ended July 27, 2024. The increase in net cash provided by financing activities was primarily due to proceeds from issuance of common shares of $968.5 million, net of underwriter costs and proceeds from the issuance of Notes of $726.9 million, net of underwriter costs. Part of the proceeds were used to repay the outstanding balances of the Term Loan Facility and Revolving Facility drawn in conjunction with the acquisition of BlueHalo.</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left="40" w:right="17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are exposed to various market risk factors, including fluctuations in interest rates, changes in general economic conditions, domestic and foreign competition, and foreign currency exchange rates. For a discussion of market risks at April 30, 2025, refer to Item 7A in our 2025 annual report on Form 10-K. During the three months ended August 2, 2025, there were no material changes or developments that would materially alter the market risk assessment performed as of April 30, 2025, except as discussed below.</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ind w:left="40" w:right="319"/>
        <w:spacing w:after="0" w:line="266" w:lineRule="auto"/>
        <w:rPr>
          <w:sz w:val="20"/>
          <w:szCs w:val="20"/>
          <w:color w:val="auto"/>
        </w:rPr>
      </w:pPr>
      <w:r>
        <w:rPr>
          <w:rFonts w:ascii="Times New Roman" w:cs="Times New Roman" w:eastAsia="Times New Roman" w:hAnsi="Times New Roman"/>
          <w:sz w:val="18"/>
          <w:szCs w:val="18"/>
          <w:color w:val="auto"/>
        </w:rPr>
        <w:t>In July 2025, we issued $747.5 million of Notes. The Notes have a zero percent coupon rate. We used the proceeds from the Notes Offering as well as the Common Stock Offering to repay indebtedness under our Term Loan Facility and outstanding borrowings under the Revolving Facility. The Revolving Facility has no current outstanding balance.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16" w:lineRule="exact"/>
        <w:rPr>
          <w:sz w:val="20"/>
          <w:szCs w:val="20"/>
          <w:color w:val="auto"/>
        </w:rPr>
      </w:pPr>
    </w:p>
    <w:p>
      <w:pPr>
        <w:ind w:left="40" w:right="99"/>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3" w:lineRule="exact"/>
        <w:rPr>
          <w:sz w:val="20"/>
          <w:szCs w:val="20"/>
          <w:color w:val="auto"/>
        </w:rPr>
      </w:pPr>
    </w:p>
    <w:p>
      <w:pPr>
        <w:ind w:left="40" w:right="139"/>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66"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August 2, 2025, the end of the period covered by this Quarterly Report on Form 10-Q.</w:t>
      </w:r>
    </w:p>
    <w:p>
      <w:pPr>
        <w:spacing w:after="0" w:line="166" w:lineRule="exact"/>
        <w:rPr>
          <w:sz w:val="20"/>
          <w:szCs w:val="20"/>
          <w:color w:val="auto"/>
        </w:rPr>
      </w:pPr>
    </w:p>
    <w:p>
      <w:pPr>
        <w:ind w:left="40" w:right="179"/>
        <w:spacing w:after="0" w:line="257" w:lineRule="auto"/>
        <w:rPr>
          <w:sz w:val="20"/>
          <w:szCs w:val="20"/>
          <w:color w:val="auto"/>
        </w:rPr>
      </w:pPr>
      <w:r>
        <w:rPr>
          <w:rFonts w:ascii="Times New Roman" w:cs="Times New Roman" w:eastAsia="Times New Roman" w:hAnsi="Times New Roman"/>
          <w:sz w:val="18"/>
          <w:szCs w:val="18"/>
          <w:color w:val="auto"/>
        </w:rPr>
        <w:t>Based on the foregoing, our Chief Executive Officer and Chief Financial Officer concluded that, as of August 2, 2025, the end of the period covered by this Quarterly Report on Form 10-Q, our disclosure controls and procedures were effective and were operating at a reasonable assurance level. As part of the ongoing integration of BlueHalo, we are in</w:t>
      </w:r>
    </w:p>
    <w:p>
      <w:pPr>
        <w:spacing w:after="0" w:line="1" w:lineRule="exact"/>
        <w:rPr>
          <w:sz w:val="20"/>
          <w:szCs w:val="20"/>
          <w:color w:val="auto"/>
        </w:rPr>
      </w:pPr>
    </w:p>
    <w:p>
      <w:pPr>
        <w:ind w:left="40" w:right="299"/>
        <w:spacing w:after="0" w:line="255" w:lineRule="auto"/>
        <w:rPr>
          <w:sz w:val="20"/>
          <w:szCs w:val="20"/>
          <w:color w:val="auto"/>
        </w:rPr>
      </w:pPr>
      <w:r>
        <w:rPr>
          <w:rFonts w:ascii="Times New Roman" w:cs="Times New Roman" w:eastAsia="Times New Roman" w:hAnsi="Times New Roman"/>
          <w:sz w:val="18"/>
          <w:szCs w:val="18"/>
          <w:color w:val="auto"/>
        </w:rPr>
        <w:t>process of incorporating the disclosure controls and procedures of BlueHalo. Management’s evaluation of our disclosure controls and procedures as of August 2, 2025 excludes an evaluation of BlueHalo’s disclosure controls and procedures that are subsumed by its internal control over financial reporting of BlueHalo.</w:t>
      </w:r>
    </w:p>
    <w:p>
      <w:pPr>
        <w:spacing w:after="0" w:line="1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BlueHalo</w:t>
      </w:r>
    </w:p>
    <w:p>
      <w:pPr>
        <w:spacing w:after="0" w:line="229" w:lineRule="exact"/>
        <w:rPr>
          <w:sz w:val="20"/>
          <w:szCs w:val="20"/>
          <w:color w:val="auto"/>
        </w:rPr>
      </w:pPr>
    </w:p>
    <w:p>
      <w:pPr>
        <w:ind w:left="40" w:right="99"/>
        <w:spacing w:after="0" w:line="261" w:lineRule="auto"/>
        <w:rPr>
          <w:sz w:val="20"/>
          <w:szCs w:val="20"/>
          <w:color w:val="auto"/>
        </w:rPr>
      </w:pPr>
      <w:r>
        <w:rPr>
          <w:rFonts w:ascii="Times New Roman" w:cs="Times New Roman" w:eastAsia="Times New Roman" w:hAnsi="Times New Roman"/>
          <w:sz w:val="18"/>
          <w:szCs w:val="18"/>
          <w:color w:val="auto"/>
        </w:rPr>
        <w:t>On May 1, 2025, we completed the acquisition of Blue Halo, a U.S. non-public reporting company. Prior to the acquisition, in connection with the preparation of its audited consolidated financial statements for the year ended December 31, 2024, BlueHalo identified three material weaknesses in its internal control over financial reporting. A material weakness is a deficiency, or a combination of deficiencies, in internal control over financial reporting such that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2" w:lineRule="auto"/>
        <w:rPr>
          <w:sz w:val="20"/>
          <w:szCs w:val="20"/>
          <w:color w:val="auto"/>
        </w:rPr>
      </w:pPr>
      <w:r>
        <w:rPr>
          <w:rFonts w:ascii="Times New Roman" w:cs="Times New Roman" w:eastAsia="Times New Roman" w:hAnsi="Times New Roman"/>
          <w:sz w:val="18"/>
          <w:szCs w:val="18"/>
          <w:color w:val="auto"/>
        </w:rPr>
        <w:t>there is a reasonable possibility that a material misstatement of a company’s annual or interim financial statements will not be prevented or detected on a timely basis. First, BlueHalo did not design and maintain effective information technology (“IT”) general controls for information systems that are relevant to the preparation of its financial statements. Specifically, BlueHalo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Second, BlueHalo did not design and maintain an effective control environment commensurate with our financial reporting requirements. Specifically, it did not maintain a sufficient complement of personnel with an appropriate degree of internal controls and accounting knowledge, experience, and training commensurate with its accounting and financial reporting requirements. The limited personnel resulted in an inability to consistently establish appropriate authorities and responsibilities in pursuit of financial reporting objectives, as demonstrated by, among other things, insufficient segregation of duties in the finance and accounting functions. Third, BlueHalo did not design and maintain effective monitoring activities of the design and operation of controls on a timely basis, taking necessary corrective action to ensure that controls continue to operate effectively and are modified for changes in conditions as appropriate.</w:t>
      </w:r>
    </w:p>
    <w:p>
      <w:pPr>
        <w:spacing w:after="0" w:line="197"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As of the date of this report, management’s remediation efforts are ongoing, and management has committed to a remediation plan to address the deficiencies and enhance the internal control environment. The remediation plan includes, but is not limited to:</w:t>
      </w:r>
    </w:p>
    <w:p>
      <w:pPr>
        <w:spacing w:after="0" w:line="176" w:lineRule="exact"/>
        <w:rPr>
          <w:sz w:val="20"/>
          <w:szCs w:val="20"/>
          <w:color w:val="auto"/>
        </w:rPr>
      </w:pPr>
    </w:p>
    <w:p>
      <w:pPr>
        <w:ind w:left="720" w:right="379" w:hanging="325"/>
        <w:spacing w:after="0" w:line="261"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restricting administrator level access to financial systems, ensuring that elevated privileges are limited to authorized personnel with a documented business need;</w:t>
      </w:r>
    </w:p>
    <w:p>
      <w:pPr>
        <w:ind w:left="720" w:right="719" w:hanging="325"/>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periodic user access reviews to confirm that access rights remain appropriate and promptly removing access for terminated or transferred employees;</w:t>
      </w:r>
    </w:p>
    <w:p>
      <w:pPr>
        <w:ind w:left="720" w:right="379" w:hanging="325"/>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process to utilize the ticketing system to document, approve, and track changes, configuration updates and data modifications;</w:t>
      </w:r>
    </w:p>
    <w:p>
      <w:pPr>
        <w:ind w:left="720" w:hanging="325"/>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management review of audit logs of select data such as vendor master changes, user roles and rates;</w:t>
      </w:r>
    </w:p>
    <w:p>
      <w:pPr>
        <w:spacing w:after="0" w:line="9" w:lineRule="exact"/>
        <w:rPr>
          <w:rFonts w:ascii="Times New Roman" w:cs="Times New Roman" w:eastAsia="Times New Roman" w:hAnsi="Times New Roman"/>
          <w:sz w:val="18"/>
          <w:szCs w:val="18"/>
          <w:color w:val="auto"/>
        </w:rPr>
      </w:pPr>
    </w:p>
    <w:p>
      <w:pPr>
        <w:ind w:left="720" w:right="459" w:hanging="325"/>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 process to utilize the Okta and Single Sign On (SSO) to centralize authentication, strengthen password and multi factor authentication controls, and improve monitoring of user activity;</w:t>
      </w:r>
    </w:p>
    <w:p>
      <w:pPr>
        <w:ind w:left="720" w:right="159" w:hanging="325"/>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segregation of duties review within key business cycles to ensure that no single individual has control over all aspects of a financial transaction;</w:t>
      </w:r>
    </w:p>
    <w:p>
      <w:pPr>
        <w:ind w:left="720" w:right="279" w:hanging="325"/>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targeted training to personnel on internal control requirements, documentation standards, and change management protocols;</w:t>
      </w:r>
    </w:p>
    <w:p>
      <w:pPr>
        <w:ind w:left="720" w:right="199" w:hanging="325"/>
        <w:spacing w:after="0" w:line="25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employee’s skill set and actively recruiting experienced personnel with knowledge of internal control and accounting;</w:t>
      </w:r>
    </w:p>
    <w:p>
      <w:pPr>
        <w:ind w:left="720" w:right="899" w:hanging="325"/>
        <w:spacing w:after="0" w:line="260"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systems to integrate with our enterprise-wide monitoring tools, enabling real-time alerts for unauthorized access or unusual activity.</w:t>
      </w:r>
    </w:p>
    <w:p>
      <w:pPr>
        <w:spacing w:after="0" w:line="181"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However, remedial controls must operate for a sufficient period of time for a definitive conclusion, through testing, that the deficiencies have been fully remediated and, as such, management can give no assurance that the measures it has undertaken have fully remediated the material weaknesses that it has identified or that additional material weaknesses will not arise in the future. Management will continue to monitor the effectiveness of these and other processes, procedures, and controls and will make any further changes that management determines to be appropriate.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ind w:left="40" w:right="139"/>
        <w:spacing w:after="0" w:line="255" w:lineRule="auto"/>
        <w:rPr>
          <w:sz w:val="20"/>
          <w:szCs w:val="20"/>
          <w:color w:val="auto"/>
        </w:rPr>
      </w:pPr>
      <w:r>
        <w:rPr>
          <w:rFonts w:ascii="Times New Roman" w:cs="Times New Roman" w:eastAsia="Times New Roman" w:hAnsi="Times New Roman"/>
          <w:sz w:val="18"/>
          <w:szCs w:val="18"/>
          <w:color w:val="auto"/>
        </w:rPr>
        <w:t>On May 1, 2025, we acquired BlueHalo and, as a result, we have begun integrating certain processes, systems and controls relating to BlueHalo into our existing system of disclosure controls and procedures in accordance with our integration plans. We do not believe these represent a material change. There were no changes in our internal control over financial reporting or in other factors identified in connection with the evaluation required by paragraph (d) of Rules 13a-15 or 15d-15 under the Exchange Act that occurred during the quarter ended August 2, 2025 that have materially affected, or are reasonably likely to materially affect, our internal control over financial reporting (as defined in Rules 13a-15(f) and 15d-15(f) under the Exchange Act).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40" w:right="199"/>
        <w:spacing w:after="0" w:line="256" w:lineRule="auto"/>
        <w:rPr>
          <w:sz w:val="20"/>
          <w:szCs w:val="20"/>
          <w:color w:val="auto"/>
        </w:rPr>
      </w:pPr>
      <w:r>
        <w:rPr>
          <w:rFonts w:ascii="Times New Roman" w:cs="Times New Roman" w:eastAsia="Times New Roman" w:hAnsi="Times New Roman"/>
          <w:sz w:val="18"/>
          <w:szCs w:val="18"/>
          <w:color w:val="auto"/>
        </w:rPr>
        <w:t>On August 9, 2021, a former employee filed a class action complaint against AeroVironment in California Superior Court in Los Angeles, California alleging various claims pursuant to the California Labor Code related to wages, meal breaks, overtime, unreimbursed business expenses and other recordkeeping matters. The complaint seeks a jury trial and payment of various alleged unpaid wages, penalties, interest and attorneys’ fees in unspecified amounts. We filed our answer on December 16, 2021. The parties participated in a mediation session on May 8, 2025, but did not reach a resolution during the session.</w:t>
      </w:r>
    </w:p>
    <w:p>
      <w:pPr>
        <w:spacing w:after="0" w:line="187" w:lineRule="exact"/>
        <w:rPr>
          <w:sz w:val="20"/>
          <w:szCs w:val="20"/>
          <w:color w:val="auto"/>
        </w:rPr>
      </w:pPr>
    </w:p>
    <w:p>
      <w:pPr>
        <w:ind w:left="40" w:right="139"/>
        <w:spacing w:after="0" w:line="258" w:lineRule="auto"/>
        <w:rPr>
          <w:sz w:val="20"/>
          <w:szCs w:val="20"/>
          <w:color w:val="auto"/>
        </w:rPr>
      </w:pPr>
      <w:r>
        <w:rPr>
          <w:rFonts w:ascii="Times New Roman" w:cs="Times New Roman" w:eastAsia="Times New Roman" w:hAnsi="Times New Roman"/>
          <w:sz w:val="18"/>
          <w:szCs w:val="18"/>
          <w:color w:val="auto"/>
        </w:rPr>
        <w:t>On June 11, 2025, the parties reached an agreement in principle to settle all claims in the class action complaint and PAGA complaint pursuant to a mediator’s proposal made on such a date by the mediator from the May 8, 2025 class action mediation session. A court must approve the terms of the settlement before we will pay any amounts pursuant to the settlement. The parties are currently working on a written settlement agreement to present to the court for approval. The estimated settlement was accrued in our consolidated statements of income(loss) for the year ended April 30, 2025.</w:t>
      </w:r>
    </w:p>
    <w:p>
      <w:pPr>
        <w:spacing w:after="0" w:line="183" w:lineRule="exact"/>
        <w:rPr>
          <w:sz w:val="20"/>
          <w:szCs w:val="20"/>
          <w:color w:val="auto"/>
        </w:rPr>
      </w:pPr>
    </w:p>
    <w:p>
      <w:pPr>
        <w:ind w:left="40" w:right="59"/>
        <w:spacing w:after="0" w:line="255" w:lineRule="auto"/>
        <w:rPr>
          <w:sz w:val="20"/>
          <w:szCs w:val="20"/>
          <w:color w:val="auto"/>
        </w:rPr>
      </w:pPr>
      <w:r>
        <w:rPr>
          <w:rFonts w:ascii="Times New Roman" w:cs="Times New Roman" w:eastAsia="Times New Roman" w:hAnsi="Times New Roman"/>
          <w:sz w:val="18"/>
          <w:szCs w:val="18"/>
          <w:color w:val="auto"/>
        </w:rPr>
        <w:t>On March 29, 2024, a former employee filed a complaint against AeroVironment in the Ventura County Superior Court in California, alleging violations of the California Labor Code related to wages, meal breaks, overtime, unreimbursed business expenses and other recordkeeping matters and seeking penalties recoverable under California Labor Code section 2698, et. seq., Private Attorney General Act of 2004 (“PAGA”) and all other remedies available under PAGA. The complaint seeks civil penalties on behalf of the plaintiff and similarly situations persons pursuant to PAGA. We filed our answer on June 20, 2024. The parties stipulated to stay this PAGA case ahead of the mediation in the class action matter listed in the immediately preceding paragraph above.</w:t>
      </w:r>
    </w:p>
    <w:p>
      <w:pPr>
        <w:spacing w:after="0" w:line="189" w:lineRule="exact"/>
        <w:rPr>
          <w:sz w:val="20"/>
          <w:szCs w:val="20"/>
          <w:color w:val="auto"/>
        </w:rPr>
      </w:pPr>
    </w:p>
    <w:p>
      <w:pPr>
        <w:jc w:val="both"/>
        <w:ind w:left="40" w:right="139"/>
        <w:spacing w:after="0" w:line="289" w:lineRule="auto"/>
        <w:rPr>
          <w:sz w:val="20"/>
          <w:szCs w:val="20"/>
          <w:color w:val="auto"/>
        </w:rPr>
      </w:pPr>
      <w:r>
        <w:rPr>
          <w:rFonts w:ascii="Times New Roman" w:cs="Times New Roman" w:eastAsia="Times New Roman" w:hAnsi="Times New Roman"/>
          <w:sz w:val="17"/>
          <w:szCs w:val="17"/>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40" w:right="379"/>
        <w:spacing w:after="0" w:line="266" w:lineRule="auto"/>
        <w:rPr>
          <w:sz w:val="20"/>
          <w:szCs w:val="20"/>
          <w:color w:val="auto"/>
        </w:rPr>
      </w:pPr>
      <w:r>
        <w:rPr>
          <w:rFonts w:ascii="Times New Roman" w:cs="Times New Roman" w:eastAsia="Times New Roman" w:hAnsi="Times New Roman"/>
          <w:sz w:val="18"/>
          <w:szCs w:val="18"/>
          <w:color w:val="auto"/>
        </w:rPr>
        <w:t>Except as set forth below, there have been no material changes to the risk factors disclosed under Part I, Item 1A, “Risk Factors,” of our Annual Report on Form 10-K for the fiscal year ended April 30, 2025. Please refer to that section for disclosures regarding the risks and uncertainties related to our business.</w:t>
      </w:r>
    </w:p>
    <w:p>
      <w:pPr>
        <w:spacing w:after="0" w:line="64" w:lineRule="exact"/>
        <w:rPr>
          <w:sz w:val="20"/>
          <w:szCs w:val="20"/>
          <w:color w:val="auto"/>
        </w:rPr>
      </w:pPr>
    </w:p>
    <w:p>
      <w:pPr>
        <w:ind w:left="4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indebtedness represented by our Notes could limit the cash flow available for our operations, expose us to risks that could adversely affect our business, financial condition and results of operations and impair our ability to satisfy our obligations under the Notes.</w:t>
      </w:r>
    </w:p>
    <w:p>
      <w:pPr>
        <w:spacing w:after="0" w:line="67" w:lineRule="exact"/>
        <w:rPr>
          <w:sz w:val="20"/>
          <w:szCs w:val="20"/>
          <w:color w:val="auto"/>
        </w:rPr>
      </w:pPr>
    </w:p>
    <w:p>
      <w:pPr>
        <w:ind w:left="40" w:right="79"/>
        <w:spacing w:after="0" w:line="258" w:lineRule="auto"/>
        <w:rPr>
          <w:sz w:val="20"/>
          <w:szCs w:val="20"/>
          <w:color w:val="auto"/>
        </w:rPr>
      </w:pPr>
      <w:r>
        <w:rPr>
          <w:rFonts w:ascii="Times New Roman" w:cs="Times New Roman" w:eastAsia="Times New Roman" w:hAnsi="Times New Roman"/>
          <w:sz w:val="18"/>
          <w:szCs w:val="18"/>
          <w:color w:val="auto"/>
        </w:rPr>
        <w:t>As of August 2, 2025, we had total indebtedness of approximately $725 million consisting of aggregate principal of our Notes. We may incur additional indebtedness to meet future financing needs. We may incur additional indebtedness to meet future financing needs. The indebtedness represented by our Notes and obligations under the Indenture pursuant to which the Notes were issued could have significant negative consequences for our security holders and our business, results of operations and financial condition by, among other things:</w:t>
      </w:r>
    </w:p>
    <w:p>
      <w:pPr>
        <w:spacing w:after="0" w:line="183" w:lineRule="exact"/>
        <w:rPr>
          <w:sz w:val="20"/>
          <w:szCs w:val="20"/>
          <w:color w:val="auto"/>
        </w:rPr>
      </w:pPr>
    </w:p>
    <w:p>
      <w:pPr>
        <w:ind w:left="720" w:hanging="32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economic and industry conditions;</w:t>
      </w:r>
    </w:p>
    <w:p>
      <w:pPr>
        <w:spacing w:after="0" w:line="27" w:lineRule="exact"/>
        <w:rPr>
          <w:rFonts w:ascii="Times New Roman" w:cs="Times New Roman" w:eastAsia="Times New Roman" w:hAnsi="Times New Roman"/>
          <w:sz w:val="18"/>
          <w:szCs w:val="18"/>
          <w:color w:val="auto"/>
        </w:rPr>
      </w:pPr>
    </w:p>
    <w:p>
      <w:pPr>
        <w:ind w:left="720" w:hanging="32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w:t>
      </w:r>
    </w:p>
    <w:p>
      <w:pPr>
        <w:spacing w:after="0" w:line="9" w:lineRule="exact"/>
        <w:rPr>
          <w:rFonts w:ascii="Times New Roman" w:cs="Times New Roman" w:eastAsia="Times New Roman" w:hAnsi="Times New Roman"/>
          <w:sz w:val="18"/>
          <w:szCs w:val="18"/>
          <w:color w:val="auto"/>
        </w:rPr>
      </w:pPr>
    </w:p>
    <w:p>
      <w:pPr>
        <w:ind w:left="720" w:right="439" w:hanging="325"/>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service our indebtedness, which will reduce the amount of cash available for other purposes;</w:t>
      </w:r>
    </w:p>
    <w:p>
      <w:pPr>
        <w:ind w:left="720" w:hanging="325"/>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to plan for, or react to, changes in our business;</w:t>
      </w:r>
    </w:p>
    <w:p>
      <w:pPr>
        <w:spacing w:after="0" w:line="9" w:lineRule="exact"/>
        <w:rPr>
          <w:rFonts w:ascii="Times New Roman" w:cs="Times New Roman" w:eastAsia="Times New Roman" w:hAnsi="Times New Roman"/>
          <w:sz w:val="18"/>
          <w:szCs w:val="18"/>
          <w:color w:val="auto"/>
        </w:rPr>
      </w:pPr>
    </w:p>
    <w:p>
      <w:pPr>
        <w:ind w:left="720" w:right="799" w:hanging="325"/>
        <w:spacing w:after="0" w:line="25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diluting the interests of our existing stockholders as a result of issuing shares of our common stock upon conversion of the Notes; and</w:t>
      </w:r>
    </w:p>
    <w:p>
      <w:pPr>
        <w:ind w:left="720" w:right="259" w:hanging="325"/>
        <w:spacing w:after="0" w:line="260"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possible competitive disadvantage with competitors that are less leveraged than us or have better access to capital.</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59"/>
        <w:spacing w:after="0" w:line="255" w:lineRule="auto"/>
        <w:rPr>
          <w:sz w:val="20"/>
          <w:szCs w:val="20"/>
          <w:color w:val="auto"/>
        </w:rPr>
      </w:pPr>
      <w:r>
        <w:rPr>
          <w:rFonts w:ascii="Times New Roman" w:cs="Times New Roman" w:eastAsia="Times New Roman" w:hAnsi="Times New Roman"/>
          <w:sz w:val="18"/>
          <w:szCs w:val="18"/>
          <w:color w:val="auto"/>
        </w:rPr>
        <w:t>Our business may not generate sufficient funds, and we may otherwise be unable to maintain sufficient cash reserves, to pay amounts due under our indebtedness, including the Notes, and our cash needs may increase in the future. In addition, the Indenture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85" w:lineRule="exact"/>
        <w:rPr>
          <w:sz w:val="20"/>
          <w:szCs w:val="20"/>
          <w:color w:val="auto"/>
        </w:rPr>
      </w:pPr>
    </w:p>
    <w:p>
      <w:pPr>
        <w:ind w:left="4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or sale of shares of our common stock, or rights to acquire shares of our common stock, could depress the trading price of our common stock and the Notes.</w:t>
      </w:r>
    </w:p>
    <w:p>
      <w:pPr>
        <w:spacing w:after="0" w:line="159" w:lineRule="exact"/>
        <w:rPr>
          <w:sz w:val="20"/>
          <w:szCs w:val="20"/>
          <w:color w:val="auto"/>
        </w:rPr>
      </w:pPr>
    </w:p>
    <w:p>
      <w:pPr>
        <w:ind w:left="40" w:right="119"/>
        <w:spacing w:after="0" w:line="256" w:lineRule="auto"/>
        <w:rPr>
          <w:sz w:val="20"/>
          <w:szCs w:val="20"/>
          <w:color w:val="auto"/>
        </w:rPr>
      </w:pPr>
      <w:r>
        <w:rPr>
          <w:rFonts w:ascii="Times New Roman" w:cs="Times New Roman" w:eastAsia="Times New Roman" w:hAnsi="Times New Roman"/>
          <w:sz w:val="18"/>
          <w:szCs w:val="18"/>
          <w:color w:val="auto"/>
        </w:rPr>
        <w:t>We may conduct future offerings of common stock, preferred stock or other securities that are convertible into, or exercisable or exchangeable for, our common stock to finance our operations or fund acquisitions, or for other purposes. In addition, we have shares reserved and available for issuance pursuant to our 2023 Employee Stock Purchase Plan and our 2021 Equity Incentive Plan and issued 17,425,849 shares of common stock as consideration for the BlueHalo acquisition, substantially all of which are subject to a lock-up but will be eligible for resale upon expiration of the applicable lock-up period.</w:t>
      </w:r>
    </w:p>
    <w:p>
      <w:pPr>
        <w:spacing w:after="0" w:line="79" w:lineRule="exact"/>
        <w:rPr>
          <w:sz w:val="20"/>
          <w:szCs w:val="20"/>
          <w:color w:val="auto"/>
        </w:rPr>
      </w:pPr>
    </w:p>
    <w:p>
      <w:pPr>
        <w:ind w:left="40" w:right="139"/>
        <w:spacing w:after="0" w:line="256" w:lineRule="auto"/>
        <w:rPr>
          <w:sz w:val="20"/>
          <w:szCs w:val="20"/>
          <w:color w:val="auto"/>
        </w:rPr>
      </w:pPr>
      <w:r>
        <w:rPr>
          <w:rFonts w:ascii="Times New Roman" w:cs="Times New Roman" w:eastAsia="Times New Roman" w:hAnsi="Times New Roman"/>
          <w:sz w:val="18"/>
          <w:szCs w:val="18"/>
          <w:color w:val="auto"/>
        </w:rPr>
        <w:t>The Indenture for the Notes does not restrict our ability to issue additional equity securities in the future. If we issue additional shares of our common stock or rights to acquire shares of our common stock, if any of our existing stockholders sell a substantial amount of our common stock, or if the market perceives that such issuances or sales may occur, then the trading price of our common stock and, accordingly, the Notes may significantly decline. In addition, any issuance of additional shares of common stock will dilute the ownership interests of our existing common stockholders, including Noteholders who have received shares of our common stock upon conversion of their Notes.</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The conversion of Notes could impair our financial position and liquidity.</w:t>
      </w:r>
    </w:p>
    <w:p>
      <w:pPr>
        <w:spacing w:after="0" w:line="121" w:lineRule="exact"/>
        <w:rPr>
          <w:sz w:val="20"/>
          <w:szCs w:val="20"/>
          <w:color w:val="auto"/>
        </w:rPr>
      </w:pPr>
    </w:p>
    <w:p>
      <w:pPr>
        <w:ind w:left="40" w:right="99"/>
        <w:spacing w:after="0" w:line="255" w:lineRule="auto"/>
        <w:rPr>
          <w:sz w:val="20"/>
          <w:szCs w:val="20"/>
          <w:color w:val="auto"/>
        </w:rPr>
      </w:pPr>
      <w:r>
        <w:rPr>
          <w:rFonts w:ascii="Times New Roman" w:cs="Times New Roman" w:eastAsia="Times New Roman" w:hAnsi="Times New Roman"/>
          <w:sz w:val="18"/>
          <w:szCs w:val="18"/>
          <w:color w:val="auto"/>
        </w:rPr>
        <w:t>Because we must settle at least a portion of our conversion obligation in cash, the conversion of Notes could materially and adversely affect our financial position and liquidity. Before April 15, 2030, Noteholders will have the right to convert their Notes only upon the occurrence of certain events. From and after April 15, 2030, Noteholders may convert their Notes at any time at their election until the close of business on the second scheduled trading day immediately before the maturity date. However, many of the conditions that permit the conversion of Notes before April 15, 2030 are beyond our control. We could be required to expend a significant amount of cash to settle conversions, which could significantly harm our financial position and liquidity.</w:t>
      </w:r>
    </w:p>
    <w:p>
      <w:pPr>
        <w:spacing w:after="0" w:line="185" w:lineRule="exact"/>
        <w:rPr>
          <w:sz w:val="20"/>
          <w:szCs w:val="20"/>
          <w:color w:val="auto"/>
        </w:rPr>
      </w:pPr>
    </w:p>
    <w:p>
      <w:pPr>
        <w:ind w:left="4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the U.S. and other government budgets, changes in spending or budgetary priorities, delays in contract awards or in the release of approved funds may significantly and adversely affect our future revenue.</w:t>
      </w:r>
    </w:p>
    <w:p>
      <w:pPr>
        <w:spacing w:after="0" w:line="159" w:lineRule="exact"/>
        <w:rPr>
          <w:sz w:val="20"/>
          <w:szCs w:val="20"/>
          <w:color w:val="auto"/>
        </w:rPr>
      </w:pPr>
    </w:p>
    <w:p>
      <w:pPr>
        <w:ind w:left="40" w:right="79"/>
        <w:spacing w:after="0" w:line="252" w:lineRule="auto"/>
        <w:rPr>
          <w:sz w:val="20"/>
          <w:szCs w:val="20"/>
          <w:color w:val="auto"/>
        </w:rPr>
      </w:pPr>
      <w:r>
        <w:rPr>
          <w:rFonts w:ascii="Times New Roman" w:cs="Times New Roman" w:eastAsia="Times New Roman" w:hAnsi="Times New Roman"/>
          <w:sz w:val="18"/>
          <w:szCs w:val="18"/>
          <w:color w:val="auto"/>
        </w:rPr>
        <w:t>Because we generate a significant portion of our total sales from the U.S. government and its agencies and from foreign governments, our results of operations could be adversely affected by government spending caps, delays in the government budget process, program starts, the award of contracts or orders under existing contracts, or delays in release of funds by the federal government. Delays in the definitization of a contract could result in delayed funding, billing and payment. Our business may be adversely impacted due to shifts in the political environment and resulting changes in the government and agency leadership positions and priorities for funding. We cannot assure you that current levels of congressional funding for our products and services will continue and that our business will not decline, or that such funding will be accessible consistent with previously realized timelines due to federal budgetary review activities and potential freezes on or cancellation of various governmental programs from time to time. If annual budget appropriations or continuing resolutions are not enacted timely, we could face U.S. government shutdowns, which could adversely impact our programs and contracts with the U.S. government, our ability to receive timely payment from U.S. government entities, our ability to provide services to the U.S. government resulting in lost or delayed revenue under our services contracts (the volume of which materially increased with our BlueHalo acquisition), and our ability to timely obtain export licenses for our products and services to fulfill contracts with our international customers.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Trading Plan</w:t>
      </w:r>
    </w:p>
    <w:p>
      <w:pPr>
        <w:spacing w:after="0" w:line="229" w:lineRule="exact"/>
        <w:rPr>
          <w:sz w:val="20"/>
          <w:szCs w:val="20"/>
          <w:color w:val="auto"/>
        </w:rPr>
      </w:pPr>
    </w:p>
    <w:p>
      <w:pPr>
        <w:ind w:left="40" w:right="179"/>
        <w:spacing w:after="0" w:line="274" w:lineRule="auto"/>
        <w:rPr>
          <w:sz w:val="20"/>
          <w:szCs w:val="20"/>
          <w:color w:val="auto"/>
        </w:rPr>
      </w:pPr>
      <w:r>
        <w:rPr>
          <w:rFonts w:ascii="Times New Roman" w:cs="Times New Roman" w:eastAsia="Times New Roman" w:hAnsi="Times New Roman"/>
          <w:sz w:val="17"/>
          <w:szCs w:val="17"/>
          <w:color w:val="auto"/>
        </w:rPr>
        <w:t>On July 11, 2025, Kevin McDonnell, our Executive Vice President and Chief Financial Officer, adopted a trading arrangement (the “McDonnell Rule 10b5-1 Trading Plan”) for the sale of shares of Common Stock that is intended to satisfy the affirmative defense conditions of Exchange Act Rule 10b5-1(c). The McDonnell Rule 10b5-1 Trading Plan, which has a term of approximately 8 months, provides for the sale of shares of Common Stock issuable under the terms of certain restricted stock awards granted to Mr. McDonnell by the Company. The aggregate number of shares of Common Stock that will be subject to sale pursuant to the terms of the McDonnell Rule 10b5-1 Trading Plan, is 4,296 shares.</w:t>
      </w:r>
    </w:p>
    <w:p>
      <w:pPr>
        <w:spacing w:after="0" w:line="173" w:lineRule="exact"/>
        <w:rPr>
          <w:sz w:val="20"/>
          <w:szCs w:val="20"/>
          <w:color w:val="auto"/>
        </w:rPr>
      </w:pPr>
    </w:p>
    <w:p>
      <w:pPr>
        <w:ind w:left="40" w:right="119"/>
        <w:spacing w:after="0" w:line="266" w:lineRule="auto"/>
        <w:rPr>
          <w:sz w:val="20"/>
          <w:szCs w:val="20"/>
          <w:color w:val="auto"/>
        </w:rPr>
      </w:pPr>
      <w:r>
        <w:rPr>
          <w:rFonts w:ascii="Times New Roman" w:cs="Times New Roman" w:eastAsia="Times New Roman" w:hAnsi="Times New Roman"/>
          <w:sz w:val="18"/>
          <w:szCs w:val="18"/>
          <w:color w:val="auto"/>
        </w:rPr>
        <w:t>Other than with respect to the McDonnell Rule 10b5-1 Trading Plan, none of our directors or officers informed us of the adoption or termination of a “Rule 10b5-1 trading arrangement” or “non-Rule 10b5-1 trading arrangement,” as those terms are defined in Regulation S-K, Item 408 during the three-month period ended August 2, 2025.</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6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300" w:type="dxa"/>
            <w:vAlign w:val="bottom"/>
            <w:gridSpan w:val="18"/>
          </w:tcPr>
          <w:p>
            <w:pPr>
              <w:ind w:left="8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6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14"/>
                <w:szCs w:val="14"/>
                <w:color w:val="auto"/>
              </w:rPr>
            </w:pPr>
          </w:p>
        </w:tc>
        <w:tc>
          <w:tcPr>
            <w:tcW w:w="7900" w:type="dxa"/>
            <w:vAlign w:val="bottom"/>
            <w:tcBorders>
              <w:top w:val="single" w:sz="8" w:color="auto"/>
              <w:bottom w:val="single" w:sz="8" w:color="0000EE"/>
            </w:tcBorders>
            <w:gridSpan w:val="18"/>
          </w:tcPr>
          <w:p>
            <w:pPr>
              <w:spacing w:after="0" w:line="169"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Amended and Restated Certificate of Incorporation of AeroVironment, Inc. (incorporated by reference herein</w:t>
              </w:r>
            </w:hyperlink>
          </w:p>
        </w:tc>
        <w:tc>
          <w:tcPr>
            <w:tcW w:w="120" w:type="dxa"/>
            <w:vAlign w:val="bottom"/>
            <w:tcBorders>
              <w:top w:val="single" w:sz="8" w:color="auto"/>
            </w:tcBorders>
            <w:gridSpan w:val="4"/>
          </w:tcPr>
          <w:p>
            <w:pPr>
              <w:spacing w:after="0"/>
              <w:rPr>
                <w:sz w:val="14"/>
                <w:szCs w:val="14"/>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22"/>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to Exhibit 3.1 to the Company’s Current Report on Form 8-K filed with the SEC on October 3, 2024)</w:t>
              </w:r>
            </w:hyperlink>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17"/>
                <w:szCs w:val="17"/>
                <w:color w:val="auto"/>
              </w:rPr>
            </w:pPr>
          </w:p>
        </w:tc>
        <w:tc>
          <w:tcPr>
            <w:tcW w:w="8020" w:type="dxa"/>
            <w:vAlign w:val="bottom"/>
            <w:gridSpan w:val="22"/>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Fifth Amended and Restated Bylaws of AeroVironment, Inc., amended as of October 1, 2024. (incorporated by</w:t>
              </w:r>
            </w:hyperlink>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reference herein to Exhibit 3.2 to the Company’s Current Report on Form 8-K filed with the SEC on October</w:t>
              </w:r>
            </w:hyperlink>
          </w:p>
        </w:tc>
        <w:tc>
          <w:tcPr>
            <w:tcW w:w="2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55">
              <w:r>
                <w:rPr>
                  <w:rFonts w:ascii="Times New Roman" w:cs="Times New Roman" w:eastAsia="Times New Roman" w:hAnsi="Times New Roman"/>
                  <w:sz w:val="18"/>
                  <w:szCs w:val="18"/>
                  <w:color w:val="0000EE"/>
                  <w:w w:val="96"/>
                </w:rPr>
                <w:t>3, 2024)</w:t>
              </w:r>
            </w:hyperlink>
          </w:p>
        </w:tc>
        <w:tc>
          <w:tcPr>
            <w:tcW w:w="19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3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7"/>
                <w:szCs w:val="17"/>
                <w:color w:val="auto"/>
              </w:rPr>
            </w:pPr>
          </w:p>
        </w:tc>
        <w:tc>
          <w:tcPr>
            <w:tcW w:w="7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Indenture, dated as of July 3, 2025, between AeroVironment, Inc. and U.S. Bank Trust Company, National</w:t>
              </w:r>
            </w:hyperlink>
          </w:p>
        </w:tc>
        <w:tc>
          <w:tcPr>
            <w:tcW w:w="340" w:type="dxa"/>
            <w:vAlign w:val="bottom"/>
            <w:gridSpan w:val="9"/>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6">
              <w:r>
                <w:rPr>
                  <w:rFonts w:ascii="Times New Roman" w:cs="Times New Roman" w:eastAsia="Times New Roman" w:hAnsi="Times New Roman"/>
                  <w:sz w:val="18"/>
                  <w:szCs w:val="18"/>
                  <w:color w:val="0000EE"/>
                  <w:w w:val="99"/>
                </w:rPr>
                <w:t>Association, as trustee (incorporated by reference to Exhibit 4.1 to the Company’s Current Report on Form 8-</w:t>
              </w:r>
            </w:hyperlink>
          </w:p>
        </w:tc>
        <w:tc>
          <w:tcPr>
            <w:tcW w:w="120" w:type="dxa"/>
            <w:vAlign w:val="bottom"/>
            <w:gridSpan w:val="4"/>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22"/>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K filed with the SEC on July 3, 2025)</w:t>
              </w:r>
            </w:hyperlink>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4.2</w:t>
            </w:r>
          </w:p>
        </w:tc>
        <w:tc>
          <w:tcPr>
            <w:tcW w:w="220" w:type="dxa"/>
            <w:vAlign w:val="bottom"/>
          </w:tcPr>
          <w:p>
            <w:pPr>
              <w:spacing w:after="0"/>
              <w:rPr>
                <w:sz w:val="17"/>
                <w:szCs w:val="17"/>
                <w:color w:val="auto"/>
              </w:rPr>
            </w:pPr>
          </w:p>
        </w:tc>
        <w:tc>
          <w:tcPr>
            <w:tcW w:w="76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First Supplemental Indenture, dated as of July 3, 2025, between AeroVironment, Inc. and U.S. Bank Trust</w:t>
              </w:r>
            </w:hyperlink>
          </w:p>
        </w:tc>
        <w:tc>
          <w:tcPr>
            <w:tcW w:w="380" w:type="dxa"/>
            <w:vAlign w:val="bottom"/>
            <w:gridSpan w:val="10"/>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7">
              <w:r>
                <w:rPr>
                  <w:rFonts w:ascii="Times New Roman" w:cs="Times New Roman" w:eastAsia="Times New Roman" w:hAnsi="Times New Roman"/>
                  <w:sz w:val="18"/>
                  <w:szCs w:val="18"/>
                  <w:color w:val="0000EE"/>
                  <w:w w:val="99"/>
                </w:rPr>
                <w:t>Company, National Association, as trustee (incorporated by reference to Exhibit 4.2 to the Company’s Current</w:t>
              </w:r>
            </w:hyperlink>
          </w:p>
        </w:tc>
        <w:tc>
          <w:tcPr>
            <w:tcW w:w="60" w:type="dxa"/>
            <w:vAlign w:val="bottom"/>
            <w:gridSpan w:val="2"/>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22"/>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Report on Form 8-K filed with the SEC on July 3, 2025)</w:t>
              </w:r>
            </w:hyperlink>
          </w:p>
        </w:tc>
      </w:tr>
      <w:tr>
        <w:trPr>
          <w:trHeight w:val="20"/>
        </w:trPr>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73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Fourth Amendment to Credit Agreement, Amendment to Security and Pledge Agreement, and Joinder</w:t>
              </w:r>
            </w:hyperlink>
          </w:p>
        </w:tc>
        <w:tc>
          <w:tcPr>
            <w:tcW w:w="660" w:type="dxa"/>
            <w:vAlign w:val="bottom"/>
            <w:gridSpan w:val="14"/>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Agreement, dated May 1, 2025, by and among AeroVironment, Inc., certain lenders, letter of credit issuers,</w:t>
              </w:r>
            </w:hyperlink>
          </w:p>
        </w:tc>
        <w:tc>
          <w:tcPr>
            <w:tcW w:w="300" w:type="dxa"/>
            <w:vAlign w:val="bottom"/>
            <w:gridSpan w:val="8"/>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Bank of America, N.A., as the administrative agent and the swingline lender, and Bank of America, N.A.,</w:t>
              </w:r>
            </w:hyperlink>
          </w:p>
        </w:tc>
        <w:tc>
          <w:tcPr>
            <w:tcW w:w="400" w:type="dxa"/>
            <w:vAlign w:val="bottom"/>
            <w:gridSpan w:val="11"/>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22"/>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JPMorgan Chase Bank, N.A., U.S. Bank National Association and Citibank, N.A, as co-syndication agents for</w:t>
              </w:r>
            </w:hyperlink>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8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the Term A facility (incorporated by reference to Exhibit 10.4 to the Company’s Current Report on Form 8-K</w:t>
              </w:r>
            </w:hyperlink>
          </w:p>
        </w:tc>
        <w:tc>
          <w:tcPr>
            <w:tcW w:w="60" w:type="dxa"/>
            <w:vAlign w:val="bottom"/>
            <w:tcBorders>
              <w:top w:val="single" w:sz="8" w:color="0000EE"/>
            </w:tcBorders>
            <w:gridSpan w:val="2"/>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filed with the SEC on May 1, 2025)</w:t>
              </w:r>
            </w:hyperlink>
          </w:p>
        </w:tc>
        <w:tc>
          <w:tcPr>
            <w:tcW w:w="5440" w:type="dxa"/>
            <w:vAlign w:val="bottom"/>
            <w:gridSpan w:val="20"/>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7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and Rule 15d-14(a) of the Securities</w:t>
            </w:r>
          </w:p>
        </w:tc>
        <w:tc>
          <w:tcPr>
            <w:tcW w:w="500" w:type="dxa"/>
            <w:vAlign w:val="bottom"/>
            <w:gridSpan w:val="12"/>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amended.</w:t>
            </w:r>
          </w:p>
        </w:tc>
        <w:tc>
          <w:tcPr>
            <w:tcW w:w="5420" w:type="dxa"/>
            <w:vAlign w:val="bottom"/>
            <w:gridSpan w:val="19"/>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80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Rule 13a-14(a) and Rule 15d-14(a) of the Securities</w:t>
            </w: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amended.</w:t>
            </w:r>
          </w:p>
        </w:tc>
        <w:tc>
          <w:tcPr>
            <w:tcW w:w="4860" w:type="dxa"/>
            <w:vAlign w:val="bottom"/>
            <w:tcBorders>
              <w:top w:val="single" w:sz="8" w:color="0000EE"/>
            </w:tcBorders>
            <w:gridSpan w:val="6"/>
          </w:tcPr>
          <w:p>
            <w:pPr>
              <w:spacing w:after="0"/>
              <w:rPr>
                <w:sz w:val="17"/>
                <w:szCs w:val="17"/>
                <w:color w:val="auto"/>
              </w:rPr>
            </w:pPr>
          </w:p>
        </w:tc>
        <w:tc>
          <w:tcPr>
            <w:tcW w:w="560" w:type="dxa"/>
            <w:vAlign w:val="bottom"/>
            <w:gridSpan w:val="13"/>
          </w:tcPr>
          <w:p>
            <w:pPr>
              <w:spacing w:after="0"/>
              <w:rPr>
                <w:sz w:val="17"/>
                <w:szCs w:val="17"/>
                <w:color w:val="auto"/>
              </w:rPr>
            </w:pPr>
          </w:p>
        </w:tc>
      </w:tr>
      <w:tr>
        <w:trPr>
          <w:trHeight w:val="196"/>
        </w:trPr>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6"/>
              </w:rPr>
              <w:t>32#</w:t>
            </w:r>
          </w:p>
        </w:tc>
        <w:tc>
          <w:tcPr>
            <w:tcW w:w="220" w:type="dxa"/>
            <w:vAlign w:val="bottom"/>
          </w:tcPr>
          <w:p>
            <w:pPr>
              <w:spacing w:after="0"/>
              <w:rPr>
                <w:sz w:val="17"/>
                <w:szCs w:val="17"/>
                <w:color w:val="auto"/>
              </w:rPr>
            </w:pPr>
          </w:p>
        </w:tc>
        <w:tc>
          <w:tcPr>
            <w:tcW w:w="774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and Chief Financial Officer pursuant to 18 U.S.C. Section 1350, as</w:t>
            </w:r>
          </w:p>
        </w:tc>
        <w:tc>
          <w:tcPr>
            <w:tcW w:w="280" w:type="dxa"/>
            <w:vAlign w:val="bottom"/>
            <w:gridSpan w:val="7"/>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p>
        </w:tc>
      </w:tr>
      <w:tr>
        <w:trPr>
          <w:trHeight w:val="20"/>
        </w:trPr>
        <w:tc>
          <w:tcPr>
            <w:tcW w:w="900" w:type="dxa"/>
            <w:vAlign w:val="bottom"/>
            <w:gridSpan w:val="2"/>
          </w:tcPr>
          <w:p>
            <w:pPr>
              <w:spacing w:after="0" w:line="20" w:lineRule="exact"/>
              <w:rPr>
                <w:sz w:val="1"/>
                <w:szCs w:val="1"/>
                <w:color w:val="auto"/>
              </w:rPr>
            </w:pPr>
          </w:p>
        </w:tc>
        <w:tc>
          <w:tcPr>
            <w:tcW w:w="4920" w:type="dxa"/>
            <w:vAlign w:val="bottom"/>
            <w:gridSpan w:val="6"/>
            <w:shd w:val="clear" w:color="auto" w:fill="0000EE"/>
          </w:tcPr>
          <w:p>
            <w:pPr>
              <w:spacing w:after="0" w:line="20" w:lineRule="exact"/>
              <w:rPr>
                <w:sz w:val="1"/>
                <w:szCs w:val="1"/>
                <w:color w:val="auto"/>
              </w:rPr>
            </w:pPr>
          </w:p>
        </w:tc>
        <w:tc>
          <w:tcPr>
            <w:tcW w:w="3100" w:type="dxa"/>
            <w:vAlign w:val="bottom"/>
            <w:gridSpan w:val="16"/>
          </w:tcPr>
          <w:p>
            <w:pPr>
              <w:spacing w:after="0" w:line="20" w:lineRule="exact"/>
              <w:rPr>
                <w:sz w:val="1"/>
                <w:szCs w:val="1"/>
                <w:color w:val="auto"/>
              </w:rPr>
            </w:pPr>
          </w:p>
        </w:tc>
      </w:tr>
      <w:tr>
        <w:trPr>
          <w:trHeight w:val="218"/>
        </w:trPr>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8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Files because its</w:t>
            </w:r>
          </w:p>
        </w:tc>
      </w:tr>
      <w:tr>
        <w:trPr>
          <w:trHeight w:val="216"/>
        </w:trPr>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w:t>
            </w:r>
          </w:p>
        </w:tc>
      </w:tr>
      <w:tr>
        <w:trPr>
          <w:trHeight w:val="21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8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8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8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8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80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40" w:right="1659" w:firstLine="211"/>
        <w:spacing w:after="0" w:line="482" w:lineRule="auto"/>
        <w:tabs>
          <w:tab w:leader="none" w:pos="9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1" w:lineRule="exact"/>
        <w:rPr>
          <w:sz w:val="20"/>
          <w:szCs w:val="20"/>
          <w:color w:val="auto"/>
        </w:rPr>
      </w:pPr>
    </w:p>
    <w:p>
      <w:pPr>
        <w:ind w:left="360" w:right="79" w:hanging="316"/>
        <w:spacing w:after="0" w:line="258" w:lineRule="auto"/>
        <w:tabs>
          <w:tab w:leader="none" w:pos="3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4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0"/>
        <w:spacing w:after="0"/>
        <w:tabs>
          <w:tab w:leader="none" w:pos="4860" w:val="left"/>
        </w:tabs>
        <w:rPr>
          <w:sz w:val="20"/>
          <w:szCs w:val="20"/>
          <w:color w:val="auto"/>
        </w:rPr>
      </w:pPr>
      <w:r>
        <w:rPr>
          <w:rFonts w:ascii="Times New Roman" w:cs="Times New Roman" w:eastAsia="Times New Roman" w:hAnsi="Times New Roman"/>
          <w:sz w:val="18"/>
          <w:szCs w:val="18"/>
          <w:color w:val="auto"/>
        </w:rPr>
        <w:t>Date: September 9, 2025</w:t>
      </w:r>
      <w:r>
        <w:rPr>
          <w:sz w:val="20"/>
          <w:szCs w:val="20"/>
          <w:color w:val="auto"/>
        </w:rPr>
        <w:tab/>
      </w:r>
      <w:r>
        <w:rPr>
          <w:rFonts w:ascii="Times New Roman" w:cs="Times New Roman" w:eastAsia="Times New Roman" w:hAnsi="Times New Roman"/>
          <w:sz w:val="17"/>
          <w:szCs w:val="17"/>
          <w:color w:val="auto"/>
        </w:rPr>
        <w:t>AEROVIRONMENT, INC.</w:t>
      </w:r>
    </w:p>
    <w:p>
      <w:pPr>
        <w:spacing w:after="0" w:line="27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Wahid Nawabi</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/s/ Brian C. Shackley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26035</wp:posOffset>
            </wp:positionV>
            <wp:extent cx="258889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Brian C. Shackley</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3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Wahid Nawabi, certify that:</w:t>
      </w:r>
    </w:p>
    <w:p>
      <w:pPr>
        <w:spacing w:after="0" w:line="225" w:lineRule="exact"/>
        <w:rPr>
          <w:sz w:val="20"/>
          <w:szCs w:val="20"/>
          <w:color w:val="auto"/>
        </w:rPr>
      </w:pPr>
    </w:p>
    <w:p>
      <w:pPr>
        <w:ind w:left="360" w:hanging="316"/>
        <w:spacing w:after="0"/>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360" w:right="239" w:hanging="316"/>
        <w:spacing w:after="0" w:line="258"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9, 2025</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2" w:name="page43"/>
    <w:bookmarkEnd w:id="4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of the Securities Exchange Act of 1934</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 Kevin P. McDonnell, certify that:</w:t>
      </w:r>
    </w:p>
    <w:p>
      <w:pPr>
        <w:spacing w:after="0" w:line="225" w:lineRule="exact"/>
        <w:rPr>
          <w:sz w:val="20"/>
          <w:szCs w:val="20"/>
          <w:color w:val="auto"/>
        </w:rPr>
      </w:pPr>
    </w:p>
    <w:p>
      <w:pPr>
        <w:ind w:left="360" w:hanging="316"/>
        <w:spacing w:after="0"/>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AeroVironment, Inc.;</w:t>
      </w:r>
    </w:p>
    <w:p>
      <w:pPr>
        <w:spacing w:after="0" w:line="225" w:lineRule="exact"/>
        <w:rPr>
          <w:rFonts w:ascii="Times New Roman" w:cs="Times New Roman" w:eastAsia="Times New Roman" w:hAnsi="Times New Roman"/>
          <w:sz w:val="18"/>
          <w:szCs w:val="18"/>
          <w:color w:val="auto"/>
        </w:rPr>
      </w:pPr>
    </w:p>
    <w:p>
      <w:pPr>
        <w:jc w:val="both"/>
        <w:ind w:left="360" w:right="119" w:hanging="316"/>
        <w:spacing w:after="0" w:line="266"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60" w:right="79" w:hanging="316"/>
        <w:spacing w:after="0" w:line="258"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Times New Roman" w:cs="Times New Roman" w:eastAsia="Times New Roman" w:hAnsi="Times New Roman"/>
          <w:sz w:val="18"/>
          <w:szCs w:val="18"/>
          <w:color w:val="auto"/>
        </w:rPr>
      </w:pPr>
    </w:p>
    <w:p>
      <w:pPr>
        <w:jc w:val="both"/>
        <w:ind w:left="360" w:right="239" w:hanging="316"/>
        <w:spacing w:after="0" w:line="258"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8"/>
          <w:szCs w:val="18"/>
          <w:color w:val="auto"/>
        </w:rPr>
      </w:pPr>
    </w:p>
    <w:p>
      <w:pPr>
        <w:ind w:left="700" w:right="359" w:hanging="332"/>
        <w:spacing w:after="0" w:line="261"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6" w:lineRule="exact"/>
        <w:rPr>
          <w:rFonts w:ascii="Times New Roman" w:cs="Times New Roman" w:eastAsia="Times New Roman" w:hAnsi="Times New Roman"/>
          <w:sz w:val="18"/>
          <w:szCs w:val="18"/>
          <w:color w:val="auto"/>
        </w:rPr>
      </w:pPr>
    </w:p>
    <w:p>
      <w:pPr>
        <w:ind w:left="700" w:right="79" w:hanging="332"/>
        <w:spacing w:after="0" w:line="261"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700" w:right="199" w:hanging="332"/>
        <w:spacing w:after="0" w:line="266"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700" w:right="99" w:hanging="332"/>
        <w:spacing w:after="0" w:line="261"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360" w:right="319" w:hanging="316"/>
        <w:spacing w:after="0" w:line="266" w:lineRule="auto"/>
        <w:tabs>
          <w:tab w:leader="none" w:pos="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700" w:right="159" w:hanging="332"/>
        <w:spacing w:after="0" w:line="258"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Times New Roman" w:cs="Times New Roman" w:eastAsia="Times New Roman" w:hAnsi="Times New Roman"/>
          <w:sz w:val="18"/>
          <w:szCs w:val="18"/>
          <w:color w:val="auto"/>
        </w:rPr>
      </w:pPr>
    </w:p>
    <w:p>
      <w:pPr>
        <w:ind w:left="700" w:right="239" w:hanging="332"/>
        <w:spacing w:after="0" w:line="266" w:lineRule="auto"/>
        <w:tabs>
          <w:tab w:leader="none" w:pos="7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September 9, 2025</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3" w:name="page44"/>
    <w:bookmarkEnd w:id="4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05" w:lineRule="exact"/>
        <w:rPr>
          <w:sz w:val="20"/>
          <w:szCs w:val="20"/>
          <w:color w:val="auto"/>
        </w:rPr>
      </w:pPr>
    </w:p>
    <w:p>
      <w:pPr>
        <w:jc w:val="both"/>
        <w:ind w:left="40" w:right="119" w:firstLine="48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76" w:lineRule="exact"/>
        <w:rPr>
          <w:sz w:val="20"/>
          <w:szCs w:val="20"/>
          <w:color w:val="auto"/>
        </w:rPr>
      </w:pPr>
    </w:p>
    <w:p>
      <w:pPr>
        <w:ind w:left="40" w:right="59" w:firstLine="486"/>
        <w:spacing w:after="0" w:line="255" w:lineRule="auto"/>
        <w:rPr>
          <w:sz w:val="20"/>
          <w:szCs w:val="20"/>
          <w:color w:val="auto"/>
        </w:rPr>
      </w:pPr>
      <w:r>
        <w:rPr>
          <w:rFonts w:ascii="Times New Roman" w:cs="Times New Roman" w:eastAsia="Times New Roman" w:hAnsi="Times New Roman"/>
          <w:sz w:val="18"/>
          <w:szCs w:val="18"/>
          <w:color w:val="auto"/>
        </w:rPr>
        <w:t>The Quarterly Report on Form 10-Q for the quarter ended August, 2, 2025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20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Wahid Nawabi</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P. McDonnell</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September, 9 2025</w:t>
      </w:r>
    </w:p>
    <w:p>
      <w:pPr>
        <w:spacing w:after="0" w:line="225" w:lineRule="exact"/>
        <w:rPr>
          <w:sz w:val="20"/>
          <w:szCs w:val="20"/>
          <w:color w:val="auto"/>
        </w:rPr>
      </w:pPr>
    </w:p>
    <w:p>
      <w:pPr>
        <w:ind w:left="40" w:right="299" w:firstLine="486"/>
        <w:spacing w:after="0" w:line="254"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347345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7"/>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4"/>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54" Type="http://schemas.openxmlformats.org/officeDocument/2006/relationships/hyperlink" Target="https://www.sec.gov/Archives/edgar/data/1368622/000110465924105632/tm2425465d1_ex3-1.htm" TargetMode="External"/><Relationship Id="rId55" Type="http://schemas.openxmlformats.org/officeDocument/2006/relationships/hyperlink" Target="https://www.sec.gov/Archives/edgar/data/1368622/000110465924105632/tm2425465d1_ex3-2.htm" TargetMode="External"/><Relationship Id="rId56" Type="http://schemas.openxmlformats.org/officeDocument/2006/relationships/hyperlink" Target="https://www.sec.gov/Archives/edgar/data/1368622/000110465925065778/tm2519048d11_ex4-1.htm" TargetMode="External"/><Relationship Id="rId57" Type="http://schemas.openxmlformats.org/officeDocument/2006/relationships/hyperlink" Target="https://www.sec.gov/Archives/edgar/data/1368622/000110465925065778/tm2519048d11_ex4-2.htm" TargetMode="External"/><Relationship Id="rId58" Type="http://schemas.openxmlformats.org/officeDocument/2006/relationships/hyperlink" Target="https://www.sec.gov/Archives/edgar/data/1368622/000110465925043118/tm2513632d1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2025-09-10T05:13:41Z</dcterms:created>
  <dcterms:modified xsi:type="dcterms:W3CDTF">2025-09-10T05:13:41Z</dcterms:modified>
</cp:coreProperties>
</file>