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660" w:right="32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January 28, 2012</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6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8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AEROVIRONMENT,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560" w:type="dxa"/>
        <w:tblCellMar>
          <w:top w:w="0" w:type="dxa"/>
          <w:left w:w="0" w:type="dxa"/>
          <w:bottom w:w="0" w:type="dxa"/>
          <w:right w:w="0" w:type="dxa"/>
        </w:tblCellMar>
      </w:tblPr>
      <w:tr>
        <w:trPr>
          <w:trHeight w:val="220"/>
        </w:trPr>
        <w:tc>
          <w:tcPr>
            <w:tcW w:w="5580" w:type="dxa"/>
            <w:vAlign w:val="bottom"/>
          </w:tcPr>
          <w:p>
            <w:pPr>
              <w:jc w:val="center"/>
              <w:ind w:right="1190"/>
              <w:spacing w:after="0"/>
              <w:rPr>
                <w:sz w:val="20"/>
                <w:szCs w:val="20"/>
                <w:color w:val="auto"/>
              </w:rPr>
            </w:pPr>
            <w:r>
              <w:rPr>
                <w:rFonts w:ascii="Arial" w:cs="Arial" w:eastAsia="Arial" w:hAnsi="Arial"/>
                <w:sz w:val="18"/>
                <w:szCs w:val="18"/>
                <w:b w:val="1"/>
                <w:bCs w:val="1"/>
                <w:color w:val="auto"/>
                <w:w w:val="93"/>
              </w:rPr>
              <w:t>Delaware</w:t>
            </w:r>
          </w:p>
        </w:tc>
        <w:tc>
          <w:tcPr>
            <w:tcW w:w="3900" w:type="dxa"/>
            <w:vAlign w:val="bottom"/>
          </w:tcPr>
          <w:p>
            <w:pPr>
              <w:jc w:val="right"/>
              <w:ind w:right="790"/>
              <w:spacing w:after="0"/>
              <w:rPr>
                <w:sz w:val="20"/>
                <w:szCs w:val="20"/>
                <w:color w:val="auto"/>
              </w:rPr>
            </w:pPr>
            <w:r>
              <w:rPr>
                <w:rFonts w:ascii="Arial" w:cs="Arial" w:eastAsia="Arial" w:hAnsi="Arial"/>
                <w:sz w:val="18"/>
                <w:szCs w:val="18"/>
                <w:b w:val="1"/>
                <w:bCs w:val="1"/>
                <w:color w:val="auto"/>
              </w:rPr>
              <w:t>95-2705790</w:t>
            </w:r>
          </w:p>
        </w:tc>
      </w:tr>
      <w:tr>
        <w:trPr>
          <w:trHeight w:val="230"/>
        </w:trPr>
        <w:tc>
          <w:tcPr>
            <w:tcW w:w="5580" w:type="dxa"/>
            <w:vAlign w:val="bottom"/>
          </w:tcPr>
          <w:p>
            <w:pPr>
              <w:jc w:val="center"/>
              <w:ind w:right="11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900" w:type="dxa"/>
            <w:vAlign w:val="bottom"/>
          </w:tcPr>
          <w:p>
            <w:pPr>
              <w:jc w:val="center"/>
              <w:ind w:left="119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580" w:type="dxa"/>
            <w:vAlign w:val="bottom"/>
          </w:tcPr>
          <w:p>
            <w:pPr>
              <w:jc w:val="center"/>
              <w:ind w:right="1190"/>
              <w:spacing w:after="0"/>
              <w:rPr>
                <w:sz w:val="20"/>
                <w:szCs w:val="20"/>
                <w:color w:val="auto"/>
              </w:rPr>
            </w:pPr>
            <w:r>
              <w:rPr>
                <w:rFonts w:ascii="Arial" w:cs="Arial" w:eastAsia="Arial" w:hAnsi="Arial"/>
                <w:sz w:val="18"/>
                <w:szCs w:val="18"/>
                <w:b w:val="1"/>
                <w:bCs w:val="1"/>
                <w:color w:val="auto"/>
                <w:w w:val="92"/>
              </w:rPr>
              <w:t>181 W. Huntington Drive, Suite 202</w:t>
            </w:r>
          </w:p>
        </w:tc>
        <w:tc>
          <w:tcPr>
            <w:tcW w:w="3900" w:type="dxa"/>
            <w:vAlign w:val="bottom"/>
          </w:tcPr>
          <w:p>
            <w:pPr>
              <w:spacing w:after="0"/>
              <w:rPr>
                <w:sz w:val="24"/>
                <w:szCs w:val="24"/>
                <w:color w:val="auto"/>
              </w:rPr>
            </w:pPr>
          </w:p>
        </w:tc>
      </w:tr>
      <w:tr>
        <w:trPr>
          <w:trHeight w:val="220"/>
        </w:trPr>
        <w:tc>
          <w:tcPr>
            <w:tcW w:w="5580" w:type="dxa"/>
            <w:vAlign w:val="bottom"/>
          </w:tcPr>
          <w:p>
            <w:pPr>
              <w:jc w:val="center"/>
              <w:ind w:right="1190"/>
              <w:spacing w:after="0"/>
              <w:rPr>
                <w:sz w:val="20"/>
                <w:szCs w:val="20"/>
                <w:color w:val="auto"/>
              </w:rPr>
            </w:pPr>
            <w:r>
              <w:rPr>
                <w:rFonts w:ascii="Arial" w:cs="Arial" w:eastAsia="Arial" w:hAnsi="Arial"/>
                <w:sz w:val="18"/>
                <w:szCs w:val="18"/>
                <w:b w:val="1"/>
                <w:bCs w:val="1"/>
                <w:color w:val="auto"/>
                <w:w w:val="93"/>
              </w:rPr>
              <w:t>Monrovia, California</w:t>
            </w:r>
          </w:p>
        </w:tc>
        <w:tc>
          <w:tcPr>
            <w:tcW w:w="3900" w:type="dxa"/>
            <w:vAlign w:val="bottom"/>
          </w:tcPr>
          <w:p>
            <w:pPr>
              <w:jc w:val="right"/>
              <w:ind w:right="990"/>
              <w:spacing w:after="0"/>
              <w:rPr>
                <w:sz w:val="20"/>
                <w:szCs w:val="20"/>
                <w:color w:val="auto"/>
              </w:rPr>
            </w:pPr>
            <w:r>
              <w:rPr>
                <w:rFonts w:ascii="Arial" w:cs="Arial" w:eastAsia="Arial" w:hAnsi="Arial"/>
                <w:sz w:val="18"/>
                <w:szCs w:val="18"/>
                <w:b w:val="1"/>
                <w:bCs w:val="1"/>
                <w:color w:val="auto"/>
              </w:rPr>
              <w:t>91016</w:t>
            </w:r>
          </w:p>
        </w:tc>
      </w:tr>
      <w:tr>
        <w:trPr>
          <w:trHeight w:val="230"/>
        </w:trPr>
        <w:tc>
          <w:tcPr>
            <w:tcW w:w="5580" w:type="dxa"/>
            <w:vAlign w:val="bottom"/>
          </w:tcPr>
          <w:p>
            <w:pPr>
              <w:jc w:val="center"/>
              <w:ind w:right="1190"/>
              <w:spacing w:after="0"/>
              <w:rPr>
                <w:sz w:val="20"/>
                <w:szCs w:val="20"/>
                <w:color w:val="auto"/>
              </w:rPr>
            </w:pPr>
            <w:r>
              <w:rPr>
                <w:rFonts w:ascii="Arial" w:cs="Arial" w:eastAsia="Arial" w:hAnsi="Arial"/>
                <w:sz w:val="18"/>
                <w:szCs w:val="18"/>
                <w:color w:val="auto"/>
                <w:w w:val="92"/>
              </w:rPr>
              <w:t>(Address of principal executive offices)</w:t>
            </w:r>
          </w:p>
        </w:tc>
        <w:tc>
          <w:tcPr>
            <w:tcW w:w="390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(626) 357-9983</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7" w:lineRule="exact"/>
        <w:rPr>
          <w:sz w:val="24"/>
          <w:szCs w:val="24"/>
          <w:color w:val="auto"/>
        </w:rPr>
      </w:pPr>
    </w:p>
    <w:p>
      <w:pPr>
        <w:ind w:left="1920"/>
        <w:spacing w:after="0"/>
        <w:tabs>
          <w:tab w:leader="none" w:pos="794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x</w:t>
      </w:r>
    </w:p>
    <w:p>
      <w:pPr>
        <w:spacing w:after="0" w:line="225" w:lineRule="exact"/>
        <w:rPr>
          <w:sz w:val="24"/>
          <w:szCs w:val="24"/>
          <w:color w:val="auto"/>
        </w:rPr>
      </w:pPr>
    </w:p>
    <w:p>
      <w:pPr>
        <w:ind w:left="1980"/>
        <w:spacing w:after="0"/>
        <w:tabs>
          <w:tab w:leader="none" w:pos="756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(Do not check if smaller reporting company)</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February 24, 2012, the number of shares outstanding of the registrant’s common stock, $0.0001 par value, was 22,133,478.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233" w:right="3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4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2"/>
              </w:rPr>
              <w:t>AeroVironment, Inc.</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9"/>
              </w:rPr>
              <w:t>Table of Contents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80" w:type="dxa"/>
            <w:vAlign w:val="bottom"/>
            <w:gridSpan w:val="22"/>
            <w:shd w:val="clear" w:color="auto" w:fill="CCEEFF"/>
          </w:tcPr>
          <w:p>
            <w:pPr>
              <w:spacing w:after="0" w:line="176"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
              <w:r>
                <w:rPr>
                  <w:rFonts w:ascii="Arial" w:cs="Arial" w:eastAsia="Arial" w:hAnsi="Arial"/>
                  <w:sz w:val="18"/>
                  <w:szCs w:val="18"/>
                  <w:color w:val="0000EE"/>
                  <w:w w:val="87"/>
                </w:rPr>
                <w:t>Item 1.</w:t>
              </w:r>
            </w:hyperlink>
          </w:p>
        </w:tc>
        <w:tc>
          <w:tcPr>
            <w:tcW w:w="920" w:type="dxa"/>
            <w:vAlign w:val="bottom"/>
            <w:tcBorders>
              <w:bottom w:val="single" w:sz="8" w:color="CCEEFF"/>
            </w:tcBorders>
            <w:gridSpan w:val="4"/>
            <w:shd w:val="clear" w:color="auto" w:fill="CCEEFF"/>
          </w:tcPr>
          <w:p>
            <w:pPr>
              <w:spacing w:after="0"/>
              <w:rPr>
                <w:sz w:val="17"/>
                <w:szCs w:val="17"/>
                <w:color w:val="auto"/>
              </w:rPr>
            </w:pPr>
          </w:p>
        </w:tc>
        <w:tc>
          <w:tcPr>
            <w:tcW w:w="15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8"/>
              </w:rPr>
            </w:pPr>
            <w:hyperlink w:anchor="page2">
              <w:r>
                <w:rPr>
                  <w:rFonts w:ascii="Arial" w:cs="Arial" w:eastAsia="Arial" w:hAnsi="Arial"/>
                  <w:sz w:val="18"/>
                  <w:szCs w:val="18"/>
                  <w:color w:val="0000EE"/>
                  <w:w w:val="88"/>
                </w:rPr>
                <w:t>Financial Statements:</w:t>
              </w:r>
            </w:hyperlink>
          </w:p>
        </w:tc>
        <w:tc>
          <w:tcPr>
            <w:tcW w:w="5100" w:type="dxa"/>
            <w:vAlign w:val="bottom"/>
            <w:tcBorders>
              <w:bottom w:val="single" w:sz="8" w:color="CCEEFF"/>
            </w:tcBorders>
            <w:gridSpan w:val="9"/>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80" w:type="dxa"/>
            <w:vAlign w:val="bottom"/>
            <w:gridSpan w:val="16"/>
          </w:tcPr>
          <w:p>
            <w:pPr>
              <w:spacing w:after="0" w:line="176" w:lineRule="exact"/>
              <w:rPr>
                <w:rFonts w:ascii="Arial" w:cs="Arial" w:eastAsia="Arial" w:hAnsi="Arial"/>
                <w:sz w:val="18"/>
                <w:szCs w:val="18"/>
                <w:color w:val="0000EE"/>
                <w:w w:val="95"/>
              </w:rPr>
            </w:pPr>
            <w:hyperlink w:anchor="page2">
              <w:r>
                <w:rPr>
                  <w:rFonts w:ascii="Arial" w:cs="Arial" w:eastAsia="Arial" w:hAnsi="Arial"/>
                  <w:sz w:val="18"/>
                  <w:szCs w:val="18"/>
                  <w:color w:val="0000EE"/>
                  <w:w w:val="95"/>
                </w:rPr>
                <w:t>Consolidated Balance Sheets as of January 28, 2012 (Unaudited) and April 30, 2011</w:t>
              </w:r>
            </w:hyperlink>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98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Income for the three and nine months ended January 28, 2012 (Unaudited) and January 29, 2011</w:t>
              </w:r>
            </w:hyperlink>
          </w:p>
        </w:tc>
        <w:tc>
          <w:tcPr>
            <w:tcW w:w="820" w:type="dxa"/>
            <w:vAlign w:val="bottom"/>
            <w:tcBorders>
              <w:bottom w:val="single" w:sz="8" w:color="CCEEFF"/>
            </w:tcBorders>
            <w:gridSpan w:val="2"/>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300" w:type="dxa"/>
            <w:vAlign w:val="bottom"/>
            <w:gridSpan w:val="15"/>
            <w:shd w:val="clear" w:color="auto" w:fill="CCEEFF"/>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w:t>
              </w:r>
            </w:hyperlink>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60" w:type="dxa"/>
            <w:vAlign w:val="bottom"/>
            <w:gridSpan w:val="22"/>
          </w:tcPr>
          <w:p>
            <w:pPr>
              <w:spacing w:after="0" w:line="17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Statements of Cash Flows for the nine months ended January 28, 2012 (Unaudited) and January 29, 2011</w:t>
              </w:r>
            </w:hyperlink>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3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w:t>
              </w:r>
            </w:hyperlink>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60" w:type="dxa"/>
            <w:vAlign w:val="bottom"/>
            <w:gridSpan w:val="17"/>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Notes to Consolidated Financial Statements (Unaudited)</w:t>
              </w:r>
            </w:hyperlink>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20" w:type="dxa"/>
            <w:vAlign w:val="bottom"/>
            <w:gridSpan w:val="5"/>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Item 2.</w:t>
              </w:r>
            </w:hyperlink>
          </w:p>
        </w:tc>
        <w:tc>
          <w:tcPr>
            <w:tcW w:w="6660" w:type="dxa"/>
            <w:vAlign w:val="bottom"/>
            <w:gridSpan w:val="17"/>
          </w:tcPr>
          <w:p>
            <w:pPr>
              <w:spacing w:after="0" w:line="17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Management’s Discussion and Analysis of Financial Condition and Results of Operations</w:t>
              </w:r>
            </w:hyperlink>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13</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Item 3.</w:t>
              </w:r>
            </w:hyperlink>
          </w:p>
        </w:tc>
        <w:tc>
          <w:tcPr>
            <w:tcW w:w="920" w:type="dxa"/>
            <w:vAlign w:val="bottom"/>
            <w:tcBorders>
              <w:bottom w:val="single" w:sz="8" w:color="CCEEFF"/>
            </w:tcBorders>
            <w:gridSpan w:val="4"/>
            <w:shd w:val="clear" w:color="auto" w:fill="CCEEFF"/>
          </w:tcPr>
          <w:p>
            <w:pPr>
              <w:spacing w:after="0"/>
              <w:rPr>
                <w:sz w:val="17"/>
                <w:szCs w:val="17"/>
                <w:color w:val="auto"/>
              </w:rPr>
            </w:pPr>
          </w:p>
        </w:tc>
        <w:tc>
          <w:tcPr>
            <w:tcW w:w="43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Quantitative and Qualitative Disclosures About Market Risk</w:t>
              </w:r>
            </w:hyperlink>
          </w:p>
        </w:tc>
        <w:tc>
          <w:tcPr>
            <w:tcW w:w="2300" w:type="dxa"/>
            <w:vAlign w:val="bottom"/>
            <w:tcBorders>
              <w:bottom w:val="single" w:sz="8" w:color="CCEEFF"/>
            </w:tcBorders>
            <w:gridSpan w:val="3"/>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gridSpan w:val="5"/>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4.</w:t>
              </w:r>
            </w:hyperlink>
          </w:p>
        </w:tc>
        <w:tc>
          <w:tcPr>
            <w:tcW w:w="6660" w:type="dxa"/>
            <w:vAlign w:val="bottom"/>
            <w:gridSpan w:val="17"/>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Controls and Procedures</w:t>
              </w:r>
            </w:hyperlink>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80" w:type="dxa"/>
            <w:vAlign w:val="bottom"/>
            <w:gridSpan w:val="22"/>
          </w:tcPr>
          <w:p>
            <w:pPr>
              <w:spacing w:after="0" w:line="17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PART II. OTHER INFORMATION</w:t>
              </w:r>
            </w:hyperlink>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20" w:type="dxa"/>
            <w:vAlign w:val="bottom"/>
            <w:gridSpan w:val="5"/>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1.</w:t>
              </w:r>
            </w:hyperlink>
          </w:p>
        </w:tc>
        <w:tc>
          <w:tcPr>
            <w:tcW w:w="6660" w:type="dxa"/>
            <w:vAlign w:val="bottom"/>
            <w:gridSpan w:val="17"/>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Legal Proceedings</w:t>
              </w:r>
            </w:hyperlink>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20" w:type="dxa"/>
            <w:vAlign w:val="bottom"/>
            <w:gridSpan w:val="5"/>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1A.</w:t>
              </w:r>
            </w:hyperlink>
          </w:p>
        </w:tc>
        <w:tc>
          <w:tcPr>
            <w:tcW w:w="6660" w:type="dxa"/>
            <w:vAlign w:val="bottom"/>
            <w:gridSpan w:val="17"/>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2.</w:t>
              </w:r>
            </w:hyperlink>
          </w:p>
        </w:tc>
        <w:tc>
          <w:tcPr>
            <w:tcW w:w="800" w:type="dxa"/>
            <w:vAlign w:val="bottom"/>
            <w:gridSpan w:val="3"/>
          </w:tcPr>
          <w:p>
            <w:pPr>
              <w:spacing w:after="0"/>
              <w:rPr>
                <w:sz w:val="15"/>
                <w:szCs w:val="15"/>
                <w:color w:val="auto"/>
              </w:rPr>
            </w:pPr>
          </w:p>
        </w:tc>
        <w:tc>
          <w:tcPr>
            <w:tcW w:w="6660" w:type="dxa"/>
            <w:vAlign w:val="bottom"/>
            <w:gridSpan w:val="17"/>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Unregistered Sales of Equity Securities and Use of Proceeds</w:t>
              </w:r>
            </w:hyperlink>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Item 3.</w:t>
              </w:r>
            </w:hyperlink>
          </w:p>
        </w:tc>
        <w:tc>
          <w:tcPr>
            <w:tcW w:w="920" w:type="dxa"/>
            <w:vAlign w:val="bottom"/>
            <w:gridSpan w:val="4"/>
            <w:shd w:val="clear" w:color="auto" w:fill="CCEEFF"/>
          </w:tcPr>
          <w:p>
            <w:pPr>
              <w:spacing w:after="0"/>
              <w:rPr>
                <w:sz w:val="17"/>
                <w:szCs w:val="17"/>
                <w:color w:val="auto"/>
              </w:rPr>
            </w:pPr>
          </w:p>
        </w:tc>
        <w:tc>
          <w:tcPr>
            <w:tcW w:w="6660" w:type="dxa"/>
            <w:vAlign w:val="bottom"/>
            <w:gridSpan w:val="17"/>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Defaults Upon Senior Securities</w:t>
              </w:r>
            </w:hyperlink>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Item 4.</w:t>
              </w:r>
            </w:hyperlink>
          </w:p>
        </w:tc>
        <w:tc>
          <w:tcPr>
            <w:tcW w:w="920" w:type="dxa"/>
            <w:vAlign w:val="bottom"/>
            <w:tcBorders>
              <w:top w:val="single" w:sz="8" w:color="CCEEFF"/>
            </w:tcBorders>
            <w:gridSpan w:val="4"/>
          </w:tcPr>
          <w:p>
            <w:pPr>
              <w:spacing w:after="0"/>
              <w:rPr>
                <w:sz w:val="15"/>
                <w:szCs w:val="15"/>
                <w:color w:val="auto"/>
              </w:rPr>
            </w:pPr>
          </w:p>
        </w:tc>
        <w:tc>
          <w:tcPr>
            <w:tcW w:w="232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Mine Safety Disclosures</w:t>
              </w:r>
            </w:hyperlink>
          </w:p>
        </w:tc>
        <w:tc>
          <w:tcPr>
            <w:tcW w:w="4340" w:type="dxa"/>
            <w:vAlign w:val="bottom"/>
            <w:tcBorders>
              <w:top w:val="single" w:sz="8" w:color="CCEEFF"/>
            </w:tcBorders>
            <w:gridSpan w:val="6"/>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gridSpan w:val="3"/>
          </w:tcPr>
          <w:p>
            <w:pPr>
              <w:jc w:val="right"/>
              <w:spacing w:after="0" w:line="176" w:lineRule="exact"/>
              <w:rPr>
                <w:sz w:val="20"/>
                <w:szCs w:val="20"/>
                <w:color w:val="auto"/>
              </w:rPr>
            </w:pPr>
            <w:r>
              <w:rPr>
                <w:rFonts w:ascii="Arial" w:cs="Arial" w:eastAsia="Arial" w:hAnsi="Arial"/>
                <w:sz w:val="18"/>
                <w:szCs w:val="18"/>
                <w:color w:val="auto"/>
              </w:rPr>
              <w:t>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Item 5.</w:t>
              </w:r>
            </w:hyperlink>
          </w:p>
        </w:tc>
        <w:tc>
          <w:tcPr>
            <w:tcW w:w="920" w:type="dxa"/>
            <w:vAlign w:val="bottom"/>
            <w:tcBorders>
              <w:bottom w:val="single" w:sz="8" w:color="CCEEFF"/>
            </w:tcBorders>
            <w:gridSpan w:val="4"/>
            <w:shd w:val="clear" w:color="auto" w:fill="CCEEFF"/>
          </w:tcPr>
          <w:p>
            <w:pPr>
              <w:spacing w:after="0"/>
              <w:rPr>
                <w:sz w:val="17"/>
                <w:szCs w:val="17"/>
                <w:color w:val="auto"/>
              </w:rPr>
            </w:pPr>
          </w:p>
        </w:tc>
        <w:tc>
          <w:tcPr>
            <w:tcW w:w="13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Other Information</w:t>
              </w:r>
            </w:hyperlink>
          </w:p>
        </w:tc>
        <w:tc>
          <w:tcPr>
            <w:tcW w:w="5340" w:type="dxa"/>
            <w:vAlign w:val="bottom"/>
            <w:tcBorders>
              <w:bottom w:val="single" w:sz="8" w:color="CCEEFF"/>
            </w:tcBorders>
            <w:gridSpan w:val="11"/>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gridSpan w:val="5"/>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6.</w:t>
              </w:r>
            </w:hyperlink>
          </w:p>
        </w:tc>
        <w:tc>
          <w:tcPr>
            <w:tcW w:w="6660" w:type="dxa"/>
            <w:vAlign w:val="bottom"/>
            <w:gridSpan w:val="17"/>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Exhibits</w:t>
              </w:r>
            </w:hyperlink>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20" w:type="dxa"/>
            <w:vAlign w:val="bottom"/>
            <w:gridSpan w:val="5"/>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Signatures</w:t>
              </w:r>
            </w:hyperlink>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rPr>
              <w:t>Exhibit Index</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gridSpan w:val="13"/>
          </w:tcPr>
          <w:p>
            <w:pPr>
              <w:jc w:val="center"/>
              <w:ind w:left="411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9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440" w:type="dxa"/>
            <w:vAlign w:val="bottom"/>
            <w:gridSpan w:val="6"/>
          </w:tcPr>
          <w:p>
            <w:pPr>
              <w:spacing w:after="0"/>
              <w:rPr>
                <w:rFonts w:ascii="Arial" w:cs="Arial" w:eastAsia="Arial" w:hAnsi="Arial"/>
                <w:sz w:val="18"/>
                <w:szCs w:val="18"/>
                <w:color w:val="0000EE"/>
                <w:w w:val="99"/>
              </w:rPr>
            </w:pPr>
            <w:hyperlink w:anchor="page2">
              <w:r>
                <w:rPr>
                  <w:rFonts w:ascii="Arial" w:cs="Arial" w:eastAsia="Arial" w:hAnsi="Arial"/>
                  <w:sz w:val="18"/>
                  <w:szCs w:val="18"/>
                  <w:color w:val="0000EE"/>
                  <w:w w:val="99"/>
                </w:rPr>
                <w:t>Table of Contents</w:t>
              </w:r>
            </w:hyperlink>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gridSpan w:val="23"/>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2"/>
              </w:rPr>
              <w:t>AeroVironment, Inc.</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4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7"/>
              </w:rPr>
              <w:t>Consolidated Balance Sheets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4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9"/>
              </w:rPr>
              <w:t>(In thousands except share and per share data)</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January 28,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2012</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2"/>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65,865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tcPr>
          <w:p>
            <w:pPr>
              <w:ind w:left="16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88,572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126,839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gridSpan w:val="22"/>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Accounts receivable, net of allowance for doubtful accounts of $984 at January 28, 2012 and $639 at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w w:val="95"/>
              </w:rPr>
              <w:t>April 30, 2011</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24,213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44,376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tcPr>
          <w:p>
            <w:pPr>
              <w:ind w:left="160"/>
              <w:spacing w:after="0"/>
              <w:rPr>
                <w:sz w:val="20"/>
                <w:szCs w:val="20"/>
                <w:color w:val="auto"/>
              </w:rPr>
            </w:pPr>
            <w:r>
              <w:rPr>
                <w:rFonts w:ascii="Arial" w:cs="Arial" w:eastAsia="Arial" w:hAnsi="Arial"/>
                <w:sz w:val="18"/>
                <w:szCs w:val="18"/>
                <w:color w:val="auto"/>
              </w:rPr>
              <w:t>Unbilled receivables and retentions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24,507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21,966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38,137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tcPr>
          <w:p>
            <w:pPr>
              <w:ind w:left="16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2,810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w w:val="88"/>
              </w:rPr>
              <w:t>Total current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257,207</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298,031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36,497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20,936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17,498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9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324,545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331,747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gridSpan w:val="2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080" w:type="dxa"/>
            <w:vAlign w:val="bottom"/>
            <w:gridSpan w:val="22"/>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tcPr>
          <w:p>
            <w:pPr>
              <w:ind w:left="16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13,375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31,134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shd w:val="clear" w:color="auto" w:fill="CCEEFF"/>
          </w:tcPr>
          <w:p>
            <w:pPr>
              <w:ind w:left="160"/>
              <w:spacing w:after="0"/>
              <w:rPr>
                <w:sz w:val="20"/>
                <w:szCs w:val="20"/>
                <w:color w:val="auto"/>
              </w:rPr>
            </w:pPr>
            <w:r>
              <w:rPr>
                <w:rFonts w:ascii="Arial" w:cs="Arial" w:eastAsia="Arial" w:hAnsi="Arial"/>
                <w:sz w:val="18"/>
                <w:szCs w:val="18"/>
                <w:color w:val="auto"/>
              </w:rPr>
              <w:t>Wages and related accruals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tcPr>
          <w:p>
            <w:pPr>
              <w:ind w:left="16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1,927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7,404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tcPr>
          <w:p>
            <w:pPr>
              <w:ind w:left="160"/>
              <w:spacing w:after="0"/>
              <w:rPr>
                <w:sz w:val="20"/>
                <w:szCs w:val="20"/>
                <w:color w:val="auto"/>
              </w:rPr>
            </w:pPr>
            <w:r>
              <w:rPr>
                <w:rFonts w:ascii="Arial" w:cs="Arial" w:eastAsia="Arial" w:hAnsi="Arial"/>
                <w:sz w:val="18"/>
                <w:szCs w:val="18"/>
                <w:color w:val="auto"/>
              </w:rPr>
              <w:t>Liability for uncertain tax positions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724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gridSpan w:val="2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62,104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tcPr>
          <w:p>
            <w:pPr>
              <w:spacing w:after="0"/>
              <w:rPr>
                <w:sz w:val="20"/>
                <w:szCs w:val="20"/>
                <w:color w:val="auto"/>
              </w:rPr>
            </w:pPr>
            <w:r>
              <w:rPr>
                <w:rFonts w:ascii="Arial" w:cs="Arial" w:eastAsia="Arial" w:hAnsi="Arial"/>
                <w:sz w:val="18"/>
                <w:szCs w:val="18"/>
                <w:color w:val="auto"/>
              </w:rPr>
              <w:t>Wages and other accruals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1,124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762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tcPr>
          <w:p>
            <w:pPr>
              <w:spacing w:after="0"/>
              <w:rPr>
                <w:sz w:val="20"/>
                <w:szCs w:val="20"/>
                <w:color w:val="auto"/>
              </w:rPr>
            </w:pPr>
            <w:r>
              <w:rPr>
                <w:rFonts w:ascii="Arial" w:cs="Arial" w:eastAsia="Arial" w:hAnsi="Arial"/>
                <w:sz w:val="18"/>
                <w:szCs w:val="18"/>
                <w:color w:val="auto"/>
              </w:rPr>
              <w:t>Liability for uncertain tax positions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3,656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80" w:type="dxa"/>
            <w:vAlign w:val="bottom"/>
            <w:gridSpan w:val="22"/>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-5928360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-5928360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Preferred stock, $0.0001 par value:</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shares — 10,000,000</w:t>
      </w:r>
    </w:p>
    <w:p>
      <w:pPr>
        <w:sectPr>
          <w:pgSz w:w="11900" w:h="16902" w:orient="portrait"/>
          <w:cols w:equalWidth="0" w:num="1">
            <w:col w:w="11460"/>
          </w:cols>
          <w:pgMar w:left="240" w:top="337" w:right="199" w:bottom="0" w:gutter="0" w:footer="0" w:header="0"/>
        </w:sectPr>
      </w:pPr>
    </w:p>
    <w:bookmarkStart w:id="2" w:name="page3"/>
    <w:bookmarkEnd w:id="2"/>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None issued or outstanding</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Common stock, $0.0001 par value:</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Authorized shares — 100,000,000</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w w:val="94"/>
              </w:rPr>
              <w:t>Issued and outstanding shares — 22,146,714 at January 28, 2012 and 21,949,884 at April 30, 2011</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123,371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119,765</w:t>
            </w: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(697)</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(784)</w:t>
            </w: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157,142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144,485</w:t>
            </w:r>
          </w:p>
        </w:tc>
      </w:tr>
      <w:tr>
        <w:trPr>
          <w:trHeight w:val="210"/>
        </w:trPr>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279,818</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263,468</w:t>
            </w:r>
          </w:p>
        </w:tc>
        <w:tc>
          <w:tcPr>
            <w:tcW w:w="100" w:type="dxa"/>
            <w:vAlign w:val="bottom"/>
            <w:tcBorders>
              <w:bottom w:val="single" w:sz="8" w:color="CCEEFF"/>
            </w:tcBorders>
          </w:tcPr>
          <w:p>
            <w:pPr>
              <w:spacing w:after="0"/>
              <w:rPr>
                <w:sz w:val="18"/>
                <w:szCs w:val="18"/>
                <w:color w:val="auto"/>
              </w:rPr>
            </w:pPr>
          </w:p>
        </w:tc>
      </w:tr>
      <w:tr>
        <w:trPr>
          <w:trHeight w:val="210"/>
        </w:trPr>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324,545</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gridSpan w:val="5"/>
          </w:tcPr>
          <w:p>
            <w:pPr>
              <w:ind w:lef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January 28,</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2"/>
              <w:spacing w:after="0" w:line="119" w:lineRule="exact"/>
              <w:rPr>
                <w:sz w:val="20"/>
                <w:szCs w:val="20"/>
                <w:color w:val="auto"/>
              </w:rPr>
            </w:pPr>
            <w:r>
              <w:rPr>
                <w:rFonts w:ascii="Arial" w:cs="Arial" w:eastAsia="Arial" w:hAnsi="Arial"/>
                <w:sz w:val="13"/>
                <w:szCs w:val="13"/>
                <w:b w:val="1"/>
                <w:bCs w:val="1"/>
                <w:color w:val="auto"/>
              </w:rPr>
              <w:t>January 29,</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January 28,</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2"/>
              <w:spacing w:after="0" w:line="119" w:lineRule="exact"/>
              <w:rPr>
                <w:sz w:val="20"/>
                <w:szCs w:val="20"/>
                <w:color w:val="auto"/>
              </w:rPr>
            </w:pPr>
            <w:r>
              <w:rPr>
                <w:rFonts w:ascii="Arial" w:cs="Arial" w:eastAsia="Arial" w:hAnsi="Arial"/>
                <w:sz w:val="13"/>
                <w:szCs w:val="13"/>
                <w:b w:val="1"/>
                <w:bCs w:val="1"/>
                <w:color w:val="auto"/>
              </w:rPr>
              <w:t>January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6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1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36,645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45,996</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113,802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90,710</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services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35,319</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38,438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100,531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95,733</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71,964</w:t>
            </w: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214,333</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23,587</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25,869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69,958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55,201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services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20,944</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24,436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64,597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63,302</w:t>
            </w:r>
          </w:p>
        </w:tc>
        <w:tc>
          <w:tcPr>
            <w:tcW w:w="0" w:type="dxa"/>
            <w:vAlign w:val="bottom"/>
          </w:tcPr>
          <w:p>
            <w:pPr>
              <w:spacing w:after="0"/>
              <w:rPr>
                <w:sz w:val="1"/>
                <w:szCs w:val="1"/>
                <w:color w:val="auto"/>
              </w:rPr>
            </w:pPr>
          </w:p>
        </w:tc>
      </w:tr>
      <w:tr>
        <w:trPr>
          <w:trHeight w:val="210"/>
        </w:trPr>
        <w:tc>
          <w:tcPr>
            <w:tcW w:w="38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44,531</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50,305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134,555</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79,778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12,866</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10,578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38,806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34,634</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7,872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23,640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24,533</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7,329</w:t>
            </w: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17,332</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4,274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4,988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color w:val="auto"/>
              </w:rPr>
              <w:t>Earnings per share data:</w:t>
            </w: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0.53</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0.26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0.52</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0.57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Basic</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21,797,802</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21,594,032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21,761,927</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21,568,541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22,317,015</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22,096,989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22,269,675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22,046,479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69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January 28,</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9" w:lineRule="exact"/>
              <w:rPr>
                <w:sz w:val="20"/>
                <w:szCs w:val="20"/>
                <w:color w:val="auto"/>
              </w:rPr>
            </w:pPr>
            <w:r>
              <w:rPr>
                <w:rFonts w:ascii="Arial" w:cs="Arial" w:eastAsia="Arial" w:hAnsi="Arial"/>
                <w:sz w:val="13"/>
                <w:szCs w:val="13"/>
                <w:b w:val="1"/>
                <w:bCs w:val="1"/>
                <w:color w:val="auto"/>
              </w:rPr>
              <w:t>January 29,</w:t>
            </w:r>
          </w:p>
        </w:tc>
        <w:tc>
          <w:tcPr>
            <w:tcW w:w="100" w:type="dxa"/>
            <w:vAlign w:val="bottom"/>
          </w:tcPr>
          <w:p>
            <w:pPr>
              <w:spacing w:after="0"/>
              <w:rPr>
                <w:sz w:val="10"/>
                <w:szCs w:val="10"/>
                <w:color w:val="auto"/>
              </w:rPr>
            </w:pPr>
          </w:p>
        </w:tc>
      </w:tr>
      <w:tr>
        <w:trPr>
          <w:trHeight w:val="171"/>
        </w:trPr>
        <w:tc>
          <w:tcPr>
            <w:tcW w:w="694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income</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12,657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8,273</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6,418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8,105</w:t>
            </w: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w:t>
            </w: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Tax benefit from exercise of stock options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664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Excess tax benefit from stock-based compensation</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Gain on sale of property and equipment</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19,809</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(5,866)</w:t>
            </w: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receivables and retentions</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(859)</w:t>
            </w: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(10,310)</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(7,952)</w:t>
            </w: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(1,198)</w:t>
            </w:r>
          </w:p>
        </w:tc>
      </w:tr>
    </w:tbl>
    <w:p>
      <w:pPr>
        <w:sectPr>
          <w:pgSz w:w="11900" w:h="16897"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(17,759)</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4,854</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Acquisitions of property and equipment</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(9,856)</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sale of property and equipment</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sales of held-to-maturity investments</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7,965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sales of available-for-sale investments</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Excess tax benefit from stock-based compensation</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62,041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28,665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65,865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tcPr>
          <w:p>
            <w:pPr>
              <w:spacing w:after="0" w:line="201" w:lineRule="exact"/>
              <w:rPr>
                <w:sz w:val="20"/>
                <w:szCs w:val="20"/>
                <w:color w:val="auto"/>
              </w:rPr>
            </w:pPr>
            <w:r>
              <w:rPr>
                <w:rFonts w:ascii="Arial" w:cs="Arial" w:eastAsia="Arial" w:hAnsi="Arial"/>
                <w:sz w:val="18"/>
                <w:szCs w:val="18"/>
                <w:color w:val="auto"/>
                <w:w w:val="94"/>
              </w:rPr>
              <w:t>Unrealized gain (loss) on long-term investments recorded in other comprehensive income, net of deferred</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taxes of $59 and $43, respectively</w:t>
            </w:r>
          </w:p>
        </w:tc>
        <w:tc>
          <w:tcPr>
            <w:tcW w:w="8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87</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AeroVironment, Inc., a Delaware corporation (the “Company”), is engaged in the design, development, production, operation and support of unmanned aircraft systems and efficient energy systems for various industries and governmental agencies.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for interim financial information and with the instructions of Form 10-Q and Article 10 of Regulation S-X. Accordingly, they do not include all of the information and footnotes required by accounting principles generally accepted in the United States for complete financial statements. In the opinion of management, all adjustments, consisting only of normal recurring adjustments necessary for a fair presentation with respect to the interim financial statements have been included. The results of operations for the three and nine months ended January 28, 2012 are not necessarily indicative of the results for the full year ending April 30, 2012. For further information, refer to the consolidated financial statements and footnotes thereto for the year ended April 30, 2011, included in AeroVironment, Inc.’s Annual Report on Form 10-K.</w:t>
      </w:r>
    </w:p>
    <w:p>
      <w:pPr>
        <w:spacing w:after="0" w:line="17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including estimates of anticipated contract costs and revenue utilized in the revenue recognition process, that affect the reported amounts in the consolidated financial statements and accompanying notes. Actual results could differ from those estimates.</w:t>
      </w:r>
    </w:p>
    <w:p>
      <w:pPr>
        <w:spacing w:after="0" w:line="166"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Company’s consolidated financial statements include the assets, liabilities and operating results of wholly-owned subsidiaries. All significant intercompany accounts and transactions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Company’s products are sold and divided among two reportable segments to reflect the Company’s strategic goals. Operating segments are defined as components of an enterprise from which separate financial information is available that is evaluated regularly by the Chief Operating Decision Maker (“CODM”) in deciding how to allocate resources and in assessing performance. The Company’s CODM is the Chief Executive Officer, who reviews the revenue and gross margin results for each of these segments in order to make resource allocation decisions, including the focus of research and development (“R&amp;D”) activities and assessing performance. The Company’s reportable segments are business units that offer different products and services and are managed separately.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investments are accounted for as held-to-maturity and available-for-sale and reported at amortized cost and fair value,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Financial Instruments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Fair values of cash and cash equivalents, accounts receivable, unbilled receivables, retentions and accounts payable approximate cost due to the short period of time to maturity.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Contracts</w:t>
      </w:r>
    </w:p>
    <w:p>
      <w:pPr>
        <w:sectPr>
          <w:pgSz w:w="11900" w:h="16838" w:orient="portrait"/>
          <w:cols w:equalWidth="0" w:num="1">
            <w:col w:w="11420"/>
          </w:cols>
          <w:pgMar w:left="240" w:top="125" w:right="239" w:bottom="0" w:gutter="0" w:footer="0" w:header="0"/>
        </w:sectPr>
      </w:pPr>
    </w:p>
    <w:bookmarkStart w:id="4" w:name="page5"/>
    <w:bookmarkEnd w:id="4"/>
    <w:p>
      <w:pPr>
        <w:spacing w:after="0" w:line="3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Payments to the Company on government cost reimbursable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billing rates, may create an additional receivable or liability for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example, during the course of its audits, the DCAA may question the Company’s incurred project costs, and if the DCAA believes the Company has accounted for such costs in a manner inconsistent with the requirements under Federal Acquisition Regulations, the DCAA auditor may recommend to the Company’s administrative contracting officer to disallow such costs. The Company can provide no assurance that the DCAA or other government audits will not result in material disallowances for incurred costs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Basic earnings per share is computed using the weighted-average number of common shares outstanding, excluding shares of unvested restricted stock. The dilutive effect of potential common shares outstanding is included in diluted earnings per share and excludes any anti-dilutive effects of options and shares of unvested restricted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diluted to basic shares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3200" w:type="dxa"/>
            <w:vAlign w:val="bottom"/>
            <w:gridSpan w:val="4"/>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3060" w:type="dxa"/>
            <w:vAlign w:val="bottom"/>
            <w:gridSpan w:val="5"/>
          </w:tcPr>
          <w:p>
            <w:pPr>
              <w:ind w:left="86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160" w:type="dxa"/>
            <w:vAlign w:val="bottom"/>
          </w:tcPr>
          <w:p>
            <w:pPr>
              <w:spacing w:after="0"/>
              <w:rPr>
                <w:sz w:val="10"/>
                <w:szCs w:val="10"/>
                <w:color w:val="auto"/>
              </w:rPr>
            </w:pPr>
          </w:p>
        </w:tc>
        <w:tc>
          <w:tcPr>
            <w:tcW w:w="1600" w:type="dxa"/>
            <w:vAlign w:val="bottom"/>
            <w:tcBorders>
              <w:top w:val="single" w:sz="8" w:color="auto"/>
            </w:tcBorders>
            <w:gridSpan w:val="2"/>
          </w:tcPr>
          <w:p>
            <w:pPr>
              <w:ind w:left="320"/>
              <w:spacing w:after="0" w:line="119" w:lineRule="exact"/>
              <w:rPr>
                <w:sz w:val="20"/>
                <w:szCs w:val="20"/>
                <w:color w:val="auto"/>
              </w:rPr>
            </w:pPr>
            <w:r>
              <w:rPr>
                <w:rFonts w:ascii="Arial" w:cs="Arial" w:eastAsia="Arial" w:hAnsi="Arial"/>
                <w:sz w:val="13"/>
                <w:szCs w:val="13"/>
                <w:b w:val="1"/>
                <w:bCs w:val="1"/>
                <w:color w:val="auto"/>
              </w:rPr>
              <w:t>January 28,</w:t>
            </w:r>
          </w:p>
        </w:tc>
        <w:tc>
          <w:tcPr>
            <w:tcW w:w="1380" w:type="dxa"/>
            <w:vAlign w:val="bottom"/>
            <w:tcBorders>
              <w:top w:val="single" w:sz="8" w:color="auto"/>
            </w:tcBorders>
          </w:tcPr>
          <w:p>
            <w:pPr>
              <w:jc w:val="right"/>
              <w:ind w:right="238"/>
              <w:spacing w:after="0" w:line="119" w:lineRule="exact"/>
              <w:rPr>
                <w:sz w:val="20"/>
                <w:szCs w:val="20"/>
                <w:color w:val="auto"/>
              </w:rPr>
            </w:pPr>
            <w:r>
              <w:rPr>
                <w:rFonts w:ascii="Arial" w:cs="Arial" w:eastAsia="Arial" w:hAnsi="Arial"/>
                <w:sz w:val="13"/>
                <w:szCs w:val="13"/>
                <w:b w:val="1"/>
                <w:bCs w:val="1"/>
                <w:color w:val="auto"/>
              </w:rPr>
              <w:t>January 29,</w:t>
            </w:r>
          </w:p>
        </w:tc>
        <w:tc>
          <w:tcPr>
            <w:tcW w:w="220" w:type="dxa"/>
            <w:vAlign w:val="bottom"/>
          </w:tcPr>
          <w:p>
            <w:pPr>
              <w:spacing w:after="0"/>
              <w:rPr>
                <w:sz w:val="10"/>
                <w:szCs w:val="10"/>
                <w:color w:val="auto"/>
              </w:rPr>
            </w:pPr>
          </w:p>
        </w:tc>
        <w:tc>
          <w:tcPr>
            <w:tcW w:w="1580" w:type="dxa"/>
            <w:vAlign w:val="bottom"/>
            <w:tcBorders>
              <w:top w:val="single" w:sz="8" w:color="auto"/>
            </w:tcBorders>
            <w:gridSpan w:val="2"/>
          </w:tcPr>
          <w:p>
            <w:pPr>
              <w:ind w:left="320"/>
              <w:spacing w:after="0" w:line="119" w:lineRule="exact"/>
              <w:rPr>
                <w:sz w:val="20"/>
                <w:szCs w:val="20"/>
                <w:color w:val="auto"/>
              </w:rPr>
            </w:pPr>
            <w:r>
              <w:rPr>
                <w:rFonts w:ascii="Arial" w:cs="Arial" w:eastAsia="Arial" w:hAnsi="Arial"/>
                <w:sz w:val="13"/>
                <w:szCs w:val="13"/>
                <w:b w:val="1"/>
                <w:bCs w:val="1"/>
                <w:color w:val="auto"/>
              </w:rPr>
              <w:t>January 28,</w:t>
            </w:r>
          </w:p>
        </w:tc>
        <w:tc>
          <w:tcPr>
            <w:tcW w:w="1380" w:type="dxa"/>
            <w:vAlign w:val="bottom"/>
            <w:tcBorders>
              <w:top w:val="single" w:sz="8" w:color="auto"/>
            </w:tcBorders>
          </w:tcPr>
          <w:p>
            <w:pPr>
              <w:jc w:val="right"/>
              <w:ind w:right="238"/>
              <w:spacing w:after="0" w:line="119" w:lineRule="exact"/>
              <w:rPr>
                <w:sz w:val="20"/>
                <w:szCs w:val="20"/>
                <w:color w:val="auto"/>
              </w:rPr>
            </w:pPr>
            <w:r>
              <w:rPr>
                <w:rFonts w:ascii="Arial" w:cs="Arial" w:eastAsia="Arial" w:hAnsi="Arial"/>
                <w:sz w:val="13"/>
                <w:szCs w:val="13"/>
                <w:b w:val="1"/>
                <w:bCs w:val="1"/>
                <w:color w:val="auto"/>
              </w:rPr>
              <w:t>January 29,</w:t>
            </w:r>
          </w:p>
        </w:tc>
        <w:tc>
          <w:tcPr>
            <w:tcW w:w="100" w:type="dxa"/>
            <w:vAlign w:val="bottom"/>
            <w:gridSpan w:val="2"/>
          </w:tcPr>
          <w:p>
            <w:pPr>
              <w:spacing w:after="0"/>
              <w:rPr>
                <w:sz w:val="10"/>
                <w:szCs w:val="10"/>
                <w:color w:val="auto"/>
              </w:rPr>
            </w:pPr>
          </w:p>
        </w:tc>
      </w:tr>
      <w:tr>
        <w:trPr>
          <w:trHeight w:val="171"/>
        </w:trPr>
        <w:tc>
          <w:tcPr>
            <w:tcW w:w="51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96"/>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 for basic earnings per share:</w:t>
            </w: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5160" w:type="dxa"/>
            <w:vAlign w:val="bottom"/>
          </w:tcPr>
          <w:p>
            <w:pPr>
              <w:ind w:left="180"/>
              <w:spacing w:after="0" w:line="201" w:lineRule="exact"/>
              <w:rPr>
                <w:sz w:val="20"/>
                <w:szCs w:val="20"/>
                <w:color w:val="auto"/>
              </w:rPr>
            </w:pPr>
            <w:r>
              <w:rPr>
                <w:rFonts w:ascii="Arial" w:cs="Arial" w:eastAsia="Arial" w:hAnsi="Arial"/>
                <w:sz w:val="18"/>
                <w:szCs w:val="18"/>
                <w:color w:val="auto"/>
              </w:rPr>
              <w:t>Weighted average common shares outstanding, excluding</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unvested restricted stock</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21,797,802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21,594,032</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21,761,927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21,568,541</w:t>
            </w:r>
          </w:p>
        </w:tc>
        <w:tc>
          <w:tcPr>
            <w:tcW w:w="80" w:type="dxa"/>
            <w:vAlign w:val="bottom"/>
          </w:tcPr>
          <w:p>
            <w:pPr>
              <w:spacing w:after="0"/>
              <w:rPr>
                <w:sz w:val="20"/>
                <w:szCs w:val="20"/>
                <w:color w:val="auto"/>
              </w:rPr>
            </w:pPr>
          </w:p>
        </w:tc>
      </w:tr>
      <w:tr>
        <w:trPr>
          <w:trHeight w:val="202"/>
        </w:trPr>
        <w:tc>
          <w:tcPr>
            <w:tcW w:w="5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Dilutive effect of employee stock options and unvested restricted</w:t>
            </w: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519,213</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502,957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507,748</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477,938</w:t>
            </w:r>
          </w:p>
        </w:tc>
        <w:tc>
          <w:tcPr>
            <w:tcW w:w="80" w:type="dxa"/>
            <w:vAlign w:val="bottom"/>
            <w:shd w:val="clear" w:color="auto" w:fill="CCEEFF"/>
          </w:tcPr>
          <w:p>
            <w:pPr>
              <w:spacing w:after="0"/>
              <w:rPr>
                <w:sz w:val="20"/>
                <w:szCs w:val="20"/>
                <w:color w:val="auto"/>
              </w:rPr>
            </w:pPr>
          </w:p>
        </w:tc>
      </w:tr>
      <w:tr>
        <w:trPr>
          <w:trHeight w:val="210"/>
        </w:trPr>
        <w:tc>
          <w:tcPr>
            <w:tcW w:w="5160" w:type="dxa"/>
            <w:vAlign w:val="bottom"/>
          </w:tcPr>
          <w:p>
            <w:pPr>
              <w:ind w:left="180"/>
              <w:spacing w:after="0"/>
              <w:rPr>
                <w:sz w:val="20"/>
                <w:szCs w:val="20"/>
                <w:color w:val="auto"/>
              </w:rPr>
            </w:pPr>
            <w:r>
              <w:rPr>
                <w:rFonts w:ascii="Arial" w:cs="Arial" w:eastAsia="Arial" w:hAnsi="Arial"/>
                <w:sz w:val="18"/>
                <w:szCs w:val="18"/>
                <w:color w:val="auto"/>
              </w:rPr>
              <w:t>Denominator for diluted earnings per share</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22,317,015</w:t>
            </w:r>
          </w:p>
        </w:tc>
        <w:tc>
          <w:tcPr>
            <w:tcW w:w="2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22,096,989</w:t>
            </w:r>
          </w:p>
        </w:tc>
        <w:tc>
          <w:tcPr>
            <w:tcW w:w="2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22,269,675</w:t>
            </w:r>
          </w:p>
        </w:tc>
        <w:tc>
          <w:tcPr>
            <w:tcW w:w="2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22,046,479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During the three and nine months ended January 28, 2012 and January 29, 2011, certain shares reserved for issuance upon exercise of stock options and shares of unvested restricted stock were not included in the computation of diluted earnings per share because their inclusion would have been anti-dilutive. The number of shares reserved for issuance upon exercise of stock options and shares of unvested restricted stock that met this anti-dilutive criterion was approximately 22,000 and 29,000 for the three and nine months ended January 28, 2012, respectively. The number of shares reserved for issuance upon exercise of stock options and shares of unvested restricted stock that met this anti-dilutive criterion was approximately 24,000 and 49,000 for the three and nine months ended January 29, 2011,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In June 2011, the Financial Accounting Standards Board (“FASB”) issued accounting guidance which requires companies to present the total of comprehensive income, the components of net income, and the components of other comprehensive income either in a single continuous statement of comprehensive income or in two separate but consecutive statements. The new guidance eliminates the option to present the components of other comprehensive income as part of the statement of equity. The new guidance is effective for the Company’s interim and annual reporting periods beginning on May 1, 2012 and will be applied retrospectively, with early adoption permitted. The Company does not expect the adoption of this new guidance to have a material impact on the Company’s consolidated financial statements, other than the change in presentation described in the new guidance.</w:t>
      </w:r>
    </w:p>
    <w:p>
      <w:pPr>
        <w:spacing w:after="0" w:line="165" w:lineRule="exact"/>
        <w:rPr>
          <w:sz w:val="20"/>
          <w:szCs w:val="20"/>
          <w:color w:val="auto"/>
        </w:rPr>
      </w:pPr>
    </w:p>
    <w:p>
      <w:pPr>
        <w:ind w:right="260" w:firstLine="324"/>
        <w:spacing w:after="0" w:line="276" w:lineRule="auto"/>
        <w:rPr>
          <w:sz w:val="20"/>
          <w:szCs w:val="20"/>
          <w:color w:val="auto"/>
        </w:rPr>
      </w:pPr>
      <w:r>
        <w:rPr>
          <w:rFonts w:ascii="Arial" w:cs="Arial" w:eastAsia="Arial" w:hAnsi="Arial"/>
          <w:sz w:val="17"/>
          <w:szCs w:val="17"/>
          <w:color w:val="auto"/>
        </w:rPr>
        <w:t>In May 2011, the FASB issued accounting guidance to provide a consistent definition of fair value and to ensure that the fair value measurement and disclosure requirements are similar between generally accepted accounting principles in the United States and International Financial Reporting Standards. The new guidance changes certain fair value measurement principles and enhances the disclosure requirements particularly for Level 3 fair value measurements. The new guidance is effective for the Company’s interim and annual reporting periods beginning on May 1, 2012 and will be applied prospectively. The Company is currently evaluating the potential impact of this adoption on its consolidated financial statements.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Investments consist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28,</w:t>
            </w:r>
          </w:p>
        </w:tc>
        <w:tc>
          <w:tcPr>
            <w:tcW w:w="24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5840" w:type="dxa"/>
            <w:vAlign w:val="bottom"/>
            <w:tcBorders>
              <w:bottom w:val="single" w:sz="8" w:color="CCEEFF"/>
            </w:tcBorders>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Short-term investments:</w:t>
            </w:r>
          </w:p>
        </w:tc>
        <w:tc>
          <w:tcPr>
            <w:tcW w:w="2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Held-to-maturity securities:</w:t>
            </w: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and municipal securities</w:t>
            </w:r>
          </w:p>
        </w:tc>
        <w:tc>
          <w:tcPr>
            <w:tcW w:w="2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88,572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126,839</w:t>
            </w:r>
          </w:p>
        </w:tc>
      </w:tr>
      <w:tr>
        <w:trPr>
          <w:trHeight w:val="250"/>
        </w:trPr>
        <w:tc>
          <w:tcPr>
            <w:tcW w:w="58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short-term investments</w:t>
            </w:r>
          </w:p>
        </w:tc>
        <w:tc>
          <w:tcPr>
            <w:tcW w:w="24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88,572</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126,839</w:t>
            </w:r>
          </w:p>
        </w:tc>
        <w:tc>
          <w:tcPr>
            <w:tcW w:w="100" w:type="dxa"/>
            <w:vAlign w:val="bottom"/>
            <w:tcBorders>
              <w:bottom w:val="single" w:sz="8" w:color="CCEEFF"/>
            </w:tcBorders>
          </w:tcPr>
          <w:p>
            <w:pPr>
              <w:spacing w:after="0"/>
              <w:rPr>
                <w:sz w:val="21"/>
                <w:szCs w:val="21"/>
                <w:color w:val="auto"/>
              </w:rPr>
            </w:pPr>
          </w:p>
        </w:tc>
      </w:tr>
      <w:tr>
        <w:trPr>
          <w:trHeight w:val="170"/>
        </w:trPr>
        <w:tc>
          <w:tcPr>
            <w:tcW w:w="58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Long-term investments:</w:t>
            </w:r>
          </w:p>
        </w:tc>
        <w:tc>
          <w:tcPr>
            <w:tcW w:w="2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ectPr>
          <w:pgSz w:w="11900" w:h="16870" w:orient="portrait"/>
          <w:cols w:equalWidth="0" w:num="1">
            <w:col w:w="11420"/>
          </w:cols>
          <w:pgMar w:left="240" w:top="125"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ind w:left="180"/>
              <w:spacing w:after="0"/>
              <w:rPr>
                <w:sz w:val="20"/>
                <w:szCs w:val="20"/>
                <w:color w:val="auto"/>
              </w:rPr>
            </w:pPr>
            <w:r>
              <w:rPr>
                <w:rFonts w:ascii="Arial" w:cs="Arial" w:eastAsia="Arial" w:hAnsi="Arial"/>
                <w:sz w:val="18"/>
                <w:szCs w:val="18"/>
                <w:color w:val="auto"/>
              </w:rPr>
              <w:t>Held-to-maturity securities:</w:t>
            </w:r>
          </w:p>
        </w:tc>
        <w:tc>
          <w:tcPr>
            <w:tcW w:w="2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and municipal securities</w:t>
            </w:r>
          </w:p>
        </w:tc>
        <w:tc>
          <w:tcPr>
            <w:tcW w:w="29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30,301</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2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Auction rate securities</w:t>
            </w:r>
          </w:p>
        </w:tc>
        <w:tc>
          <w:tcPr>
            <w:tcW w:w="2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6,196</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6,275</w:t>
            </w:r>
          </w:p>
        </w:tc>
        <w:tc>
          <w:tcPr>
            <w:tcW w:w="80" w:type="dxa"/>
            <w:vAlign w:val="bottom"/>
            <w:shd w:val="clear" w:color="auto" w:fill="CCEEFF"/>
          </w:tcPr>
          <w:p>
            <w:pPr>
              <w:spacing w:after="0"/>
              <w:rPr>
                <w:sz w:val="18"/>
                <w:szCs w:val="18"/>
                <w:color w:val="auto"/>
              </w:rPr>
            </w:pPr>
          </w:p>
        </w:tc>
      </w:tr>
      <w:tr>
        <w:trPr>
          <w:trHeight w:val="210"/>
        </w:trPr>
        <w:tc>
          <w:tcPr>
            <w:tcW w:w="5840" w:type="dxa"/>
            <w:vAlign w:val="bottom"/>
          </w:tcPr>
          <w:p>
            <w:pPr>
              <w:ind w:left="540"/>
              <w:spacing w:after="0"/>
              <w:rPr>
                <w:sz w:val="20"/>
                <w:szCs w:val="20"/>
                <w:color w:val="auto"/>
              </w:rPr>
            </w:pPr>
            <w:r>
              <w:rPr>
                <w:rFonts w:ascii="Arial" w:cs="Arial" w:eastAsia="Arial" w:hAnsi="Arial"/>
                <w:sz w:val="18"/>
                <w:szCs w:val="18"/>
                <w:color w:val="auto"/>
              </w:rPr>
              <w:t>Total long-term investments</w:t>
            </w:r>
          </w:p>
        </w:tc>
        <w:tc>
          <w:tcPr>
            <w:tcW w:w="24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36,497</w:t>
            </w:r>
          </w:p>
        </w:tc>
        <w:tc>
          <w:tcPr>
            <w:tcW w:w="2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Held-To-Maturity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At January 28, 2012, the balance of held-to-maturity securities consisted of state and local government municipal securities and U.S. Treasury bills.</w:t>
      </w:r>
    </w:p>
    <w:p>
      <w:pPr>
        <w:spacing w:after="0" w:line="23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held-to-maturity investments as of January 28, 2012,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Amortized</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left="161"/>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2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left="1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ind w:left="161"/>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69,996</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U.S. Treasury bills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48,877</w:t>
            </w:r>
          </w:p>
        </w:tc>
        <w:tc>
          <w:tcPr>
            <w:tcW w:w="112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48,884</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held-to-maturity investments</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118,873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held-to-maturity investments as of April 30, 2011,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1160" w:type="dxa"/>
            <w:vAlign w:val="bottom"/>
          </w:tcPr>
          <w:p>
            <w:pPr>
              <w:jc w:val="center"/>
              <w:ind w:right="121"/>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14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10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U.S. Treasury bills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126,839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Total held-to-maturity investments</w:t>
            </w:r>
          </w:p>
        </w:tc>
        <w:tc>
          <w:tcPr>
            <w:tcW w:w="1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126,839</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and fair value of the Company’s held-to-maturity securities by contractual maturity at January 28, 2012, were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88,572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30,301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30,332</w:t>
            </w:r>
          </w:p>
        </w:tc>
      </w:tr>
      <w:tr>
        <w:trPr>
          <w:trHeight w:val="210"/>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118,873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Available-For-Sale Securities</w:t>
      </w:r>
    </w:p>
    <w:p>
      <w:pPr>
        <w:spacing w:after="0" w:line="22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As of January 28, 2012, the entire balance of available-for-sale securities consisted of four investment grade auction rate municipal bonds with maturities ranging from 8 to 23 years. These investments have characteristics similar to short-term investments, because at pre-determined intervals, generally ranging from 30 to 35 days, there is a new auction process at which the interest rates for these securities are reset to current interest rates. At the end of such period, the Company chooses to roll-over its holdings or redeem the investments for cash. A market maker facilitates the redemption of the securities and the underlying issuers are not required to redeem the investment within 365 days. Interest earned from these investments is recorded in interest income.</w:t>
      </w:r>
    </w:p>
    <w:p>
      <w:pPr>
        <w:spacing w:after="0" w:line="158"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During the fourth quarter of the fiscal year ended April 30, 2008, the Company began experiencing failed auctions on some of its auction rate securities. A failed auction occurs when a buyer for the securities cannot be obtained and the market maker does not buy the security for its own account. The Company continues to earn interest on the investments that failed to settle at auction at the maximum contractual rate until the next auction occurs. In the event the Company needs to access funds invested in these auction rate securities, the Company may not be able to liquidate these securities at the fair value recorded on January 28, 2012, until a future auction of these securities is successful or a buyer is found outside of the auction process.</w:t>
      </w:r>
    </w:p>
    <w:p>
      <w:pPr>
        <w:spacing w:after="0" w:line="15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a result of the failed auctions, the fair values of these securities are estimated utilizing a discounted cash flow analysis as of January 28, 2012. The analysis considers, among other items, the collateralization underlying the security investments, the creditworthiness of the counterparty, the timing of expected future cash flows, and the estimated date upon which the security is expected to have a successful auction.</w:t>
      </w:r>
    </w:p>
    <w:p>
      <w:pPr>
        <w:spacing w:after="0" w:line="16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Based on the Company’s ability to access its cash and cash equivalents, expected operating cash flows, and other sources of cash, the Company does not anticipate the current lack of liquidity of these investments will affect its ability to operate the business in the ordinary course. The Company believes the current lack of liquidity of these investments is temporary and expects that the securities will be redeemed or refinanced at some point in the future. The Company will continue to monitor the value of its auction rate securities at each reporting period for a possible other-than-temporary impairment. The auction rate securities have been in an unrealized loss position for more than 12 months. The Company has the ability and the intent to hold these investments until a recovery of fair value, which may be at maturity, and as of January 28, 2012 it did not consider these investments to be other-than-temporarily impaired.</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available-for-sale investments as of January 28, 2012,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2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1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7,350</w:t>
            </w:r>
          </w:p>
        </w:tc>
        <w:tc>
          <w:tcPr>
            <w:tcW w:w="300" w:type="dxa"/>
            <w:vAlign w:val="bottom"/>
          </w:tcPr>
          <w:p>
            <w:pPr>
              <w:spacing w:after="0"/>
              <w:rPr>
                <w:sz w:val="19"/>
                <w:szCs w:val="19"/>
                <w:color w:val="auto"/>
              </w:rPr>
            </w:pPr>
          </w:p>
        </w:tc>
        <w:tc>
          <w:tcPr>
            <w:tcW w:w="1120" w:type="dxa"/>
            <w:vAlign w:val="bottom"/>
            <w:tcBorders>
              <w:bottom w:val="single" w:sz="8" w:color="auto"/>
            </w:tcBorders>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6" w:name="page7"/>
    <w:bookmarkEnd w:id="6"/>
    <w:p>
      <w:pPr>
        <w:spacing w:after="0" w:line="3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available-for-sale investments as of April 30, 2011,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2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1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7,575</w:t>
            </w:r>
          </w:p>
        </w:tc>
        <w:tc>
          <w:tcPr>
            <w:tcW w:w="300" w:type="dxa"/>
            <w:vAlign w:val="bottom"/>
          </w:tcPr>
          <w:p>
            <w:pPr>
              <w:spacing w:after="0"/>
              <w:rPr>
                <w:sz w:val="19"/>
                <w:szCs w:val="19"/>
                <w:color w:val="auto"/>
              </w:rPr>
            </w:pPr>
          </w:p>
        </w:tc>
        <w:tc>
          <w:tcPr>
            <w:tcW w:w="1120" w:type="dxa"/>
            <w:vAlign w:val="bottom"/>
            <w:tcBorders>
              <w:bottom w:val="single" w:sz="8" w:color="auto"/>
            </w:tcBorders>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and fair value of the Company’s auction rate securities by contractual maturity at January 28, 2012, were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Due after five through 10 years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Due after 10 years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5,525</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4,514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jc w:val="center"/>
              <w:ind w:left="3250"/>
              <w:spacing w:after="0"/>
              <w:rPr>
                <w:sz w:val="20"/>
                <w:szCs w:val="20"/>
                <w:color w:val="auto"/>
              </w:rPr>
            </w:pPr>
            <w:r>
              <w:rPr>
                <w:rFonts w:ascii="Arial" w:cs="Arial" w:eastAsia="Arial" w:hAnsi="Arial"/>
                <w:sz w:val="18"/>
                <w:szCs w:val="18"/>
                <w:color w:val="auto"/>
                <w:w w:val="99"/>
              </w:rPr>
              <w:t>9</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68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0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6800" w:type="dxa"/>
            <w:vAlign w:val="bottom"/>
          </w:tcPr>
          <w:p>
            <w:pPr>
              <w:jc w:val="center"/>
              <w:ind w:left="1970"/>
              <w:spacing w:after="0"/>
              <w:rPr>
                <w:sz w:val="20"/>
                <w:szCs w:val="20"/>
                <w:color w:val="auto"/>
              </w:rPr>
            </w:pPr>
            <w:r>
              <w:rPr>
                <w:rFonts w:ascii="Arial" w:cs="Arial" w:eastAsia="Arial" w:hAnsi="Arial"/>
                <w:sz w:val="18"/>
                <w:szCs w:val="18"/>
                <w:b w:val="1"/>
                <w:bCs w:val="1"/>
                <w:color w:val="auto"/>
                <w:w w:val="92"/>
              </w:rPr>
              <w:t>AeroVironment, Inc.</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800" w:type="dxa"/>
            <w:vAlign w:val="bottom"/>
          </w:tcPr>
          <w:p>
            <w:pPr>
              <w:jc w:val="center"/>
              <w:ind w:left="1990"/>
              <w:spacing w:after="0"/>
              <w:rPr>
                <w:sz w:val="20"/>
                <w:szCs w:val="20"/>
                <w:color w:val="auto"/>
              </w:rPr>
            </w:pPr>
            <w:r>
              <w:rPr>
                <w:rFonts w:ascii="Arial" w:cs="Arial" w:eastAsia="Arial" w:hAnsi="Arial"/>
                <w:sz w:val="18"/>
                <w:szCs w:val="18"/>
                <w:b w:val="1"/>
                <w:bCs w:val="1"/>
                <w:color w:val="auto"/>
                <w:w w:val="89"/>
              </w:rPr>
              <w:t>Notes to Consolidated Financial Statements (Unaudited)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3. Inventories, net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2"/>
          </w:tcPr>
          <w:p>
            <w:pPr>
              <w:spacing w:after="0"/>
              <w:rPr>
                <w:sz w:val="20"/>
                <w:szCs w:val="20"/>
                <w:color w:val="auto"/>
              </w:rPr>
            </w:pPr>
            <w:r>
              <w:rPr>
                <w:rFonts w:ascii="Arial" w:cs="Arial" w:eastAsia="Arial" w:hAnsi="Arial"/>
                <w:sz w:val="18"/>
                <w:szCs w:val="18"/>
                <w:color w:val="auto"/>
              </w:rPr>
              <w:t>Inventories consist of the following (in thousands):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2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January 28,</w:t>
            </w:r>
          </w:p>
        </w:tc>
        <w:tc>
          <w:tcPr>
            <w:tcW w:w="220" w:type="dxa"/>
            <w:vAlign w:val="bottom"/>
          </w:tcPr>
          <w:p>
            <w:pPr>
              <w:spacing w:after="0"/>
              <w:rPr>
                <w:sz w:val="24"/>
                <w:szCs w:val="2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7"/>
              </w:rPr>
              <w:t>April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80" w:type="dxa"/>
            <w:vAlign w:val="bottom"/>
            <w:tcBorders>
              <w:bottom w:val="single" w:sz="8" w:color="CCEEFF"/>
            </w:tcBorders>
          </w:tcPr>
          <w:p>
            <w:pPr>
              <w:spacing w:after="0"/>
              <w:rPr>
                <w:sz w:val="14"/>
                <w:szCs w:val="14"/>
                <w:color w:val="auto"/>
              </w:rPr>
            </w:pPr>
          </w:p>
        </w:tc>
        <w:tc>
          <w:tcPr>
            <w:tcW w:w="68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2012</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14,551</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7,994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24,606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17,647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gridSpan w:val="2"/>
          </w:tcPr>
          <w:p>
            <w:pPr>
              <w:spacing w:after="0"/>
              <w:rPr>
                <w:sz w:val="20"/>
                <w:szCs w:val="20"/>
                <w:color w:val="auto"/>
              </w:rPr>
            </w:pPr>
            <w:r>
              <w:rPr>
                <w:rFonts w:ascii="Arial" w:cs="Arial" w:eastAsia="Arial" w:hAnsi="Arial"/>
                <w:sz w:val="18"/>
                <w:szCs w:val="18"/>
                <w:color w:val="auto"/>
              </w:rPr>
              <w:t>Inventories, gross</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51,050</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inventory obsolescence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(2,603)</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48,447</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38,137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-2548255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-2548255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24" w:lineRule="exact"/>
        <w:rPr>
          <w:sz w:val="20"/>
          <w:szCs w:val="20"/>
          <w:color w:val="auto"/>
        </w:rPr>
      </w:pPr>
    </w:p>
    <w:p>
      <w:pPr>
        <w:ind w:left="1080" w:right="360" w:hanging="1072"/>
        <w:spacing w:after="0" w:line="277" w:lineRule="auto"/>
        <w:tabs>
          <w:tab w:leader="none" w:pos="278"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based upon quoted prices (unadjusted) for identical assets or liabilities in active markets that are accessible as of the measurement date.</w:t>
      </w:r>
    </w:p>
    <w:p>
      <w:pPr>
        <w:spacing w:after="0" w:line="170" w:lineRule="exact"/>
        <w:rPr>
          <w:rFonts w:ascii="Arial" w:cs="Arial" w:eastAsia="Arial" w:hAnsi="Arial"/>
          <w:sz w:val="18"/>
          <w:szCs w:val="18"/>
          <w:color w:val="auto"/>
        </w:rPr>
      </w:pPr>
    </w:p>
    <w:p>
      <w:pPr>
        <w:ind w:left="1080" w:right="380" w:hanging="1072"/>
        <w:spacing w:after="0" w:line="342" w:lineRule="auto"/>
        <w:tabs>
          <w:tab w:leader="none" w:pos="278"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 — 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23" w:lineRule="exact"/>
        <w:rPr>
          <w:rFonts w:ascii="Arial" w:cs="Arial" w:eastAsia="Arial" w:hAnsi="Arial"/>
          <w:sz w:val="16"/>
          <w:szCs w:val="16"/>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that are unobservable inputs for the asset or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measured at fair value on a recurring basis at January 28, 2012, were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Fair Value Measurement Using</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Quoted prices in</w:t>
            </w:r>
          </w:p>
        </w:tc>
        <w:tc>
          <w:tcPr>
            <w:tcW w:w="220" w:type="dxa"/>
            <w:vAlign w:val="bottom"/>
          </w:tcPr>
          <w:p>
            <w:pPr>
              <w:spacing w:after="0"/>
              <w:rPr>
                <w:sz w:val="10"/>
                <w:szCs w:val="10"/>
                <w:color w:val="auto"/>
              </w:rPr>
            </w:pPr>
          </w:p>
        </w:tc>
        <w:tc>
          <w:tcPr>
            <w:tcW w:w="1160" w:type="dxa"/>
            <w:vAlign w:val="bottom"/>
          </w:tcPr>
          <w:p>
            <w:pPr>
              <w:jc w:val="center"/>
              <w:ind w:right="144"/>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1"/>
              </w:rPr>
              <w:t>other</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active markets</w:t>
            </w:r>
          </w:p>
        </w:tc>
        <w:tc>
          <w:tcPr>
            <w:tcW w:w="220" w:type="dxa"/>
            <w:vAlign w:val="bottom"/>
          </w:tcPr>
          <w:p>
            <w:pPr>
              <w:spacing w:after="0"/>
              <w:rPr>
                <w:sz w:val="12"/>
                <w:szCs w:val="12"/>
                <w:color w:val="auto"/>
              </w:rPr>
            </w:pPr>
          </w:p>
        </w:tc>
        <w:tc>
          <w:tcPr>
            <w:tcW w:w="116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89"/>
              </w:rPr>
              <w:t>observable</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for identical assets</w:t>
            </w:r>
          </w:p>
        </w:tc>
        <w:tc>
          <w:tcPr>
            <w:tcW w:w="220" w:type="dxa"/>
            <w:vAlign w:val="bottom"/>
          </w:tcPr>
          <w:p>
            <w:pPr>
              <w:spacing w:after="0"/>
              <w:rPr>
                <w:sz w:val="12"/>
                <w:szCs w:val="12"/>
                <w:color w:val="auto"/>
              </w:rPr>
            </w:pPr>
          </w:p>
        </w:tc>
        <w:tc>
          <w:tcPr>
            <w:tcW w:w="116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0"/>
              </w:rPr>
              <w:t>inputs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inputs</w:t>
            </w:r>
          </w:p>
        </w:tc>
        <w:tc>
          <w:tcPr>
            <w:tcW w:w="300" w:type="dxa"/>
            <w:vAlign w:val="bottom"/>
          </w:tcPr>
          <w:p>
            <w:pPr>
              <w:spacing w:after="0"/>
              <w:rPr>
                <w:sz w:val="12"/>
                <w:szCs w:val="12"/>
                <w:color w:val="auto"/>
              </w:rPr>
            </w:pPr>
          </w:p>
        </w:tc>
        <w:tc>
          <w:tcPr>
            <w:tcW w:w="11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160" w:type="dxa"/>
            <w:vAlign w:val="bottom"/>
          </w:tcPr>
          <w:p>
            <w:pPr>
              <w:jc w:val="center"/>
              <w:ind w:right="144"/>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6,196</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Due to the auction failures of the Company’s auction rate securities that began in the fourth quarter of fiscal 2008, there are still no quoted prices in active markets for identical assets as of January 28, 2012. Therefore, the Company has classified its auction rate securities as Level 3 financial assets. The following table provides a reconciliation between the beginning and ending balances of items measured at fair value on a recurring basis in the table above that used significant unobservable inputs (Level 3)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8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Measurements Using</w:t>
            </w:r>
          </w:p>
        </w:tc>
        <w:tc>
          <w:tcPr>
            <w:tcW w:w="0" w:type="dxa"/>
            <w:vAlign w:val="bottom"/>
          </w:tcPr>
          <w:p>
            <w:pPr>
              <w:spacing w:after="0"/>
              <w:rPr>
                <w:sz w:val="1"/>
                <w:szCs w:val="1"/>
                <w:color w:val="auto"/>
              </w:rPr>
            </w:pPr>
          </w:p>
        </w:tc>
      </w:tr>
      <w:tr>
        <w:trPr>
          <w:trHeight w:val="149"/>
        </w:trPr>
        <w:tc>
          <w:tcPr>
            <w:tcW w:w="8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8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87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87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tcPr>
          <w:p>
            <w:pPr>
              <w:jc w:val="center"/>
              <w:ind w:right="179"/>
              <w:spacing w:after="0" w:line="142" w:lineRule="exact"/>
              <w:rPr>
                <w:sz w:val="20"/>
                <w:szCs w:val="20"/>
                <w:color w:val="auto"/>
              </w:rPr>
            </w:pPr>
            <w:r>
              <w:rPr>
                <w:rFonts w:ascii="Arial" w:cs="Arial" w:eastAsia="Arial" w:hAnsi="Arial"/>
                <w:sz w:val="14"/>
                <w:szCs w:val="14"/>
                <w:b w:val="1"/>
                <w:bCs w:val="1"/>
                <w:color w:val="auto"/>
                <w:w w:val="91"/>
              </w:rPr>
              <w:t>Auction Rate Securities</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2011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Transfers to Level 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gains (losses) (realized or unrealized)</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180"/>
              <w:spacing w:after="0"/>
              <w:rPr>
                <w:sz w:val="20"/>
                <w:szCs w:val="20"/>
                <w:color w:val="auto"/>
              </w:rPr>
            </w:pPr>
            <w:r>
              <w:rPr>
                <w:rFonts w:ascii="Arial" w:cs="Arial" w:eastAsia="Arial" w:hAnsi="Arial"/>
                <w:sz w:val="18"/>
                <w:szCs w:val="18"/>
                <w:color w:val="auto"/>
              </w:rPr>
              <w:t>Included in earnings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other comprehensive income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0"/>
        </w:trPr>
        <w:tc>
          <w:tcPr>
            <w:tcW w:w="8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28, 2012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11460"/>
          </w:cols>
          <w:pgMar w:left="240" w:top="341" w:right="199" w:bottom="0" w:gutter="0" w:footer="0" w:header="0"/>
        </w:sectPr>
      </w:pPr>
    </w:p>
    <w:bookmarkStart w:id="7" w:name="page8"/>
    <w:bookmarkEnd w:id="7"/>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tcPr>
          <w:p>
            <w:pPr>
              <w:jc w:val="right"/>
              <w:ind w:right="290"/>
              <w:spacing w:after="0"/>
              <w:rPr>
                <w:sz w:val="20"/>
                <w:szCs w:val="20"/>
                <w:color w:val="auto"/>
              </w:rPr>
            </w:pPr>
            <w:r>
              <w:rPr>
                <w:rFonts w:ascii="Arial" w:cs="Arial" w:eastAsia="Arial" w:hAnsi="Arial"/>
                <w:sz w:val="18"/>
                <w:szCs w:val="18"/>
                <w:color w:val="auto"/>
                <w:w w:val="90"/>
              </w:rPr>
              <w:t>The amount of total gains or (losses) for the period included in earnings (or change in net assets) attributable to the</w:t>
            </w:r>
          </w:p>
        </w:tc>
        <w:tc>
          <w:tcPr>
            <w:tcW w:w="148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2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30"/>
        </w:trPr>
        <w:tc>
          <w:tcPr>
            <w:tcW w:w="8660" w:type="dxa"/>
            <w:vAlign w:val="bottom"/>
          </w:tcPr>
          <w:p>
            <w:pPr>
              <w:jc w:val="right"/>
              <w:ind w:right="2430"/>
              <w:spacing w:after="0"/>
              <w:rPr>
                <w:sz w:val="20"/>
                <w:szCs w:val="20"/>
                <w:color w:val="auto"/>
              </w:rPr>
            </w:pPr>
            <w:r>
              <w:rPr>
                <w:rFonts w:ascii="Arial" w:cs="Arial" w:eastAsia="Arial" w:hAnsi="Arial"/>
                <w:sz w:val="18"/>
                <w:szCs w:val="18"/>
                <w:color w:val="auto"/>
                <w:w w:val="91"/>
              </w:rPr>
              <w:t>change in unrealized gains or losses relating to assets still held at January 28, 2012</w:t>
            </w:r>
          </w:p>
        </w:tc>
        <w:tc>
          <w:tcPr>
            <w:tcW w:w="14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660" w:type="dxa"/>
            <w:vAlign w:val="bottom"/>
          </w:tcPr>
          <w:p>
            <w:pPr>
              <w:jc w:val="right"/>
              <w:ind w:right="2770"/>
              <w:spacing w:after="0"/>
              <w:rPr>
                <w:sz w:val="20"/>
                <w:szCs w:val="20"/>
                <w:color w:val="auto"/>
              </w:rPr>
            </w:pPr>
            <w:r>
              <w:rPr>
                <w:rFonts w:ascii="Arial" w:cs="Arial" w:eastAsia="Arial" w:hAnsi="Arial"/>
                <w:sz w:val="18"/>
                <w:szCs w:val="18"/>
                <w:color w:val="auto"/>
              </w:rPr>
              <w:t>10</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32"/>
        </w:trPr>
        <w:tc>
          <w:tcPr>
            <w:tcW w:w="866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1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auction rate securities are valued using a discounted cash flow model. The analysis considers, among other items, the collateralization underlying the security investments, the creditworthiness of the counterparty, the timing of expected future cash flows, and the estimated date upon which the security is expected to have a successful auction.</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Based on the Company’s ability to access its cash and cash equivalents, expected operating cash flows, and other sources of cash, the Company does not anticipate the current lack of liquidity on these investments will affect its ability to operate the business in the ordinary course. The Company believes the current lack of liquidity of these investments is temporary and expects that the securities will be redeemed or refinanced at some point in the future, allowing the Company to recover the original cost of $7.4 million. The Company will continue to monitor the value of its auction rate securities at each reporting period for a possible other-than-temporary impairment.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income are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0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January 28,</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8"/>
              <w:spacing w:after="0" w:line="119" w:lineRule="exact"/>
              <w:rPr>
                <w:sz w:val="20"/>
                <w:szCs w:val="20"/>
                <w:color w:val="auto"/>
              </w:rPr>
            </w:pPr>
            <w:r>
              <w:rPr>
                <w:rFonts w:ascii="Arial" w:cs="Arial" w:eastAsia="Arial" w:hAnsi="Arial"/>
                <w:sz w:val="13"/>
                <w:szCs w:val="13"/>
                <w:b w:val="1"/>
                <w:bCs w:val="1"/>
                <w:color w:val="auto"/>
              </w:rPr>
              <w:t>January 29,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January 28,</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8"/>
              <w:spacing w:after="0" w:line="119" w:lineRule="exact"/>
              <w:rPr>
                <w:sz w:val="20"/>
                <w:szCs w:val="20"/>
                <w:color w:val="auto"/>
              </w:rPr>
            </w:pPr>
            <w:r>
              <w:rPr>
                <w:rFonts w:ascii="Arial" w:cs="Arial" w:eastAsia="Arial" w:hAnsi="Arial"/>
                <w:sz w:val="13"/>
                <w:szCs w:val="13"/>
                <w:b w:val="1"/>
                <w:bCs w:val="1"/>
                <w:color w:val="auto"/>
              </w:rPr>
              <w:t>January 29,</w:t>
            </w:r>
          </w:p>
        </w:tc>
        <w:tc>
          <w:tcPr>
            <w:tcW w:w="100" w:type="dxa"/>
            <w:vAlign w:val="bottom"/>
            <w:gridSpan w:val="2"/>
          </w:tcPr>
          <w:p>
            <w:pPr>
              <w:spacing w:after="0"/>
              <w:rPr>
                <w:sz w:val="10"/>
                <w:szCs w:val="10"/>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(loss) on long-term investments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r>
      <w:tr>
        <w:trPr>
          <w:trHeight w:val="210"/>
        </w:trPr>
        <w:tc>
          <w:tcPr>
            <w:tcW w:w="500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5,788</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12,744</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Warranty Reserves</w:t>
      </w:r>
    </w:p>
    <w:p>
      <w:pPr>
        <w:spacing w:after="0" w:line="22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Company accrues an estimate of its exposure to warranty claims based upon both current and historical product sales data and warranty costs incurred. The warranty reserve is included in other current liabilities. The related expense is included in cost of sales. Warranty reserve activity is summarized as follows for the three and nine months ended January 28, 2012 and January 29, 2011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0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January 28,</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7"/>
              <w:spacing w:after="0" w:line="119" w:lineRule="exact"/>
              <w:rPr>
                <w:sz w:val="20"/>
                <w:szCs w:val="20"/>
                <w:color w:val="auto"/>
              </w:rPr>
            </w:pPr>
            <w:r>
              <w:rPr>
                <w:rFonts w:ascii="Arial" w:cs="Arial" w:eastAsia="Arial" w:hAnsi="Arial"/>
                <w:sz w:val="13"/>
                <w:szCs w:val="13"/>
                <w:b w:val="1"/>
                <w:bCs w:val="1"/>
                <w:color w:val="auto"/>
              </w:rPr>
              <w:t>January 29,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January 28,</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7"/>
              <w:spacing w:after="0" w:line="119" w:lineRule="exact"/>
              <w:rPr>
                <w:sz w:val="20"/>
                <w:szCs w:val="20"/>
                <w:color w:val="auto"/>
              </w:rPr>
            </w:pPr>
            <w:r>
              <w:rPr>
                <w:rFonts w:ascii="Arial" w:cs="Arial" w:eastAsia="Arial" w:hAnsi="Arial"/>
                <w:sz w:val="13"/>
                <w:szCs w:val="13"/>
                <w:b w:val="1"/>
                <w:bCs w:val="1"/>
                <w:color w:val="auto"/>
              </w:rPr>
              <w:t>January 29,</w:t>
            </w:r>
          </w:p>
        </w:tc>
        <w:tc>
          <w:tcPr>
            <w:tcW w:w="100" w:type="dxa"/>
            <w:vAlign w:val="bottom"/>
            <w:gridSpan w:val="2"/>
          </w:tcPr>
          <w:p>
            <w:pPr>
              <w:spacing w:after="0"/>
              <w:rPr>
                <w:sz w:val="10"/>
                <w:szCs w:val="10"/>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Warranty expense</w:t>
            </w: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785</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2,037</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966</w:t>
            </w:r>
          </w:p>
        </w:tc>
        <w:tc>
          <w:tcPr>
            <w:tcW w:w="8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Warranty costs incurred</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(1,517)</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(733)</w:t>
            </w:r>
          </w:p>
        </w:tc>
      </w:tr>
      <w:tr>
        <w:trPr>
          <w:trHeight w:val="210"/>
        </w:trPr>
        <w:tc>
          <w:tcPr>
            <w:tcW w:w="5000" w:type="dxa"/>
            <w:vAlign w:val="bottom"/>
          </w:tcPr>
          <w:p>
            <w:pPr>
              <w:spacing w:after="0"/>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Customer-Funded Research &amp; Development</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Customer-funded R&amp;D costs are incurred pursuant to contracts (revenue arrangements) to perform R&amp;D activities according to customer specifications. These costs are direct contract costs and are expensed to cost of sales when the corresponding revenue is recognized, which is generally as the R&amp;D services are performed. Revenue from customer-funded R&amp;D was approximately $5.9 million and $15.1 million for the three and nine months ended January 28, 2012, respectively. Revenue from customer-funded R&amp;D was approximately $8.7 million and $30.3 million for the three and nine months ended January 29, 2011, respectively.</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For the three and nine months ended January 28, 2012, the Company recorded a provision for income taxes of $1.7 million and $5.0 million, respectively, yielding an effective tax rate of 23.0% and 28.3%, respectively. The variance from statutory rates for the three and nine months ended January 28, 2012 was primarily due to research and development tax credits. For the three and nine months ended January 29, 2011, the Company recorded a provision for income taxes of $4.3 million and $0.7 million, respectively, yielding an effective tax rate of 27.2% and 8.0%, respectively. The variance from statutory rates for the three and nine months ended January 29, 2011 was primarily due to research and development tax credits.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product segments are as follows:</w:t>
      </w:r>
    </w:p>
    <w:p>
      <w:pPr>
        <w:spacing w:after="0" w:line="225" w:lineRule="exact"/>
        <w:rPr>
          <w:sz w:val="20"/>
          <w:szCs w:val="20"/>
          <w:color w:val="auto"/>
        </w:rPr>
      </w:pPr>
    </w:p>
    <w:p>
      <w:pPr>
        <w:ind w:left="980" w:right="140" w:hanging="648"/>
        <w:spacing w:after="0" w:line="342" w:lineRule="auto"/>
        <w:tabs>
          <w:tab w:leader="none" w:pos="944" w:val="left"/>
        </w:tabs>
        <w:numPr>
          <w:ilvl w:val="0"/>
          <w:numId w:val="4"/>
        </w:numPr>
        <w:rPr>
          <w:rFonts w:ascii="Arial" w:cs="Arial" w:eastAsia="Arial" w:hAnsi="Arial"/>
          <w:sz w:val="16"/>
          <w:szCs w:val="16"/>
          <w:color w:val="auto"/>
        </w:rPr>
      </w:pPr>
      <w:r>
        <w:rPr>
          <w:rFonts w:ascii="Arial" w:cs="Arial" w:eastAsia="Arial" w:hAnsi="Arial"/>
          <w:sz w:val="16"/>
          <w:szCs w:val="16"/>
          <w:color w:val="auto"/>
        </w:rPr>
        <w:t>Unmanned Aircraft Systems (“UAS”) — The UAS segment focuses primarily on the design, development, production, operation and support of innovative UAS that provide situational awareness and other mission effects to increase the security and operational effectiveness of the</w:t>
      </w:r>
    </w:p>
    <w:p>
      <w:pPr>
        <w:sectPr>
          <w:pgSz w:w="11900" w:h="16948" w:orient="portrait"/>
          <w:cols w:equalWidth="0" w:num="1">
            <w:col w:w="11460"/>
          </w:cols>
          <w:pgMar w:left="240" w:top="125" w:right="199" w:bottom="0" w:gutter="0" w:footer="0" w:header="0"/>
        </w:sectPr>
      </w:pPr>
    </w:p>
    <w:bookmarkStart w:id="8" w:name="page9"/>
    <w:bookmarkEnd w:id="8"/>
    <w:p>
      <w:pPr>
        <w:ind w:left="980"/>
        <w:spacing w:after="0"/>
        <w:rPr>
          <w:sz w:val="20"/>
          <w:szCs w:val="20"/>
          <w:color w:val="auto"/>
        </w:rPr>
      </w:pPr>
      <w:r>
        <w:rPr>
          <w:rFonts w:ascii="Arial" w:cs="Arial" w:eastAsia="Arial" w:hAnsi="Arial"/>
          <w:sz w:val="18"/>
          <w:szCs w:val="18"/>
          <w:color w:val="auto"/>
        </w:rPr>
        <w:t>Company’s customers.</w:t>
      </w:r>
    </w:p>
    <w:p>
      <w:pPr>
        <w:spacing w:after="0" w:line="225" w:lineRule="exact"/>
        <w:rPr>
          <w:sz w:val="20"/>
          <w:szCs w:val="20"/>
          <w:color w:val="auto"/>
        </w:rPr>
      </w:pPr>
    </w:p>
    <w:p>
      <w:pPr>
        <w:ind w:left="980" w:right="400" w:hanging="648"/>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Efficient Energy Systems (“EES”) — The EES segment focuses primarily on the design, development, production and support of innovative efficient electric energy systems that address the growing demand for electric transportation solutions.</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accounting policies of the segments are the same as those described in Note 1, “Organization and Significant Accounting Policies.” The operating segments do not make sales to each other. Depreciation and amortization related to the manufacturing of goods is included in gross margin for the segments. The Company does not discretely allocate assets to its operating segments, nor does the CODM evaluate operating segments using discrete asset information. Consequently, the Company operates its financial systems as a single segment for accounting and control purposes, maintains a single indirect rate structure across all segments, has no inter-segment sales or corporate elimination transactions, and maintains limited financial statement information by segment.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segment results are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gridSpan w:val="5"/>
          </w:tcPr>
          <w:p>
            <w:pPr>
              <w:ind w:left="68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r>
      <w:tr>
        <w:trPr>
          <w:trHeight w:val="119"/>
        </w:trPr>
        <w:tc>
          <w:tcPr>
            <w:tcW w:w="3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January 28,</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9" w:lineRule="exact"/>
              <w:rPr>
                <w:sz w:val="20"/>
                <w:szCs w:val="20"/>
                <w:color w:val="auto"/>
              </w:rPr>
            </w:pPr>
            <w:r>
              <w:rPr>
                <w:rFonts w:ascii="Arial" w:cs="Arial" w:eastAsia="Arial" w:hAnsi="Arial"/>
                <w:sz w:val="13"/>
                <w:szCs w:val="13"/>
                <w:b w:val="1"/>
                <w:bCs w:val="1"/>
                <w:color w:val="auto"/>
              </w:rPr>
              <w:t>January 29,</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January 28,</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9" w:lineRule="exact"/>
              <w:rPr>
                <w:sz w:val="20"/>
                <w:szCs w:val="20"/>
                <w:color w:val="auto"/>
              </w:rPr>
            </w:pPr>
            <w:r>
              <w:rPr>
                <w:rFonts w:ascii="Arial" w:cs="Arial" w:eastAsia="Arial" w:hAnsi="Arial"/>
                <w:sz w:val="13"/>
                <w:szCs w:val="13"/>
                <w:b w:val="1"/>
                <w:bCs w:val="1"/>
                <w:color w:val="auto"/>
              </w:rPr>
              <w:t>January 29,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1"/>
        </w:trPr>
        <w:tc>
          <w:tcPr>
            <w:tcW w:w="376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3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UAS</w:t>
            </w:r>
          </w:p>
        </w:tc>
        <w:tc>
          <w:tcPr>
            <w:tcW w:w="1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57,247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71,733</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176,383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158,796</w:t>
            </w: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14,717</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12,701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37,950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27,647</w:t>
            </w:r>
          </w:p>
        </w:tc>
        <w:tc>
          <w:tcPr>
            <w:tcW w:w="40" w:type="dxa"/>
            <w:vAlign w:val="bottom"/>
          </w:tcPr>
          <w:p>
            <w:pPr>
              <w:spacing w:after="0"/>
              <w:rPr>
                <w:sz w:val="18"/>
                <w:szCs w:val="18"/>
                <w:color w:val="auto"/>
              </w:rPr>
            </w:pPr>
          </w:p>
        </w:tc>
      </w:tr>
      <w:tr>
        <w:trPr>
          <w:trHeight w:val="210"/>
        </w:trPr>
        <w:tc>
          <w:tcPr>
            <w:tcW w:w="3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71,964</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84,434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214,333</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186,443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3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UAS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23,151</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29,003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70,580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56,807</w:t>
            </w: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9,198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11,133</w:t>
            </w:r>
          </w:p>
        </w:tc>
        <w:tc>
          <w:tcPr>
            <w:tcW w:w="40" w:type="dxa"/>
            <w:vAlign w:val="bottom"/>
          </w:tcPr>
          <w:p>
            <w:pPr>
              <w:spacing w:after="0"/>
              <w:rPr>
                <w:sz w:val="18"/>
                <w:szCs w:val="18"/>
                <w:color w:val="auto"/>
              </w:rPr>
            </w:pPr>
          </w:p>
        </w:tc>
      </w:tr>
      <w:tr>
        <w:trPr>
          <w:trHeight w:val="210"/>
        </w:trPr>
        <w:tc>
          <w:tcPr>
            <w:tcW w:w="3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27,433</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79,778</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67,940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7,238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7,872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23,640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24,533</w:t>
            </w:r>
          </w:p>
        </w:tc>
        <w:tc>
          <w:tcPr>
            <w:tcW w:w="40" w:type="dxa"/>
            <w:vAlign w:val="bottom"/>
          </w:tcPr>
          <w:p>
            <w:pPr>
              <w:spacing w:after="0"/>
              <w:rPr>
                <w:sz w:val="18"/>
                <w:szCs w:val="18"/>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7,329</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Interest income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40" w:type="dxa"/>
            <w:vAlign w:val="bottom"/>
          </w:tcPr>
          <w:p>
            <w:pPr>
              <w:spacing w:after="0"/>
              <w:rPr>
                <w:sz w:val="18"/>
                <w:szCs w:val="18"/>
                <w:color w:val="auto"/>
              </w:rPr>
            </w:pPr>
          </w:p>
        </w:tc>
      </w:tr>
      <w:tr>
        <w:trPr>
          <w:trHeight w:val="210"/>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474"/>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6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II, Item 1A, “Risk Factors.”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Unless required by law, we expressly disclaim any obligation to update publicly any forward-looking statements, whether as result of new information, future events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inventories and reserves for excess and obsolescence, long-term investments, self-insured liabilities, accounting for stock-based awards,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6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There have been no material changes made to the critical accounting estimates during the periods presented in the consolidated financial statements from those disclosed in the Form 10-K for the fiscal year ended April 30,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Periods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Due to our fixed year end date of April 30, our first and fourth quarters each consist of approximately 13 weeks. The second and third quarters each consist of exactly 13 weeks. Our first three quarters end on a Saturday. Our 2012 fiscal year ends on April 30, 2012 and our fiscal quarters end on July 30, 2011, October 29, 2011 and January 28,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Our operating segments are Unmanned Aircraft Systems, or UAS, and Efficient Energy Systems, or EES. The accounting policies for each of these segments are the same. In addition, a significant portion of our research and development, or R&amp;D, selling, general and administrative, or SG&amp;A, and general overhead resources are shared across our segments.</w:t>
      </w:r>
    </w:p>
    <w:p>
      <w:pPr>
        <w:sectPr>
          <w:pgSz w:w="11900" w:h="16838" w:orient="portrait"/>
          <w:cols w:equalWidth="0" w:num="1">
            <w:col w:w="11460"/>
          </w:cols>
          <w:pgMar w:left="240" w:top="125" w:right="199" w:bottom="0" w:gutter="0" w:footer="0" w:header="0"/>
        </w:sectPr>
      </w:pP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9" w:name="page10"/>
    <w:bookmarkEnd w:id="9"/>
    <w:p>
      <w:pPr>
        <w:spacing w:after="0" w:line="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revenue and gross margin generated by each operating segment for the periods indicated (in thousands):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January 28, 2012 Compared to Three Months Ended January 29, 2011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5"/>
          </w:tcPr>
          <w:p>
            <w:pPr>
              <w:ind w:left="6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54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January 28,</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9" w:lineRule="exact"/>
              <w:rPr>
                <w:sz w:val="20"/>
                <w:szCs w:val="20"/>
                <w:color w:val="auto"/>
              </w:rPr>
            </w:pPr>
            <w:r>
              <w:rPr>
                <w:rFonts w:ascii="Arial" w:cs="Arial" w:eastAsia="Arial" w:hAnsi="Arial"/>
                <w:sz w:val="13"/>
                <w:szCs w:val="13"/>
                <w:b w:val="1"/>
                <w:bCs w:val="1"/>
                <w:color w:val="auto"/>
              </w:rPr>
              <w:t>January 29,</w:t>
            </w:r>
          </w:p>
        </w:tc>
        <w:tc>
          <w:tcPr>
            <w:tcW w:w="100" w:type="dxa"/>
            <w:vAlign w:val="bottom"/>
          </w:tcPr>
          <w:p>
            <w:pPr>
              <w:spacing w:after="0"/>
              <w:rPr>
                <w:sz w:val="10"/>
                <w:szCs w:val="10"/>
                <w:color w:val="auto"/>
              </w:rPr>
            </w:pPr>
          </w:p>
        </w:tc>
      </w:tr>
      <w:tr>
        <w:trPr>
          <w:trHeight w:val="171"/>
        </w:trPr>
        <w:tc>
          <w:tcPr>
            <w:tcW w:w="5400" w:type="dxa"/>
            <w:vAlign w:val="bottom"/>
            <w:tcBorders>
              <w:bottom w:val="single" w:sz="8" w:color="CCEEFF"/>
            </w:tcBorders>
          </w:tcPr>
          <w:p>
            <w:pPr>
              <w:spacing w:after="0"/>
              <w:rPr>
                <w:sz w:val="14"/>
                <w:szCs w:val="14"/>
                <w:color w:val="auto"/>
              </w:rPr>
            </w:pPr>
          </w:p>
        </w:tc>
        <w:tc>
          <w:tcPr>
            <w:tcW w:w="29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UAS</w:t>
            </w:r>
          </w:p>
        </w:tc>
        <w:tc>
          <w:tcPr>
            <w:tcW w:w="31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57,247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71,733</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14,717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12,701</w:t>
            </w:r>
          </w:p>
        </w:tc>
      </w:tr>
      <w:tr>
        <w:trPr>
          <w:trHeight w:val="210"/>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71,964</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84,434</w:t>
            </w:r>
          </w:p>
        </w:tc>
        <w:tc>
          <w:tcPr>
            <w:tcW w:w="100" w:type="dxa"/>
            <w:vAlign w:val="bottom"/>
            <w:tcBorders>
              <w:bottom w:val="single" w:sz="8" w:color="CCEEFF"/>
            </w:tcBorders>
          </w:tcPr>
          <w:p>
            <w:pPr>
              <w:spacing w:after="0"/>
              <w:rPr>
                <w:sz w:val="18"/>
                <w:szCs w:val="18"/>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2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UAS</w:t>
            </w: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23,151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29,003</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5,126</w:t>
            </w:r>
          </w:p>
        </w:tc>
      </w:tr>
      <w:tr>
        <w:trPr>
          <w:trHeight w:val="210"/>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27,433</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34,129</w:t>
            </w:r>
          </w:p>
        </w:tc>
        <w:tc>
          <w:tcPr>
            <w:tcW w:w="10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10,578</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7,238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7,872</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income</w:t>
            </w: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1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9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Revenue for the three months ended January 28, 2012 was $72.0 million, as compared to $84.4 million for the three months ended January 29,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2011, representing a decrease of $12.4 million, or 15%. UAS revenue decreased by $14.5 million, or 20%, to $57.2 million for the three months ended January 28, 2012, primarily due to decreases in UAS product deliveries of $10.8 million, customer-funded R&amp;D work of $2.3 million, and service revenue of $1.4 million. The decrease in UAS product deliveries and service revenue was primarily due to decreased deliveries of small unmanned aircraft systems and related support services. The decrease in customer-funded R&amp;D work was primarily due to the pending completion of the Global Observer contract. EES revenue increased by $2.0 million, or 16%, to $14.7 million for the three months ended January 28, 2012. The increase in EES revenue was primarily due to increased deliveries of electric vehicle charging docks and industrial fast charging systems.</w:t>
      </w:r>
    </w:p>
    <w:p>
      <w:pPr>
        <w:spacing w:after="0" w:line="17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for the three months ended January 28, 2012 was $44.5 million, as compared to $50.3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29, 2011, representing a decrease of $5.8 million, or 11%. As a percentage of revenue, cost of sales increased from 60% to 62%. UAS cost of sales decreased $8.6 million, or 20%, to $34.1 million for the three months ended January 28, 2012, primarily due to lower sales volume. As a percentage of revenue, cost of sales for UAS remained at 60%. EES cost of sales increased $2.9 million, or 38%, to $10.4 million for the three months ended January 28, 2012. As a percentage of revenue, cost of sales for EES increased from 60% to 71%, primarily due to an increase in sales of new products in low-rate production and with an associated higher cost of sales, and higher manufacturing and engineering overhead support costs.</w:t>
      </w:r>
    </w:p>
    <w:p>
      <w:pPr>
        <w:spacing w:after="0" w:line="16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for the three months ended January 28, 2012 was $27.4 million, as compared to $34.1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29, 2011, representing a decrease of $6.7 million, or 20%. UAS gross margin decreased $5.9 million, or 20%, to $23.2 million for the three months ended January 28, 2012 primarily due to lower sales volume. As a percentage of revenue, gross margin for UAS remained at 40%. EES gross margin decreased $0.8 million, or 16%, to $4.3 million for the three months ended January 28, 2012. As a percentage of revenue, EES gross margin decreased from 40% to 29%, primarily due to an increase in sales of new products in low-rate production and with an associated higher cost of sales, and higher manufacturing and engineering support overhead costs.</w:t>
      </w:r>
    </w:p>
    <w:p>
      <w:pPr>
        <w:spacing w:after="0" w:line="189"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 for the three months ended January 28, 2012 was $12.9 million, or 18% of revenue,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 of $10.6 million, or 13% of revenue, for the three months ended January 29, 2011. The increase was primarily due to higher bid and proposal activity and administrative infrastructure costs.</w:t>
      </w:r>
    </w:p>
    <w:p>
      <w:pPr>
        <w:spacing w:after="0" w:line="1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three months ended January 28, 2012 was $7.2 million, or 10% of revenue, compared to R&amp;D expense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$7.9 million, or 9% of revenue, for the three months ended January 29,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for the three months ended January 28, 2012 and January 29, 2011 remained at $0.1 million.</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Our effective income tax rate was 23.0% for the three months ended January 28, 2012, as compared to 27.2%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January 29, 2011. The decrease was primarily due to lower taxable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Nine Months Ended January 28, 2012 Compared to Nine Months Ended January 29, 2011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5"/>
          </w:tcPr>
          <w:p>
            <w:pPr>
              <w:ind w:left="7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4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January 28,</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5"/>
              <w:spacing w:after="0" w:line="119" w:lineRule="exact"/>
              <w:rPr>
                <w:sz w:val="20"/>
                <w:szCs w:val="20"/>
                <w:color w:val="auto"/>
              </w:rPr>
            </w:pPr>
            <w:r>
              <w:rPr>
                <w:rFonts w:ascii="Arial" w:cs="Arial" w:eastAsia="Arial" w:hAnsi="Arial"/>
                <w:sz w:val="13"/>
                <w:szCs w:val="13"/>
                <w:b w:val="1"/>
                <w:bCs w:val="1"/>
                <w:color w:val="auto"/>
              </w:rPr>
              <w:t>January 29,</w:t>
            </w:r>
          </w:p>
        </w:tc>
        <w:tc>
          <w:tcPr>
            <w:tcW w:w="100" w:type="dxa"/>
            <w:vAlign w:val="bottom"/>
          </w:tcPr>
          <w:p>
            <w:pPr>
              <w:spacing w:after="0"/>
              <w:rPr>
                <w:sz w:val="10"/>
                <w:szCs w:val="10"/>
                <w:color w:val="auto"/>
              </w:rPr>
            </w:pPr>
          </w:p>
        </w:tc>
      </w:tr>
      <w:tr>
        <w:trPr>
          <w:trHeight w:val="171"/>
        </w:trPr>
        <w:tc>
          <w:tcPr>
            <w:tcW w:w="5400" w:type="dxa"/>
            <w:vAlign w:val="bottom"/>
            <w:tcBorders>
              <w:bottom w:val="single" w:sz="8" w:color="CCEEFF"/>
            </w:tcBorders>
          </w:tcPr>
          <w:p>
            <w:pPr>
              <w:spacing w:after="0"/>
              <w:rPr>
                <w:sz w:val="14"/>
                <w:szCs w:val="14"/>
                <w:color w:val="auto"/>
              </w:rPr>
            </w:pPr>
          </w:p>
        </w:tc>
        <w:tc>
          <w:tcPr>
            <w:tcW w:w="29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5400" w:type="dxa"/>
            <w:vAlign w:val="bottom"/>
            <w:shd w:val="clear" w:color="auto" w:fill="CCEEFF"/>
          </w:tcPr>
          <w:p>
            <w:pPr>
              <w:jc w:val="center"/>
              <w:ind w:right="4630"/>
              <w:spacing w:after="0" w:line="196" w:lineRule="exact"/>
              <w:rPr>
                <w:sz w:val="20"/>
                <w:szCs w:val="20"/>
                <w:color w:val="auto"/>
              </w:rPr>
            </w:pPr>
            <w:r>
              <w:rPr>
                <w:rFonts w:ascii="Arial" w:cs="Arial" w:eastAsia="Arial" w:hAnsi="Arial"/>
                <w:sz w:val="18"/>
                <w:szCs w:val="18"/>
                <w:color w:val="auto"/>
                <w:w w:val="88"/>
              </w:rPr>
              <w:t>Revenue:</w:t>
            </w:r>
          </w:p>
        </w:tc>
        <w:tc>
          <w:tcPr>
            <w:tcW w:w="2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jc w:val="center"/>
              <w:ind w:right="4590"/>
              <w:spacing w:after="0"/>
              <w:rPr>
                <w:sz w:val="20"/>
                <w:szCs w:val="20"/>
                <w:color w:val="auto"/>
              </w:rPr>
            </w:pPr>
            <w:r>
              <w:rPr>
                <w:rFonts w:ascii="Arial" w:cs="Arial" w:eastAsia="Arial" w:hAnsi="Arial"/>
                <w:sz w:val="18"/>
                <w:szCs w:val="18"/>
                <w:color w:val="auto"/>
                <w:w w:val="97"/>
              </w:rPr>
              <w:t>UAS</w:t>
            </w:r>
          </w:p>
        </w:tc>
        <w:tc>
          <w:tcPr>
            <w:tcW w:w="3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176,383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158,796</w:t>
            </w:r>
          </w:p>
        </w:tc>
      </w:tr>
      <w:tr>
        <w:trPr>
          <w:trHeight w:val="216"/>
        </w:trPr>
        <w:tc>
          <w:tcPr>
            <w:tcW w:w="5400" w:type="dxa"/>
            <w:vAlign w:val="bottom"/>
            <w:shd w:val="clear" w:color="auto" w:fill="CCEEFF"/>
          </w:tcPr>
          <w:p>
            <w:pPr>
              <w:jc w:val="center"/>
              <w:ind w:right="4630"/>
              <w:spacing w:after="0"/>
              <w:rPr>
                <w:sz w:val="20"/>
                <w:szCs w:val="20"/>
                <w:color w:val="auto"/>
              </w:rPr>
            </w:pPr>
            <w:r>
              <w:rPr>
                <w:rFonts w:ascii="Arial" w:cs="Arial" w:eastAsia="Arial" w:hAnsi="Arial"/>
                <w:sz w:val="18"/>
                <w:szCs w:val="18"/>
                <w:color w:val="auto"/>
                <w:w w:val="88"/>
              </w:rPr>
              <w:t>EES</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37,950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27,647</w:t>
            </w:r>
          </w:p>
        </w:tc>
      </w:tr>
      <w:tr>
        <w:trPr>
          <w:trHeight w:val="210"/>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214,333</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186,443</w:t>
            </w:r>
          </w:p>
        </w:tc>
        <w:tc>
          <w:tcPr>
            <w:tcW w:w="100" w:type="dxa"/>
            <w:vAlign w:val="bottom"/>
            <w:tcBorders>
              <w:bottom w:val="single" w:sz="8" w:color="CCEEFF"/>
            </w:tcBorders>
          </w:tcPr>
          <w:p>
            <w:pPr>
              <w:spacing w:after="0"/>
              <w:rPr>
                <w:sz w:val="18"/>
                <w:szCs w:val="18"/>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2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jc w:val="center"/>
              <w:ind w:right="4590"/>
              <w:spacing w:after="0"/>
              <w:rPr>
                <w:sz w:val="20"/>
                <w:szCs w:val="20"/>
                <w:color w:val="auto"/>
              </w:rPr>
            </w:pPr>
            <w:r>
              <w:rPr>
                <w:rFonts w:ascii="Arial" w:cs="Arial" w:eastAsia="Arial" w:hAnsi="Arial"/>
                <w:sz w:val="18"/>
                <w:szCs w:val="18"/>
                <w:color w:val="auto"/>
                <w:w w:val="97"/>
              </w:rPr>
              <w:t>UAS</w:t>
            </w: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70,580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56,807</w:t>
            </w:r>
          </w:p>
        </w:tc>
      </w:tr>
      <w:tr>
        <w:trPr>
          <w:trHeight w:val="216"/>
        </w:trPr>
        <w:tc>
          <w:tcPr>
            <w:tcW w:w="5400" w:type="dxa"/>
            <w:vAlign w:val="bottom"/>
            <w:shd w:val="clear" w:color="auto" w:fill="CCEEFF"/>
          </w:tcPr>
          <w:p>
            <w:pPr>
              <w:jc w:val="center"/>
              <w:ind w:right="4630"/>
              <w:spacing w:after="0"/>
              <w:rPr>
                <w:sz w:val="20"/>
                <w:szCs w:val="20"/>
                <w:color w:val="auto"/>
              </w:rPr>
            </w:pPr>
            <w:r>
              <w:rPr>
                <w:rFonts w:ascii="Arial" w:cs="Arial" w:eastAsia="Arial" w:hAnsi="Arial"/>
                <w:sz w:val="18"/>
                <w:szCs w:val="18"/>
                <w:color w:val="auto"/>
                <w:w w:val="88"/>
              </w:rPr>
              <w:t>EES</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9,198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11,133</w:t>
            </w:r>
          </w:p>
        </w:tc>
      </w:tr>
      <w:tr>
        <w:trPr>
          <w:trHeight w:val="210"/>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79,778</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67,940</w:t>
            </w:r>
          </w:p>
        </w:tc>
        <w:tc>
          <w:tcPr>
            <w:tcW w:w="10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34,634</w:t>
            </w:r>
          </w:p>
        </w:tc>
        <w:tc>
          <w:tcPr>
            <w:tcW w:w="100" w:type="dxa"/>
            <w:vAlign w:val="bottom"/>
            <w:shd w:val="clear" w:color="auto" w:fill="CCEEFF"/>
          </w:tcPr>
          <w:p>
            <w:pPr>
              <w:spacing w:after="0"/>
              <w:rPr>
                <w:sz w:val="18"/>
                <w:szCs w:val="18"/>
                <w:color w:val="auto"/>
              </w:rPr>
            </w:pPr>
          </w:p>
        </w:tc>
      </w:tr>
    </w:tbl>
    <w:p>
      <w:pPr>
        <w:sectPr>
          <w:pgSz w:w="11900" w:h="16843" w:orient="portrait"/>
          <w:cols w:equalWidth="0" w:num="1">
            <w:col w:w="11420"/>
          </w:cols>
          <w:pgMar w:left="240" w:top="368" w:right="239" w:bottom="0" w:gutter="0" w:footer="0" w:header="0"/>
        </w:sectPr>
      </w:pPr>
    </w:p>
    <w:bookmarkStart w:id="10" w:name="page11"/>
    <w:bookmarkEnd w:id="10"/>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23,640</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24,533</w:t>
            </w: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17,332</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Interest income</w:t>
            </w:r>
          </w:p>
        </w:tc>
        <w:tc>
          <w:tcPr>
            <w:tcW w:w="3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313</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r>
      <w:tr>
        <w:trPr>
          <w:trHeight w:val="210"/>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1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nine months ended January 28, 2012 was $214.3 million, as compared to $186.4 million for the nine months ended January 29,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2011, representing an increase of $27.9 million, or 15%. UAS revenue increased $17.6 million, or 11%, to $176.4 million for the nine months ended January 28, 2012, primarily due to increased UAS product deliveries of $14.2 million and service revenue of $17.7 million, partially offset by lower customer-funded R&amp;D work of $14.3 million. The increase in UAS product deliveries and service revenue was primarily due to increased deliveries of Puma AE systems and support services relating to our small unmanned aircraft systems. The decrease in UAS customer-funded R&amp;D revenue was primarily due to the pending completion of the Global Observer contract. EES revenue increased by $10.3 million, or 37%, to $38.0 million for the nine months ended January 28, 2012. The increase in EES revenue was primarily due to increased deliveries of electric vehicle charging docks and electric vehicle test systems.</w:t>
      </w:r>
    </w:p>
    <w:p>
      <w:pPr>
        <w:spacing w:after="0" w:line="16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for the nine months ended January 28, 2012 was $134.6 million, as compared to $118.5 million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29, 2011, representing an increase of $16.1 million, or 14%. As a percentage of revenue, cost of sales decreased from 64% to 63%. UAS cost of sales increased $3.8 million, or 4%, to $105.8 million for the nine months ended January 28, 2012, primarily due to higher sales volume. As a percentage of revenue, cost of sales for UAS decreased from 64% to 60%, primarily due to a higher amount of fixed-price contract revenue compared to cost-reimbursable contract revenue. EES cost of sales increased $12.2 million, or 74%, to $28.8 million for the nine months ended January 28, 2012, primarily due to increased sales volume. As a percentage of revenue, cost of sales for EES increased from 60% to 76%, primarily due to an increase in sales of new products in low-rate production and with an associated higher cost of sales, and higher manufacturing and engineering overhead support costs.</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for the nine months ended January 28, 2012 was $79.8 million, as compared to $67.9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29, 2011, representing an increase of $11.8 million, or 17%. UAS gross margin increased $13.8 million, or 24%, to $70.6 million for the nine months ended January 28, 2012. As a percentage of revenue, gross margin for UAS increased from 36% to 40%, primarily due to a higher amount of fixed-price contract revenue compared to cost-reimbursable contract revenue. EES gross margin decreased $1.9 million, or 17%, to $9.2 million for the nine months ended January 28, 2012. As a percentage of revenue, EES gross margin decreased from 40% to 24%, due to higher program costs on development contracts, an increase in sales of new products in low-rate production and with an associated higher cost of sales, and higher manufacturing and engineering overhead support costs.</w:t>
      </w:r>
    </w:p>
    <w:p>
      <w:pPr>
        <w:spacing w:after="0" w:line="185"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 for the nine months ended January 28, 2012 was $38.8 million, or 18% of revenue,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 of $34.6 million, or 19% of revenue, for the nine months ended January 29, 2011. SG&amp;A expense increased $4.2 million primarily due to higher marketing, business development, and administrative infrastructure costs.</w:t>
      </w:r>
    </w:p>
    <w:p>
      <w:pPr>
        <w:spacing w:after="0" w:line="1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nine months ended January 28, 2012 was $23.6 million, or 11% of revenue, compared to R&amp;D expense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$24.5 million, or 13% of revenue, for the nine months ended January 29, 2011.</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for the nine months ended January 28, 2012 was $0.3 million, compared to interest income of $0.2 million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January 29, 2011.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Our effective income tax rate was 28.3% for the nine months ended January 28, 2012, as compared to 8.0%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29, 2011. The increase was primarily due to lower R&amp;D tax credits.</w:t>
      </w:r>
    </w:p>
    <w:p>
      <w:pPr>
        <w:spacing w:after="0" w:line="1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Backlog</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define funded backlog as unfilled firm orders for products and services for which funding currently is appropriated to us under the contract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customer. As of January 28, 2012 and April 30, 2011, our funded backlog was approximately $85.5 million and $82.9 million, respectively.</w:t>
      </w:r>
    </w:p>
    <w:p>
      <w:pPr>
        <w:spacing w:after="0" w:line="12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addition to our funded backlog, we also had unfunded backlog of $121.5 million and $230.8 million as of January 28, 2012 and April 30, 2011, respectively. We define unfunded backlog as the total remaining potential order amounts under cost reimbursable and fixed price contracts with multiple one-year options, and indefinite delivery indefinite quantity, or IDIQ, contracts. Unfunded backlog does not obligate the U.S. government to purchase goods or services. There can be no assurance that unfunded backlog will result in any orders in any particular period, if at all. Management believes that unfunded backlog does not provide a reliable measure of future estimated revenue under our contracts.</w:t>
      </w:r>
    </w:p>
    <w:p>
      <w:pPr>
        <w:spacing w:after="0" w:line="17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funded, may be terminated at the convenience of the U.S. government.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currently have no material cash commitments, except for normal recurring trade payables, accrued expenses and ongoing research and development costs, all of which we anticipate funding through our existing working capital and funds provided by operating activities. The majority of our purchase obligations are pursuant to funded contractual arrangements with our customers. In addition, we do not currently anticipate significant investment in property, plant and equipment, and we believe that our existing cash, cash equivalents, cash provided by operating activities and other financing sources will be sufficient to meet our anticipated working capital, capital expenditure and debt service requirements, if any, during the next twelve months. There can be no assurance, however, that our business will continue to generate cash flow at current levels. If we are unable to generate sufficient cash flow from operations, then we may be required to sell assets, reduce capital expenditures or obtain additional financing. The global credit situation has imposed high levels of volatility and disruption in the capital markets, severely diminished liquidity and credit availability, and increased counterparty risk. Nevertheless, we anticipate that existing sources of liquidity and cash flows from operations will be sufficient to satisfy our cash needs for the foreseeable future.</w:t>
      </w:r>
    </w:p>
    <w:p>
      <w:pPr>
        <w:spacing w:after="0" w:line="16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Our primary liquidity needs are for financing working capital, investing in capital expenditures, supporting product development efforts, introducing new products and enhancing existing products and services, and promoting market acceptance and adoption of our products and services. Our future capital</w:t>
      </w:r>
    </w:p>
    <w:p>
      <w:pPr>
        <w:sectPr>
          <w:pgSz w:w="11900" w:h="16975" w:orient="portrait"/>
          <w:cols w:equalWidth="0" w:num="1">
            <w:col w:w="11420"/>
          </w:cols>
          <w:pgMar w:left="240" w:top="125" w:right="239" w:bottom="0" w:gutter="0" w:footer="0" w:header="0"/>
        </w:sectPr>
      </w:pPr>
    </w:p>
    <w:bookmarkStart w:id="11" w:name="page12"/>
    <w:bookmarkEnd w:id="11"/>
    <w:p>
      <w:pPr>
        <w:ind w:right="20"/>
        <w:spacing w:after="0" w:line="255" w:lineRule="auto"/>
        <w:rPr>
          <w:sz w:val="20"/>
          <w:szCs w:val="20"/>
          <w:color w:val="auto"/>
        </w:rPr>
      </w:pPr>
      <w:r>
        <w:rPr>
          <w:rFonts w:ascii="Arial" w:cs="Arial" w:eastAsia="Arial" w:hAnsi="Arial"/>
          <w:sz w:val="18"/>
          <w:szCs w:val="18"/>
          <w:color w:val="auto"/>
        </w:rPr>
        <w:t>requirements, to a certain extent, are also subject to general conditions in or affecting the defense and electric vehicle industries and are subject to general economic, political, financial, competitive, legislative and regulatory factors that are beyond our control. Moreover, to the extent that existing cash, cash equivalents, cash from operations, and cash from short-term borrowing are insufficient to fund our future activities, we may need to raise additional funds through public or private equity or debt financing. To the extent we require additional funding, we cannot be certain that such funding will be available to us on acceptable terms, or at all. Although we are currently not a party to any agreement or letter of intent with respect to potential investment in, or acquisitions of, businesses, services or technologies, we may enter into these types of arrangements in the future, which could also require us to seek additional equity or debt financing.</w:t>
      </w:r>
    </w:p>
    <w:p>
      <w:pPr>
        <w:spacing w:after="0" w:line="18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Recent global market and economic conditions have been unprecedented and challenging with tighter credit conditions and recession in most major economies. As a result of these market conditions, the cost and availability of credit has been and may continue to be adversely affected by illiquid credit markets and wider credit spreads. Concern about the stability of the markets generally and the strength of counterparties specifically has led many lenders and institutional investors to reduce, and in some cases, cease to provide credit to businesses and consumers. These factors have led to a decrease in spending by businesses and consumers alike, and a corresponding decrease in global infrastructure spending. Continued turbulence in the U.S. and international markets and economies and prolonged declines in business and consumer spending may adversely affect our liquidity and financial condition, and the liquidity and financial condition of our customers, including our ability to access the capital markets to meet liquidity needs. In addition, we maintain significant amounts of cash and cash equivalents at one or more financial institutions that are in excess of federally insured limits. Given the current instability of financial institutions, we cannot be assured that we will not experience losses on these deposits.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our cash flow data for the nine months ended January 28, 2012 and January 29, 2011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4"/>
          </w:tcPr>
          <w:p>
            <w:pPr>
              <w:ind w:left="7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9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401"/>
              <w:spacing w:after="0" w:line="119" w:lineRule="exact"/>
              <w:rPr>
                <w:sz w:val="20"/>
                <w:szCs w:val="20"/>
                <w:color w:val="auto"/>
              </w:rPr>
            </w:pPr>
            <w:r>
              <w:rPr>
                <w:rFonts w:ascii="Arial" w:cs="Arial" w:eastAsia="Arial" w:hAnsi="Arial"/>
                <w:sz w:val="13"/>
                <w:szCs w:val="13"/>
                <w:b w:val="1"/>
                <w:bCs w:val="1"/>
                <w:color w:val="auto"/>
              </w:rPr>
              <w:t>January 28,</w:t>
            </w:r>
          </w:p>
        </w:tc>
        <w:tc>
          <w:tcPr>
            <w:tcW w:w="3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238"/>
              <w:spacing w:after="0" w:line="119" w:lineRule="exact"/>
              <w:rPr>
                <w:sz w:val="20"/>
                <w:szCs w:val="20"/>
                <w:color w:val="auto"/>
              </w:rPr>
            </w:pPr>
            <w:r>
              <w:rPr>
                <w:rFonts w:ascii="Arial" w:cs="Arial" w:eastAsia="Arial" w:hAnsi="Arial"/>
                <w:sz w:val="13"/>
                <w:szCs w:val="13"/>
                <w:b w:val="1"/>
                <w:bCs w:val="1"/>
                <w:color w:val="auto"/>
              </w:rPr>
              <w:t>January 29,</w:t>
            </w:r>
          </w:p>
        </w:tc>
        <w:tc>
          <w:tcPr>
            <w:tcW w:w="100" w:type="dxa"/>
            <w:vAlign w:val="bottom"/>
          </w:tcPr>
          <w:p>
            <w:pPr>
              <w:spacing w:after="0"/>
              <w:rPr>
                <w:sz w:val="10"/>
                <w:szCs w:val="10"/>
                <w:color w:val="auto"/>
              </w:rPr>
            </w:pPr>
          </w:p>
        </w:tc>
      </w:tr>
      <w:tr>
        <w:trPr>
          <w:trHeight w:val="171"/>
        </w:trPr>
        <w:tc>
          <w:tcPr>
            <w:tcW w:w="59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59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4,854</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1"/>
              <w:spacing w:after="0"/>
              <w:rPr>
                <w:sz w:val="20"/>
                <w:szCs w:val="20"/>
                <w:color w:val="auto"/>
              </w:rPr>
            </w:pPr>
            <w:r>
              <w:rPr>
                <w:rFonts w:ascii="Arial" w:cs="Arial" w:eastAsia="Arial" w:hAnsi="Arial"/>
                <w:sz w:val="18"/>
                <w:szCs w:val="18"/>
                <w:color w:val="auto"/>
              </w:rPr>
              <w:t>(1,653)</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7,087</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623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r>
    </w:tbl>
    <w:p>
      <w:pPr>
        <w:spacing w:after="0" w:line="20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 xml:space="preserve">Cash Provided by Operating Activities. </w:t>
      </w:r>
      <w:r>
        <w:rPr>
          <w:rFonts w:ascii="Arial" w:cs="Arial" w:eastAsia="Arial" w:hAnsi="Arial"/>
          <w:sz w:val="18"/>
          <w:szCs w:val="18"/>
          <w:color w:val="auto"/>
        </w:rPr>
        <w:t>Net cash provided by operating activities for the nine months ended January 28, 2012 increased by $1.9 million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$4.9 million, compared to net cash provided by operating activities of $3.0 million for the nine months ended January 29, 2011. This increase in net cash provided by operating activities was primarily due to higher net income of $4.4 million, partially offset by lower depreciation of $1.7 million and higher working capital needs of $1.3 million.</w:t>
      </w:r>
    </w:p>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 xml:space="preserve">Cash Used in Investing Activities. </w:t>
      </w:r>
      <w:r>
        <w:rPr>
          <w:rFonts w:ascii="Arial" w:cs="Arial" w:eastAsia="Arial" w:hAnsi="Arial"/>
          <w:sz w:val="16"/>
          <w:szCs w:val="16"/>
          <w:color w:val="auto"/>
        </w:rPr>
        <w:t>Net cash used in investing activities increased by $8.8 million to $1.7 million for the nine months ended January 28, 2012,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net cash provided by investing activities of $7.1 million for the nine months ended January 29, 2011. The increase in net cash used in investing activities was primarily due to lower net sales of investments of $5.0 million and higher acquisitions of property and equipment of $3.6 million.</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 xml:space="preserve">Cash Provided by Financing Activities. </w:t>
      </w:r>
      <w:r>
        <w:rPr>
          <w:rFonts w:ascii="Arial" w:cs="Arial" w:eastAsia="Arial" w:hAnsi="Arial"/>
          <w:sz w:val="18"/>
          <w:szCs w:val="18"/>
          <w:color w:val="auto"/>
        </w:rPr>
        <w:t>Net cash provided by financing activities increased by $0.3 million to $0.6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28, 2012, compared to $0.3 million for the nine months ended January 29, 2011. During the nine months ended January 28, 2012, we received net proceeds from stock option exercises of $0.5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third quarter, there were no material changes in our off-balance sheet arrangements or contractual obligations and commercial commitments from those disclosed in the Form 10-K for the fiscal year ended April 30,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Please refer to Note 1 “Organization and Significant Accounting Policies” to our unaudited consolidated financial statements in Part I, Item 1 of this quarterly report for a discussion of new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 is our policy not to enter into interest rate derivative financial instruments. We do not currently have any significant interest rate exposure.</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Since a significant part of our sales and expenses are denominated in U.S. dollars, we have not experienced significant foreign exchange gains or losses to date, and do not expect to incur significant foreign exchange gains or losses in the future. We occasionally engage in forward contracts in foreign currencies to limit our exposure on non-U.S. dollar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w:t>
      </w:r>
    </w:p>
    <w:p>
      <w:pPr>
        <w:spacing w:after="0" w:line="1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Based on the foregoing, our Chief Executive Officer and Chief Financial Officer concluded that, as of the end of the period covered by this report, our disclosure controls and procedures were effective and were operating at a reasonable assurance level.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changes in our internal control over financial reporting or in other factors identified in connection with the evaluation required by paragraph</w:t>
      </w:r>
    </w:p>
    <w:p>
      <w:pPr>
        <w:spacing w:after="0" w:line="46" w:lineRule="exact"/>
        <w:rPr>
          <w:sz w:val="20"/>
          <w:szCs w:val="20"/>
          <w:color w:val="auto"/>
        </w:rPr>
      </w:pPr>
    </w:p>
    <w:p>
      <w:pPr>
        <w:ind w:firstLine="8"/>
        <w:spacing w:after="0" w:line="261"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of Exchange Act Rules 13a-15 or 15d-15 that occurred during the quarter ended January 28, 2012, that have materially affected, or are reasonably likely to materially affect, our internal control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are not currently a party to any material legal proceedings. We are, however, subject to lawsuits from time to time in the ordinary course of business.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There have been no material changes to the risk factors disclosed under Part I, Item 1A, “Risk Factors,” in our Annual Report on Form 10-K for the fiscal year ended April 30, 2011. Please refer to that section for disclosures regarding the risks and uncertainties related to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420"/>
          </w:cols>
          <w:pgMar w:left="240" w:top="517" w:right="239" w:bottom="0" w:gutter="0" w:footer="0" w:header="0"/>
        </w:sectPr>
      </w:pP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20" w:type="dxa"/>
            <w:vAlign w:val="bottom"/>
          </w:tcPr>
          <w:p>
            <w:pPr>
              <w:jc w:val="center"/>
              <w:ind w:right="2548"/>
              <w:spacing w:after="0"/>
              <w:rPr>
                <w:sz w:val="20"/>
                <w:szCs w:val="20"/>
                <w:color w:val="auto"/>
              </w:rPr>
            </w:pPr>
            <w:r>
              <w:rPr>
                <w:rFonts w:ascii="Arial" w:cs="Arial" w:eastAsia="Arial" w:hAnsi="Arial"/>
                <w:sz w:val="14"/>
                <w:szCs w:val="14"/>
                <w:b w:val="1"/>
                <w:bCs w:val="1"/>
                <w:color w:val="auto"/>
                <w:w w:val="98"/>
              </w:rPr>
              <w:t>Exhibit</w:t>
            </w:r>
          </w:p>
        </w:tc>
        <w:tc>
          <w:tcPr>
            <w:tcW w:w="3320" w:type="dxa"/>
            <w:vAlign w:val="bottom"/>
            <w:vMerge w:val="restart"/>
          </w:tcPr>
          <w:p>
            <w:pPr>
              <w:ind w:left="260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3120" w:type="dxa"/>
            <w:vAlign w:val="bottom"/>
          </w:tcPr>
          <w:p>
            <w:pPr>
              <w:jc w:val="center"/>
              <w:ind w:right="2528"/>
              <w:spacing w:after="0"/>
              <w:rPr>
                <w:sz w:val="20"/>
                <w:szCs w:val="20"/>
                <w:color w:val="auto"/>
              </w:rPr>
            </w:pPr>
            <w:r>
              <w:rPr>
                <w:rFonts w:ascii="Arial" w:cs="Arial" w:eastAsia="Arial" w:hAnsi="Arial"/>
                <w:sz w:val="14"/>
                <w:szCs w:val="14"/>
                <w:b w:val="1"/>
                <w:bCs w:val="1"/>
                <w:color w:val="auto"/>
                <w:w w:val="98"/>
              </w:rPr>
              <w:t>Number</w:t>
            </w:r>
          </w:p>
        </w:tc>
        <w:tc>
          <w:tcPr>
            <w:tcW w:w="3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13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13030"/>
                    </a:xfrm>
                    <a:prstGeom prst="rect">
                      <a:avLst/>
                    </a:prstGeom>
                    <a:noFill/>
                  </pic:spPr>
                </pic:pic>
              </a:graphicData>
            </a:graphic>
          </wp:anchor>
        </w:drawing>
      </w:r>
    </w:p>
    <w:p>
      <w:pPr>
        <w:sectPr>
          <w:pgSz w:w="11900" w:h="16838" w:orient="portrait"/>
          <w:cols w:equalWidth="0" w:num="1">
            <w:col w:w="11420"/>
          </w:cols>
          <w:pgMar w:left="240" w:top="517" w:right="239"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31.1</w:t>
            </w:r>
          </w:p>
        </w:tc>
        <w:tc>
          <w:tcPr>
            <w:tcW w:w="101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Certification of Chief Executive Officer pursuant to Rule 13a-14(a) and Rule 15d-14(a) of the Securities Exchange Act of 1934, as</w:t>
            </w:r>
          </w:p>
        </w:tc>
      </w:tr>
      <w:tr>
        <w:trPr>
          <w:trHeight w:val="230"/>
        </w:trPr>
        <w:tc>
          <w:tcPr>
            <w:tcW w:w="1280" w:type="dxa"/>
            <w:vAlign w:val="bottom"/>
            <w:shd w:val="clear" w:color="auto" w:fill="CCEEFF"/>
          </w:tcPr>
          <w:p>
            <w:pPr>
              <w:spacing w:after="0"/>
              <w:rPr>
                <w:sz w:val="20"/>
                <w:szCs w:val="20"/>
                <w:color w:val="auto"/>
              </w:rPr>
            </w:pPr>
          </w:p>
        </w:tc>
        <w:tc>
          <w:tcPr>
            <w:tcW w:w="10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amended.</w:t>
            </w:r>
          </w:p>
        </w:tc>
      </w:tr>
      <w:tr>
        <w:trPr>
          <w:trHeight w:val="202"/>
        </w:trPr>
        <w:tc>
          <w:tcPr>
            <w:tcW w:w="128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31.2</w:t>
            </w:r>
          </w:p>
        </w:tc>
        <w:tc>
          <w:tcPr>
            <w:tcW w:w="10140" w:type="dxa"/>
            <w:vAlign w:val="bottom"/>
          </w:tcPr>
          <w:p>
            <w:pPr>
              <w:ind w:left="380"/>
              <w:spacing w:after="0" w:line="201" w:lineRule="exact"/>
              <w:rPr>
                <w:sz w:val="20"/>
                <w:szCs w:val="20"/>
                <w:color w:val="auto"/>
              </w:rPr>
            </w:pPr>
            <w:r>
              <w:rPr>
                <w:rFonts w:ascii="Arial" w:cs="Arial" w:eastAsia="Arial" w:hAnsi="Arial"/>
                <w:sz w:val="18"/>
                <w:szCs w:val="18"/>
                <w:color w:val="auto"/>
                <w:w w:val="95"/>
              </w:rPr>
              <w:t>Certification of Chief Financial Officer pursuant to Rule 13a-14(a) and Rule 15d-14(a) of the Securities Exchange Act of 1934, as</w:t>
            </w:r>
          </w:p>
        </w:tc>
      </w:tr>
      <w:tr>
        <w:trPr>
          <w:trHeight w:val="230"/>
        </w:trPr>
        <w:tc>
          <w:tcPr>
            <w:tcW w:w="1280" w:type="dxa"/>
            <w:vAlign w:val="bottom"/>
          </w:tcPr>
          <w:p>
            <w:pPr>
              <w:spacing w:after="0"/>
              <w:rPr>
                <w:sz w:val="20"/>
                <w:szCs w:val="20"/>
                <w:color w:val="auto"/>
              </w:rPr>
            </w:pPr>
          </w:p>
        </w:tc>
        <w:tc>
          <w:tcPr>
            <w:tcW w:w="10140" w:type="dxa"/>
            <w:vAlign w:val="bottom"/>
          </w:tcPr>
          <w:p>
            <w:pPr>
              <w:ind w:left="380"/>
              <w:spacing w:after="0"/>
              <w:rPr>
                <w:sz w:val="20"/>
                <w:szCs w:val="20"/>
                <w:color w:val="auto"/>
              </w:rPr>
            </w:pPr>
            <w:r>
              <w:rPr>
                <w:rFonts w:ascii="Arial" w:cs="Arial" w:eastAsia="Arial" w:hAnsi="Arial"/>
                <w:sz w:val="18"/>
                <w:szCs w:val="18"/>
                <w:color w:val="auto"/>
              </w:rPr>
              <w:t>amended.</w:t>
            </w:r>
          </w:p>
        </w:tc>
      </w:tr>
    </w:tbl>
    <w:p>
      <w:pPr>
        <w:ind w:left="1660" w:right="580" w:hanging="1033"/>
        <w:spacing w:after="0" w:line="250" w:lineRule="auto"/>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380" w:type="dxa"/>
            <w:vAlign w:val="bottom"/>
          </w:tcPr>
          <w:p>
            <w:pPr>
              <w:jc w:val="center"/>
              <w:spacing w:after="0"/>
              <w:rPr>
                <w:sz w:val="20"/>
                <w:szCs w:val="20"/>
                <w:color w:val="auto"/>
              </w:rPr>
            </w:pPr>
            <w:r>
              <w:rPr>
                <w:rFonts w:ascii="Arial" w:cs="Arial" w:eastAsia="Arial" w:hAnsi="Arial"/>
                <w:sz w:val="18"/>
                <w:szCs w:val="18"/>
                <w:color w:val="auto"/>
                <w:w w:val="97"/>
              </w:rPr>
              <w:t>101.INS*</w:t>
            </w:r>
          </w:p>
        </w:tc>
        <w:tc>
          <w:tcPr>
            <w:tcW w:w="1004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216"/>
        </w:trPr>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101.SCH*</w:t>
            </w:r>
          </w:p>
        </w:tc>
        <w:tc>
          <w:tcPr>
            <w:tcW w:w="10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color w:val="auto"/>
                <w:w w:val="98"/>
              </w:rPr>
              <w:t>101.CAL*</w:t>
            </w:r>
          </w:p>
        </w:tc>
        <w:tc>
          <w:tcPr>
            <w:tcW w:w="10040" w:type="dxa"/>
            <w:vAlign w:val="bottom"/>
          </w:tcPr>
          <w:p>
            <w:pPr>
              <w:ind w:left="28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101.DEF*</w:t>
            </w:r>
          </w:p>
        </w:tc>
        <w:tc>
          <w:tcPr>
            <w:tcW w:w="10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color w:val="auto"/>
                <w:w w:val="99"/>
              </w:rPr>
              <w:t>101.LAB*</w:t>
            </w:r>
          </w:p>
        </w:tc>
        <w:tc>
          <w:tcPr>
            <w:tcW w:w="10040" w:type="dxa"/>
            <w:vAlign w:val="bottom"/>
          </w:tcPr>
          <w:p>
            <w:pPr>
              <w:ind w:left="280"/>
              <w:spacing w:after="0"/>
              <w:rPr>
                <w:sz w:val="20"/>
                <w:szCs w:val="20"/>
                <w:color w:val="auto"/>
              </w:rPr>
            </w:pPr>
            <w:r>
              <w:rPr>
                <w:rFonts w:ascii="Arial" w:cs="Arial" w:eastAsia="Arial" w:hAnsi="Arial"/>
                <w:sz w:val="18"/>
                <w:szCs w:val="18"/>
                <w:color w:val="auto"/>
              </w:rPr>
              <w:t>XBRL Taxonomy Label Linkbase Document.</w:t>
            </w:r>
          </w:p>
        </w:tc>
      </w:tr>
      <w:tr>
        <w:trPr>
          <w:trHeight w:val="216"/>
        </w:trPr>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101.PRE*</w:t>
            </w:r>
          </w:p>
        </w:tc>
        <w:tc>
          <w:tcPr>
            <w:tcW w:w="10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right="240" w:hanging="172"/>
        <w:spacing w:after="0" w:line="264"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 11 or 12 of the Securities Act of 1933, as amended, are deemed not filed for purposes of Section 18 of the Securities Exchange Act of 1934, as amended, and otherwise are not subject to liability under these sections.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tcPr>
          <w:p>
            <w:pPr>
              <w:jc w:val="right"/>
              <w:ind w:right="4750"/>
              <w:spacing w:after="0"/>
              <w:rPr>
                <w:sz w:val="20"/>
                <w:szCs w:val="20"/>
                <w:color w:val="auto"/>
              </w:rPr>
            </w:pPr>
            <w:r>
              <w:rPr>
                <w:rFonts w:ascii="Arial" w:cs="Arial" w:eastAsia="Arial" w:hAnsi="Arial"/>
                <w:sz w:val="18"/>
                <w:szCs w:val="18"/>
                <w:color w:val="auto"/>
                <w:w w:val="90"/>
              </w:rPr>
              <w:t>Date: March 6, 2012</w:t>
            </w:r>
          </w:p>
        </w:tc>
        <w:tc>
          <w:tcPr>
            <w:tcW w:w="5080" w:type="dxa"/>
            <w:vAlign w:val="bottom"/>
          </w:tcPr>
          <w:p>
            <w:pPr>
              <w:spacing w:after="0"/>
              <w:rPr>
                <w:sz w:val="20"/>
                <w:szCs w:val="20"/>
                <w:color w:val="auto"/>
              </w:rPr>
            </w:pPr>
            <w:r>
              <w:rPr>
                <w:rFonts w:ascii="Arial" w:cs="Arial" w:eastAsia="Arial" w:hAnsi="Arial"/>
                <w:sz w:val="18"/>
                <w:szCs w:val="18"/>
                <w:color w:val="auto"/>
              </w:rPr>
              <w:t>AEROVIRONMENT, INC.</w:t>
            </w:r>
          </w:p>
        </w:tc>
        <w:tc>
          <w:tcPr>
            <w:tcW w:w="40" w:type="dxa"/>
            <w:vAlign w:val="bottom"/>
          </w:tcPr>
          <w:p>
            <w:pPr>
              <w:spacing w:after="0"/>
              <w:rPr>
                <w:sz w:val="20"/>
                <w:szCs w:val="20"/>
                <w:color w:val="auto"/>
              </w:rPr>
            </w:pPr>
          </w:p>
        </w:tc>
      </w:tr>
      <w:tr>
        <w:trPr>
          <w:trHeight w:val="432"/>
        </w:trPr>
        <w:tc>
          <w:tcPr>
            <w:tcW w:w="6340" w:type="dxa"/>
            <w:vAlign w:val="bottom"/>
          </w:tcPr>
          <w:p>
            <w:pPr>
              <w:jc w:val="right"/>
              <w:ind w:right="25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E. Conver</w:t>
            </w:r>
          </w:p>
        </w:tc>
        <w:tc>
          <w:tcPr>
            <w:tcW w:w="40" w:type="dxa"/>
            <w:vAlign w:val="bottom"/>
          </w:tcPr>
          <w:p>
            <w:pPr>
              <w:spacing w:after="0"/>
              <w:rPr>
                <w:sz w:val="24"/>
                <w:szCs w:val="24"/>
                <w:color w:val="auto"/>
              </w:rPr>
            </w:pPr>
          </w:p>
        </w:tc>
      </w:tr>
      <w:tr>
        <w:trPr>
          <w:trHeight w:val="195"/>
        </w:trPr>
        <w:tc>
          <w:tcPr>
            <w:tcW w:w="6340" w:type="dxa"/>
            <w:vAlign w:val="bottom"/>
          </w:tcPr>
          <w:p>
            <w:pPr>
              <w:spacing w:after="0"/>
              <w:rPr>
                <w:sz w:val="16"/>
                <w:szCs w:val="16"/>
                <w:color w:val="auto"/>
              </w:rPr>
            </w:pP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Timothy E. Conver</w:t>
            </w:r>
          </w:p>
        </w:tc>
        <w:tc>
          <w:tcPr>
            <w:tcW w:w="40" w:type="dxa"/>
            <w:vAlign w:val="bottom"/>
          </w:tcPr>
          <w:p>
            <w:pPr>
              <w:spacing w:after="0"/>
              <w:rPr>
                <w:sz w:val="16"/>
                <w:szCs w:val="16"/>
                <w:color w:val="auto"/>
              </w:rPr>
            </w:pPr>
          </w:p>
        </w:tc>
      </w:tr>
      <w:tr>
        <w:trPr>
          <w:trHeight w:val="216"/>
        </w:trPr>
        <w:tc>
          <w:tcPr>
            <w:tcW w:w="63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c>
          <w:tcPr>
            <w:tcW w:w="40" w:type="dxa"/>
            <w:vAlign w:val="bottom"/>
          </w:tcPr>
          <w:p>
            <w:pPr>
              <w:spacing w:after="0"/>
              <w:rPr>
                <w:sz w:val="18"/>
                <w:szCs w:val="18"/>
                <w:color w:val="auto"/>
              </w:rPr>
            </w:pPr>
          </w:p>
        </w:tc>
      </w:tr>
      <w:tr>
        <w:trPr>
          <w:trHeight w:val="230"/>
        </w:trPr>
        <w:tc>
          <w:tcPr>
            <w:tcW w:w="63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432"/>
        </w:trPr>
        <w:tc>
          <w:tcPr>
            <w:tcW w:w="6340" w:type="dxa"/>
            <w:vAlign w:val="bottom"/>
          </w:tcPr>
          <w:p>
            <w:pPr>
              <w:spacing w:after="0"/>
              <w:rPr>
                <w:sz w:val="24"/>
                <w:szCs w:val="24"/>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Jikun Kim</w:t>
            </w:r>
          </w:p>
        </w:tc>
        <w:tc>
          <w:tcPr>
            <w:tcW w:w="40" w:type="dxa"/>
            <w:vAlign w:val="bottom"/>
          </w:tcPr>
          <w:p>
            <w:pPr>
              <w:spacing w:after="0"/>
              <w:rPr>
                <w:sz w:val="24"/>
                <w:szCs w:val="24"/>
                <w:color w:val="auto"/>
              </w:rPr>
            </w:pPr>
          </w:p>
        </w:tc>
      </w:tr>
      <w:tr>
        <w:trPr>
          <w:trHeight w:val="195"/>
        </w:trPr>
        <w:tc>
          <w:tcPr>
            <w:tcW w:w="6340" w:type="dxa"/>
            <w:vAlign w:val="bottom"/>
          </w:tcPr>
          <w:p>
            <w:pPr>
              <w:spacing w:after="0"/>
              <w:rPr>
                <w:sz w:val="16"/>
                <w:szCs w:val="16"/>
                <w:color w:val="auto"/>
              </w:rPr>
            </w:pP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Jikun Kim</w:t>
            </w:r>
          </w:p>
        </w:tc>
        <w:tc>
          <w:tcPr>
            <w:tcW w:w="40" w:type="dxa"/>
            <w:vAlign w:val="bottom"/>
          </w:tcPr>
          <w:p>
            <w:pPr>
              <w:spacing w:after="0"/>
              <w:rPr>
                <w:sz w:val="16"/>
                <w:szCs w:val="16"/>
                <w:color w:val="auto"/>
              </w:rPr>
            </w:pPr>
          </w:p>
        </w:tc>
      </w:tr>
      <w:tr>
        <w:trPr>
          <w:trHeight w:val="216"/>
        </w:trPr>
        <w:tc>
          <w:tcPr>
            <w:tcW w:w="63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18"/>
                <w:szCs w:val="18"/>
                <w:color w:val="auto"/>
              </w:rPr>
            </w:pPr>
          </w:p>
        </w:tc>
      </w:tr>
      <w:tr>
        <w:trPr>
          <w:trHeight w:val="230"/>
        </w:trPr>
        <w:tc>
          <w:tcPr>
            <w:tcW w:w="63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r>
      <w:tr>
        <w:trPr>
          <w:trHeight w:val="432"/>
        </w:trPr>
        <w:tc>
          <w:tcPr>
            <w:tcW w:w="6340" w:type="dxa"/>
            <w:vAlign w:val="bottom"/>
          </w:tcPr>
          <w:p>
            <w:pPr>
              <w:jc w:val="right"/>
              <w:ind w:right="450"/>
              <w:spacing w:after="0"/>
              <w:rPr>
                <w:sz w:val="20"/>
                <w:szCs w:val="20"/>
                <w:color w:val="auto"/>
              </w:rPr>
            </w:pPr>
            <w:r>
              <w:rPr>
                <w:rFonts w:ascii="Arial" w:cs="Arial" w:eastAsia="Arial" w:hAnsi="Arial"/>
                <w:sz w:val="18"/>
                <w:szCs w:val="18"/>
                <w:color w:val="auto"/>
              </w:rPr>
              <w:t>21</w:t>
            </w:r>
          </w:p>
        </w:tc>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340" w:type="dxa"/>
            <w:vAlign w:val="bottom"/>
            <w:tcBorders>
              <w:bottom w:val="single" w:sz="8" w:color="010101"/>
            </w:tcBorders>
          </w:tcPr>
          <w:p>
            <w:pPr>
              <w:spacing w:after="0"/>
              <w:rPr>
                <w:sz w:val="11"/>
                <w:szCs w:val="11"/>
                <w:color w:val="auto"/>
              </w:rPr>
            </w:pPr>
          </w:p>
        </w:tc>
        <w:tc>
          <w:tcPr>
            <w:tcW w:w="50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4" w:right="19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Timothy E. Conver, certify that:</w:t>
      </w:r>
    </w:p>
    <w:p>
      <w:pPr>
        <w:spacing w:after="0" w:line="225" w:lineRule="exact"/>
        <w:rPr>
          <w:sz w:val="20"/>
          <w:szCs w:val="20"/>
          <w:color w:val="auto"/>
        </w:rPr>
      </w:pPr>
    </w:p>
    <w:p>
      <w:pPr>
        <w:ind w:left="340" w:hanging="329"/>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225" w:lineRule="exact"/>
        <w:rPr>
          <w:rFonts w:ascii="Arial" w:cs="Arial" w:eastAsia="Arial" w:hAnsi="Arial"/>
          <w:sz w:val="18"/>
          <w:szCs w:val="18"/>
          <w:color w:val="auto"/>
        </w:rPr>
      </w:pPr>
    </w:p>
    <w:p>
      <w:pPr>
        <w:ind w:left="340" w:right="120" w:hanging="329"/>
        <w:spacing w:after="0" w:line="34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29"/>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40" w:hanging="329"/>
        <w:spacing w:after="0" w:line="264" w:lineRule="auto"/>
        <w:tabs>
          <w:tab w:leader="none" w:pos="35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480" w:hanging="329"/>
        <w:spacing w:after="0" w:line="308" w:lineRule="auto"/>
        <w:tabs>
          <w:tab w:leader="none" w:pos="353"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5"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2012</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Timothy E. Conver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Timothy E.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Jikun Kim, certify that:</w:t>
      </w:r>
    </w:p>
    <w:p>
      <w:pPr>
        <w:spacing w:after="0" w:line="225" w:lineRule="exact"/>
        <w:rPr>
          <w:sz w:val="20"/>
          <w:szCs w:val="20"/>
          <w:color w:val="auto"/>
        </w:rPr>
      </w:pPr>
    </w:p>
    <w:p>
      <w:pPr>
        <w:ind w:left="340" w:hanging="329"/>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225" w:lineRule="exact"/>
        <w:rPr>
          <w:rFonts w:ascii="Arial" w:cs="Arial" w:eastAsia="Arial" w:hAnsi="Arial"/>
          <w:sz w:val="18"/>
          <w:szCs w:val="18"/>
          <w:color w:val="auto"/>
        </w:rPr>
      </w:pPr>
    </w:p>
    <w:p>
      <w:pPr>
        <w:ind w:left="340" w:right="120" w:hanging="329"/>
        <w:spacing w:after="0" w:line="34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29"/>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29"/>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29"/>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2012</w:t>
      </w:r>
    </w:p>
    <w:p>
      <w:pPr>
        <w:spacing w:after="0" w:line="22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Jikun Kim</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-130810</wp:posOffset>
            </wp:positionV>
            <wp:extent cx="32156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29"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81"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The Quarterly Report on Form 10-Q for the quarter ended January 28, 2012 (the “Periodic Report”) of the Company fully complies with the requirements of Section 13(a) of the Securities Exchange Act of 1934 (15 U.S.C. 78m or 78o(d)) and information contained in the Periodic Report fairly presents, in all material respects, the financial condition and results of operations of the Company.</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Timothy E. Conver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Timothy E.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Chief Executive Officer and President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Jikun Kim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6, 2012</w:t>
      </w:r>
    </w:p>
    <w:p>
      <w:pPr>
        <w:spacing w:after="0" w:line="225"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4"/>
    </w:lvl>
  </w:abstractNum>
  <w:abstractNum w:abstractNumId="6">
    <w:nsid w:val="515F007C"/>
    <w:multiLevelType w:val="hybridMultilevel"/>
    <w:lvl w:ilvl="0">
      <w:lvlJc w:val="left"/>
      <w:lvlText w:val="%1"/>
      <w:numFmt w:val="decimal"/>
      <w:start w:val="32"/>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2019-12-09T18:20:44Z</dcterms:created>
  <dcterms:modified xsi:type="dcterms:W3CDTF">2019-12-09T18:20:44Z</dcterms:modified>
</cp:coreProperties>
</file>