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660" w:right="32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July 30, 2011</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AEROVIRONMENT,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800" w:type="dxa"/>
            <w:vAlign w:val="bottom"/>
          </w:tcPr>
          <w:p>
            <w:pPr>
              <w:jc w:val="right"/>
              <w:ind w:right="790"/>
              <w:spacing w:after="0"/>
              <w:rPr>
                <w:sz w:val="20"/>
                <w:szCs w:val="20"/>
                <w:color w:val="auto"/>
              </w:rPr>
            </w:pPr>
            <w:r>
              <w:rPr>
                <w:rFonts w:ascii="Arial" w:cs="Arial" w:eastAsia="Arial" w:hAnsi="Arial"/>
                <w:sz w:val="18"/>
                <w:szCs w:val="18"/>
                <w:b w:val="1"/>
                <w:bCs w:val="1"/>
                <w:color w:val="auto"/>
              </w:rPr>
              <w:t>95-2705790</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181 W. Huntington Drive, Suite 202</w:t>
            </w:r>
          </w:p>
        </w:tc>
        <w:tc>
          <w:tcPr>
            <w:tcW w:w="3800" w:type="dxa"/>
            <w:vAlign w:val="bottom"/>
          </w:tcPr>
          <w:p>
            <w:pPr>
              <w:spacing w:after="0"/>
              <w:rPr>
                <w:sz w:val="24"/>
                <w:szCs w:val="24"/>
                <w:color w:val="auto"/>
              </w:rPr>
            </w:pPr>
          </w:p>
        </w:tc>
      </w:t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Monrovia, California</w:t>
            </w:r>
          </w:p>
        </w:tc>
        <w:tc>
          <w:tcPr>
            <w:tcW w:w="3800" w:type="dxa"/>
            <w:vAlign w:val="bottom"/>
          </w:tcPr>
          <w:p>
            <w:pPr>
              <w:jc w:val="right"/>
              <w:ind w:right="1010"/>
              <w:spacing w:after="0"/>
              <w:rPr>
                <w:sz w:val="20"/>
                <w:szCs w:val="20"/>
                <w:color w:val="auto"/>
              </w:rPr>
            </w:pPr>
            <w:r>
              <w:rPr>
                <w:rFonts w:ascii="Arial" w:cs="Arial" w:eastAsia="Arial" w:hAnsi="Arial"/>
                <w:sz w:val="18"/>
                <w:szCs w:val="18"/>
                <w:b w:val="1"/>
                <w:bCs w:val="1"/>
                <w:color w:val="auto"/>
              </w:rPr>
              <w:t>91016</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(626) 357-9983</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p>
      <w:pPr>
        <w:ind w:left="1940"/>
        <w:spacing w:after="0"/>
        <w:tabs>
          <w:tab w:leader="none" w:pos="79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(Do not check if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August 26, 2011, the number of shares outstanding of the registrant’s common stock, $0.0001 par value, was 21,094,491.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5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2"/>
              </w:rPr>
              <w:t>AeroVironment, Inc.</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Table of Contents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8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Item 1.</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Financial Statements:</w:t>
              </w:r>
            </w:hyperlink>
          </w:p>
        </w:tc>
        <w:tc>
          <w:tcPr>
            <w:tcW w:w="5280" w:type="dxa"/>
            <w:vAlign w:val="bottom"/>
            <w:tcBorders>
              <w:bottom w:val="single" w:sz="8" w:color="CCEEFF"/>
            </w:tcBorders>
            <w:gridSpan w:val="8"/>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20" w:type="dxa"/>
            <w:vAlign w:val="bottom"/>
            <w:gridSpan w:val="16"/>
          </w:tcPr>
          <w:p>
            <w:pPr>
              <w:ind w:left="160"/>
              <w:spacing w:after="0" w:line="176" w:lineRule="exact"/>
              <w:rPr>
                <w:rFonts w:ascii="Arial" w:cs="Arial" w:eastAsia="Arial" w:hAnsi="Arial"/>
                <w:sz w:val="18"/>
                <w:szCs w:val="18"/>
                <w:color w:val="0000EE"/>
              </w:rPr>
            </w:pPr>
            <w:hyperlink w:anchor="page2">
              <w:r>
                <w:rPr>
                  <w:rFonts w:ascii="Arial" w:cs="Arial" w:eastAsia="Arial" w:hAnsi="Arial"/>
                  <w:sz w:val="18"/>
                  <w:szCs w:val="18"/>
                  <w:color w:val="0000EE"/>
                </w:rPr>
                <w:t>Consolidated Balance Sheets as of July 30, 2011 (Unaudited) and April 30, 2011</w:t>
              </w:r>
            </w:hyperlink>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40" w:type="dxa"/>
            <w:vAlign w:val="bottom"/>
            <w:gridSpan w:val="22"/>
            <w:shd w:val="clear" w:color="auto" w:fill="CCEEFF"/>
          </w:tcPr>
          <w:p>
            <w:pPr>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Operations for the three months ended July 30, 2011 (Unaudited) and July 31, 2010 (Unaudited)</w:t>
              </w:r>
            </w:hyperlink>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40" w:type="dxa"/>
            <w:vAlign w:val="bottom"/>
            <w:gridSpan w:val="22"/>
          </w:tcPr>
          <w:p>
            <w:pPr>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Cash Flows for the three months ended July 30, 2011 (Unaudited) and July 31, 2010 (Unaudited)</w:t>
              </w:r>
            </w:hyperlink>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5</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40" w:type="dxa"/>
            <w:vAlign w:val="bottom"/>
            <w:gridSpan w:val="17"/>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Notes to Consolidated Financial Statements (Unaudited)</w:t>
              </w:r>
            </w:hyperlink>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Item 2.</w:t>
              </w:r>
            </w:hyperlink>
          </w:p>
        </w:tc>
        <w:tc>
          <w:tcPr>
            <w:tcW w:w="100" w:type="dxa"/>
            <w:vAlign w:val="bottom"/>
          </w:tcPr>
          <w:p>
            <w:pPr>
              <w:spacing w:after="0"/>
              <w:rPr>
                <w:sz w:val="15"/>
                <w:szCs w:val="15"/>
                <w:color w:val="auto"/>
              </w:rPr>
            </w:pPr>
          </w:p>
        </w:tc>
        <w:tc>
          <w:tcPr>
            <w:tcW w:w="6840" w:type="dxa"/>
            <w:vAlign w:val="bottom"/>
            <w:gridSpan w:val="17"/>
          </w:tcPr>
          <w:p>
            <w:pPr>
              <w:spacing w:after="0" w:line="176" w:lineRule="exact"/>
              <w:rPr>
                <w:rFonts w:ascii="Arial" w:cs="Arial" w:eastAsia="Arial" w:hAnsi="Arial"/>
                <w:sz w:val="18"/>
                <w:szCs w:val="18"/>
                <w:color w:val="0000EE"/>
                <w:w w:val="96"/>
              </w:rPr>
            </w:pPr>
            <w:hyperlink w:anchor="page9">
              <w:r>
                <w:rPr>
                  <w:rFonts w:ascii="Arial" w:cs="Arial" w:eastAsia="Arial" w:hAnsi="Arial"/>
                  <w:sz w:val="18"/>
                  <w:szCs w:val="18"/>
                  <w:color w:val="0000EE"/>
                  <w:w w:val="96"/>
                </w:rPr>
                <w:t>Management’s Discussion and Analysis of Financial Condition and Results of Operations</w:t>
              </w:r>
            </w:hyperlink>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Item 3.</w:t>
              </w:r>
            </w:hyperlink>
          </w:p>
        </w:tc>
        <w:tc>
          <w:tcPr>
            <w:tcW w:w="640" w:type="dxa"/>
            <w:vAlign w:val="bottom"/>
            <w:gridSpan w:val="3"/>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40" w:type="dxa"/>
            <w:vAlign w:val="bottom"/>
            <w:gridSpan w:val="17"/>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Quantitative and Qualitative Disclosures About Market Risk</w:t>
              </w:r>
            </w:hyperlink>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Item 4.</w:t>
              </w:r>
            </w:hyperlink>
          </w:p>
        </w:tc>
        <w:tc>
          <w:tcPr>
            <w:tcW w:w="640" w:type="dxa"/>
            <w:vAlign w:val="bottom"/>
            <w:tcBorders>
              <w:top w:val="single" w:sz="8" w:color="CCEEFF"/>
            </w:tcBorders>
            <w:gridSpan w:val="3"/>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Controls and Procedures</w:t>
              </w:r>
            </w:hyperlink>
          </w:p>
        </w:tc>
        <w:tc>
          <w:tcPr>
            <w:tcW w:w="2480" w:type="dxa"/>
            <w:vAlign w:val="bottom"/>
            <w:tcBorders>
              <w:top w:val="single" w:sz="8" w:color="CCEEFF"/>
            </w:tcBorders>
            <w:gridSpan w:val="3"/>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80" w:type="dxa"/>
            <w:vAlign w:val="bottom"/>
            <w:gridSpan w:val="22"/>
          </w:tcPr>
          <w:p>
            <w:pPr>
              <w:spacing w:after="0" w:line="17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PART II. OTHER INFORMATION</w:t>
              </w:r>
            </w:hyperlink>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Item 1.</w:t>
              </w:r>
            </w:hyperlink>
          </w:p>
        </w:tc>
        <w:tc>
          <w:tcPr>
            <w:tcW w:w="6940" w:type="dxa"/>
            <w:vAlign w:val="bottom"/>
            <w:gridSpan w:val="18"/>
          </w:tcPr>
          <w:p>
            <w:pPr>
              <w:ind w:left="10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Legal Proceedings</w:t>
              </w:r>
            </w:hyperlink>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18</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Item 1A.</w:t>
              </w:r>
            </w:hyperlink>
          </w:p>
        </w:tc>
        <w:tc>
          <w:tcPr>
            <w:tcW w:w="6940" w:type="dxa"/>
            <w:vAlign w:val="bottom"/>
            <w:gridSpan w:val="18"/>
            <w:shd w:val="clear" w:color="auto" w:fill="CCEEFF"/>
          </w:tcPr>
          <w:p>
            <w:pPr>
              <w:ind w:left="10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Item 2.</w:t>
              </w:r>
            </w:hyperlink>
          </w:p>
        </w:tc>
        <w:tc>
          <w:tcPr>
            <w:tcW w:w="5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840" w:type="dxa"/>
            <w:vAlign w:val="bottom"/>
            <w:gridSpan w:val="17"/>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Unregistered Sales of Equity Securities and Use of Proceeds</w:t>
              </w:r>
            </w:hyperlink>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18</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Item 3.</w:t>
              </w:r>
            </w:hyperlink>
          </w:p>
        </w:tc>
        <w:tc>
          <w:tcPr>
            <w:tcW w:w="640" w:type="dxa"/>
            <w:vAlign w:val="bottom"/>
            <w:gridSpan w:val="3"/>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40" w:type="dxa"/>
            <w:vAlign w:val="bottom"/>
            <w:gridSpan w:val="17"/>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Defaults Upon Senior Securities</w:t>
              </w:r>
            </w:hyperlink>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4.</w:t>
              </w:r>
            </w:hyperlink>
          </w:p>
        </w:tc>
        <w:tc>
          <w:tcPr>
            <w:tcW w:w="640" w:type="dxa"/>
            <w:vAlign w:val="bottom"/>
            <w:tcBorders>
              <w:top w:val="single" w:sz="8" w:color="CCEEFF"/>
            </w:tcBorders>
            <w:gridSpan w:val="3"/>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32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Reserved</w:t>
              </w:r>
            </w:hyperlink>
          </w:p>
        </w:tc>
        <w:tc>
          <w:tcPr>
            <w:tcW w:w="4520" w:type="dxa"/>
            <w:vAlign w:val="bottom"/>
            <w:tcBorders>
              <w:top w:val="single" w:sz="8" w:color="CCEEFF"/>
            </w:tcBorders>
            <w:gridSpan w:val="5"/>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5.</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Other Information</w:t>
              </w:r>
            </w:hyperlink>
          </w:p>
        </w:tc>
        <w:tc>
          <w:tcPr>
            <w:tcW w:w="5520" w:type="dxa"/>
            <w:vAlign w:val="bottom"/>
            <w:tcBorders>
              <w:bottom w:val="single" w:sz="8" w:color="CCEEFF"/>
            </w:tcBorders>
            <w:gridSpan w:val="11"/>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6.</w:t>
              </w:r>
            </w:hyperlink>
          </w:p>
        </w:tc>
        <w:tc>
          <w:tcPr>
            <w:tcW w:w="6940" w:type="dxa"/>
            <w:vAlign w:val="bottom"/>
            <w:gridSpan w:val="18"/>
          </w:tcPr>
          <w:p>
            <w:pPr>
              <w:ind w:left="10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Exhibits</w:t>
              </w:r>
            </w:hyperlink>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Signatures</w:t>
              </w:r>
            </w:hyperlink>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Exhibit Index</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80" w:type="dxa"/>
            <w:vAlign w:val="bottom"/>
            <w:gridSpan w:val="16"/>
          </w:tcPr>
          <w:p>
            <w:pPr>
              <w:jc w:val="center"/>
              <w:ind w:left="2930"/>
              <w:spacing w:after="0"/>
              <w:rPr>
                <w:sz w:val="20"/>
                <w:szCs w:val="20"/>
                <w:color w:val="auto"/>
              </w:rPr>
            </w:pPr>
            <w:r>
              <w:rPr>
                <w:rFonts w:ascii="Arial" w:cs="Arial" w:eastAsia="Arial" w:hAnsi="Arial"/>
                <w:sz w:val="18"/>
                <w:szCs w:val="18"/>
                <w:color w:val="auto"/>
                <w:w w:val="99"/>
              </w:rPr>
              <w:t>2</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gridSpan w:val="2"/>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100" w:type="dxa"/>
            <w:vAlign w:val="bottom"/>
            <w:gridSpan w:val="2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23"/>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2"/>
              </w:rPr>
              <w:t>AeroVironment, Inc.</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7"/>
              </w:rPr>
              <w:t>Consolidated Balance Sheets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(In thousands except share and per share data)</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July 30,</w:t>
            </w:r>
          </w:p>
        </w:tc>
        <w:tc>
          <w:tcPr>
            <w:tcW w:w="1500" w:type="dxa"/>
            <w:vAlign w:val="bottom"/>
            <w:gridSpan w:val="6"/>
          </w:tcPr>
          <w:p>
            <w:pPr>
              <w:ind w:left="40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w w:val="91"/>
              </w:rPr>
              <w:t>Current 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81,247</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ind w:left="16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106,883</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126,839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gridSpan w:val="2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Accounts receivable, net of allowance for doubtful accounts of $969 at July 30, 2011 and $639 at April 30,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4"/>
              </w:rPr>
              <w:t>2011</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22,034</w:t>
            </w: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ind w:left="160"/>
              <w:spacing w:after="0"/>
              <w:rPr>
                <w:sz w:val="20"/>
                <w:szCs w:val="20"/>
                <w:color w:val="auto"/>
              </w:rPr>
            </w:pPr>
            <w:r>
              <w:rPr>
                <w:rFonts w:ascii="Arial" w:cs="Arial" w:eastAsia="Arial" w:hAnsi="Arial"/>
                <w:sz w:val="18"/>
                <w:szCs w:val="18"/>
                <w:color w:val="auto"/>
              </w:rPr>
              <w:t>Unbilled receivables and retentions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13,399</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21,966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38,299</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ind w:left="160"/>
              <w:spacing w:after="0"/>
              <w:rPr>
                <w:sz w:val="20"/>
                <w:szCs w:val="20"/>
                <w:color w:val="auto"/>
              </w:rPr>
            </w:pPr>
            <w:r>
              <w:rPr>
                <w:rFonts w:ascii="Arial" w:cs="Arial" w:eastAsia="Arial" w:hAnsi="Arial"/>
                <w:sz w:val="18"/>
                <w:szCs w:val="18"/>
                <w:color w:val="auto"/>
              </w:rPr>
              <w:t>Income tax receivable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745</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2,460</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2,176</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gridSpan w:val="2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267,243</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298,031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6,154</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18,134</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9,760</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301,472</w:t>
            </w:r>
          </w:p>
        </w:tc>
        <w:tc>
          <w:tcPr>
            <w:tcW w:w="2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331,747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80" w:type="dxa"/>
            <w:vAlign w:val="bottom"/>
            <w:tcBorders>
              <w:top w:val="single" w:sz="8" w:color="CCEEFF"/>
            </w:tcBorders>
            <w:gridSpan w:val="2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12,549</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ind w:left="160"/>
              <w:spacing w:after="0"/>
              <w:rPr>
                <w:sz w:val="20"/>
                <w:szCs w:val="20"/>
                <w:color w:val="auto"/>
              </w:rPr>
            </w:pPr>
            <w:r>
              <w:rPr>
                <w:rFonts w:ascii="Arial" w:cs="Arial" w:eastAsia="Arial" w:hAnsi="Arial"/>
                <w:sz w:val="18"/>
                <w:szCs w:val="18"/>
                <w:color w:val="auto"/>
              </w:rPr>
              <w:t>Wages and related accruals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9,024</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15,458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ind w:left="16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7,535</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shd w:val="clear" w:color="auto" w:fill="CCEEFF"/>
          </w:tcPr>
          <w:p>
            <w:pPr>
              <w:ind w:left="160"/>
              <w:spacing w:after="0"/>
              <w:rPr>
                <w:sz w:val="20"/>
                <w:szCs w:val="20"/>
                <w:color w:val="auto"/>
              </w:rPr>
            </w:pPr>
            <w:r>
              <w:rPr>
                <w:rFonts w:ascii="Arial" w:cs="Arial" w:eastAsia="Arial" w:hAnsi="Arial"/>
                <w:sz w:val="18"/>
                <w:szCs w:val="18"/>
                <w:color w:val="auto"/>
              </w:rPr>
              <w:t>Liability for uncertain tax positions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22"/>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29,832</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Wages and other accruals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1,056</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1,245</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Liability for uncertain tax positions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4,138</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ind w:left="160"/>
              <w:spacing w:after="0"/>
              <w:rPr>
                <w:sz w:val="20"/>
                <w:szCs w:val="20"/>
                <w:color w:val="auto"/>
              </w:rPr>
            </w:pPr>
            <w:r>
              <w:rPr>
                <w:rFonts w:ascii="Arial" w:cs="Arial" w:eastAsia="Arial" w:hAnsi="Arial"/>
                <w:sz w:val="18"/>
                <w:szCs w:val="18"/>
                <w:color w:val="auto"/>
              </w:rPr>
              <w:t>Preferred stock, $0.0001 par value: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shd w:val="clear" w:color="auto" w:fill="CCEEFF"/>
          </w:tcPr>
          <w:p>
            <w:pPr>
              <w:ind w:left="340"/>
              <w:spacing w:after="0"/>
              <w:rPr>
                <w:sz w:val="20"/>
                <w:szCs w:val="20"/>
                <w:color w:val="auto"/>
              </w:rPr>
            </w:pPr>
            <w:r>
              <w:rPr>
                <w:rFonts w:ascii="Arial" w:cs="Arial" w:eastAsia="Arial" w:hAnsi="Arial"/>
                <w:sz w:val="18"/>
                <w:szCs w:val="18"/>
                <w:color w:val="auto"/>
              </w:rPr>
              <w:t>Authorized shares — 10,000,000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gridSpan w:val="22"/>
          </w:tcPr>
          <w:p>
            <w:pPr>
              <w:ind w:left="340"/>
              <w:spacing w:after="0"/>
              <w:rPr>
                <w:sz w:val="20"/>
                <w:szCs w:val="20"/>
                <w:color w:val="auto"/>
              </w:rPr>
            </w:pPr>
            <w:r>
              <w:rPr>
                <w:rFonts w:ascii="Arial" w:cs="Arial" w:eastAsia="Arial" w:hAnsi="Arial"/>
                <w:sz w:val="18"/>
                <w:szCs w:val="18"/>
                <w:color w:val="auto"/>
              </w:rPr>
              <w:t>None issued or outstanding</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-6485255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-6485255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25" w:orient="portrait"/>
          <w:cols w:equalWidth="0" w:num="1">
            <w:col w:w="11460"/>
          </w:cols>
          <w:pgMar w:left="240" w:top="337"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$0.0001 par value:</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Authorized shares — 100,000,000</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Issued and outstanding shares — 22,094,291 at July 30, 2011 and 21,949,884 at April 30, 2011</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121,170</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119,765</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(784)</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144,811</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144,485</w:t>
            </w:r>
          </w:p>
        </w:tc>
        <w:tc>
          <w:tcPr>
            <w:tcW w:w="80" w:type="dxa"/>
            <w:vAlign w:val="bottom"/>
          </w:tcPr>
          <w:p>
            <w:pPr>
              <w:spacing w:after="0"/>
              <w:rPr>
                <w:sz w:val="18"/>
                <w:szCs w:val="18"/>
                <w:color w:val="auto"/>
              </w:rPr>
            </w:pPr>
          </w:p>
        </w:tc>
      </w:t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265,201</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301,472</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331,747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July 30,</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72"/>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Product sales</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29,299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Contract services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32,698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61,997</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38,228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Product sales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17,872</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8,686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Contract services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22,410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40,282</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13,700</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7,586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(3,743)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 data:</w:t>
            </w: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9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0.01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21,724,053</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21,545,870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22,238,117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21,545,870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80" w:type="dxa"/>
            <w:vAlign w:val="bottom"/>
            <w:gridSpan w:val="3"/>
          </w:tcPr>
          <w:p>
            <w:pPr>
              <w:jc w:val="center"/>
              <w:ind w:left="1510"/>
              <w:spacing w:after="0"/>
              <w:rPr>
                <w:sz w:val="20"/>
                <w:szCs w:val="20"/>
                <w:color w:val="auto"/>
              </w:rPr>
            </w:pPr>
            <w:r>
              <w:rPr>
                <w:rFonts w:ascii="Arial" w:cs="Arial" w:eastAsia="Arial" w:hAnsi="Arial"/>
                <w:sz w:val="18"/>
                <w:szCs w:val="18"/>
                <w:color w:val="auto"/>
                <w:w w:val="89"/>
              </w:rPr>
              <w:t>See accompanying notes to consolidated financial statements (unaudited).</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3"/>
          </w:tcPr>
          <w:p>
            <w:pPr>
              <w:jc w:val="center"/>
              <w:ind w:left="3330"/>
              <w:spacing w:after="0"/>
              <w:rPr>
                <w:sz w:val="20"/>
                <w:szCs w:val="20"/>
                <w:color w:val="auto"/>
              </w:rPr>
            </w:pPr>
            <w:r>
              <w:rPr>
                <w:rFonts w:ascii="Arial" w:cs="Arial" w:eastAsia="Arial" w:hAnsi="Arial"/>
                <w:sz w:val="18"/>
                <w:szCs w:val="18"/>
                <w:color w:val="auto"/>
                <w:w w:val="99"/>
              </w:rPr>
              <w:t>4</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7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720" w:type="dxa"/>
            <w:vAlign w:val="bottom"/>
          </w:tcPr>
          <w:p>
            <w:pPr>
              <w:jc w:val="center"/>
              <w:ind w:left="2050"/>
              <w:spacing w:after="0"/>
              <w:rPr>
                <w:sz w:val="20"/>
                <w:szCs w:val="20"/>
                <w:color w:val="auto"/>
              </w:rPr>
            </w:pPr>
            <w:r>
              <w:rPr>
                <w:rFonts w:ascii="Arial" w:cs="Arial" w:eastAsia="Arial" w:hAnsi="Arial"/>
                <w:sz w:val="18"/>
                <w:szCs w:val="18"/>
                <w:b w:val="1"/>
                <w:bCs w:val="1"/>
                <w:color w:val="auto"/>
                <w:w w:val="92"/>
              </w:rPr>
              <w:t>AeroVironment, Inc.</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jc w:val="center"/>
              <w:ind w:left="207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20" w:type="dxa"/>
            <w:vAlign w:val="bottom"/>
          </w:tcPr>
          <w:p>
            <w:pPr>
              <w:jc w:val="center"/>
              <w:ind w:left="207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July 30,</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72"/>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326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(3,443)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cash provided by (used in) operating activities: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1,970</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doubtful accounts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Tax benefit from exercise of stock options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Excess tax benefit from stock-based compensation</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Gain on sale of property and equipment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22,012</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Unbilled receivables and retentions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8,567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80" w:type="dxa"/>
            <w:vAlign w:val="bottom"/>
            <w:gridSpan w:val="2"/>
            <w:shd w:val="clear" w:color="auto" w:fill="CCEEFF"/>
          </w:tcPr>
          <w:p>
            <w:pPr>
              <w:ind w:left="340"/>
              <w:spacing w:after="0" w:line="205" w:lineRule="exact"/>
              <w:rPr>
                <w:sz w:val="20"/>
                <w:szCs w:val="20"/>
                <w:color w:val="auto"/>
              </w:rPr>
            </w:pPr>
            <w:r>
              <w:rPr>
                <w:rFonts w:ascii="Arial" w:cs="Arial" w:eastAsia="Arial" w:hAnsi="Arial"/>
                <w:sz w:val="18"/>
                <w:szCs w:val="18"/>
                <w:color w:val="auto"/>
              </w:rPr>
              <w:t>Income tax receivable</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(745)</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(2,743)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-3416300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-3416300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196</w:t>
            </w:r>
          </w:p>
        </w:tc>
        <w:tc>
          <w:tcPr>
            <w:tcW w:w="4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(18,585)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(13,343)</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(10,855)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property and equipment</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Proceeds from the sale of property and equipment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sales of held-to-maturity investments</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19,956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sales of available-for-sale investments</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17,475</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19,206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62,041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28,665</w:t>
            </w:r>
          </w:p>
        </w:tc>
        <w:tc>
          <w:tcPr>
            <w:tcW w:w="0" w:type="dxa"/>
            <w:vAlign w:val="bottom"/>
          </w:tcPr>
          <w:p>
            <w:pPr>
              <w:spacing w:after="0"/>
              <w:rPr>
                <w:sz w:val="1"/>
                <w:szCs w:val="1"/>
                <w:color w:val="auto"/>
              </w:rPr>
            </w:pPr>
          </w:p>
        </w:tc>
      </w:tr>
      <w:tr>
        <w:trPr>
          <w:trHeight w:val="250"/>
        </w:trPr>
        <w:tc>
          <w:tcPr>
            <w:tcW w:w="80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81,247</w:t>
            </w:r>
          </w:p>
        </w:tc>
        <w:tc>
          <w:tcPr>
            <w:tcW w:w="2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Supplemental disclosure:</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Unrealized gains on long-term investments recorded in other comprehensive income (loss), net of deferred</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of $2 and $9, respectively</w:t>
            </w:r>
          </w:p>
        </w:tc>
        <w:tc>
          <w:tcPr>
            <w:tcW w:w="7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AeroVironment, Inc., a Delaware corporation (the “Company”), is engaged in the design, development, production and support of unmanned aircraft systems and efficient energy systems for various industries and governmental agencies.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for interim financial information and with the instructions of Form 10-Q and Article 10 of Regulation S-X. Accordingly, they do not include all of the information and footnotes required by accounting principles generally accepted in the United States for complete financial statements. In the opinion of management, all adjustments, consisting only of normal recurring adjustments necessary for a fair presentation with respect to the interim financial statements have been included. The results of operations for the three months ended July 30, 2011 are not necessarily indicative of the results for the full year ending April 30, 2012. For further information, refer to the consolidated financial statements and footnotes thereto for the year ended April 30, 2011, included in AeroVironment, Inc.’s Annual Report on Form 10-K.</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pacing w:after="0" w:line="166"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operating results of wholly-owned subsidiaries. All significant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products are sold and divided among two reportable segments to reflect the Company’s strategic goals. Operating segments are defined as components of an enterprise from which separate financial information is available that is evaluated regularly by the Chief Operating Decision Maker (“CODM”) in deciding how to allocate resources and in assessing performance. The Company’s CODM is the Chief Executive Officer, who reviews the revenue and gross margin results for each of these segments in order to make resource allocation decisions, including the focus of research and development (“R&amp;D”) activities and assessing performance. The Company’s reportable segments are business units that offer different products and services and are managed separately.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investments are accounted for as held-to-maturity and available-for-sale and reported at amortized cost and fair value,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retentions and accounts payable approximate cost due to the short period of time to maturity.</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 Contracts</w:t>
      </w:r>
    </w:p>
    <w:p>
      <w:pPr>
        <w:sectPr>
          <w:pgSz w:w="11900" w:h="16838" w:orient="portrait"/>
          <w:cols w:equalWidth="0" w:num="1">
            <w:col w:w="11420"/>
          </w:cols>
          <w:pgMar w:left="240" w:top="125" w:right="239" w:bottom="0" w:gutter="0" w:footer="0" w:header="0"/>
          <w:type w:val="continuous"/>
        </w:sectPr>
      </w:pPr>
    </w:p>
    <w:bookmarkStart w:id="4" w:name="page5"/>
    <w:bookmarkEnd w:id="4"/>
    <w:p>
      <w:pPr>
        <w:ind w:right="220"/>
        <w:spacing w:after="0" w:line="259" w:lineRule="auto"/>
        <w:rPr>
          <w:sz w:val="20"/>
          <w:szCs w:val="20"/>
          <w:color w:val="auto"/>
        </w:rPr>
      </w:pPr>
      <w:r>
        <w:rPr>
          <w:rFonts w:ascii="Arial" w:cs="Arial" w:eastAsia="Arial" w:hAnsi="Arial"/>
          <w:sz w:val="18"/>
          <w:szCs w:val="18"/>
          <w:color w:val="auto"/>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billing rates, may create an additional receivable or liability for the Company.</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example, during the course of its audits, the DCAA may question the Company’s incurred project costs, and if the DCAA believes the Company has accounted for such costs in a manner inconsistent with the requirements under Federal Acquisition Regulations, the DCAA auditor may recommend to the Company’s administrative contracting officer to disallow such costs. The Company can provide no assurance that the DCAA or other government audits will not result in material disallowances for incurred costs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Basic earnings (loss) per share is computed using the weighted-average number of common shares outstanding, excluding shares of unvested restricted stock. The dilutive effect of potential common shares outstanding is included in diluted earnings per share and excludes any anti-dilutive effects of options and shares of unvested restricted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diluted to basic shares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312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830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July 30,</w:t>
            </w:r>
          </w:p>
        </w:tc>
        <w:tc>
          <w:tcPr>
            <w:tcW w:w="1380" w:type="dxa"/>
            <w:vAlign w:val="bottom"/>
            <w:tcBorders>
              <w:top w:val="single" w:sz="8" w:color="auto"/>
            </w:tcBorders>
          </w:tcPr>
          <w:p>
            <w:pPr>
              <w:jc w:val="right"/>
              <w:ind w:right="378"/>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gridSpan w:val="2"/>
          </w:tcPr>
          <w:p>
            <w:pPr>
              <w:spacing w:after="0"/>
              <w:rPr>
                <w:sz w:val="10"/>
                <w:szCs w:val="10"/>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 for basic earnings (loss) per share:</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 excluding unvested restricted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21,724,053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21,545,870</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employee stock options and unvested restricted stock</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514,064</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300" w:type="dxa"/>
            <w:vAlign w:val="bottom"/>
          </w:tcPr>
          <w:p>
            <w:pPr>
              <w:ind w:left="180"/>
              <w:spacing w:after="0"/>
              <w:rPr>
                <w:sz w:val="20"/>
                <w:szCs w:val="20"/>
                <w:color w:val="auto"/>
              </w:rPr>
            </w:pPr>
            <w:r>
              <w:rPr>
                <w:rFonts w:ascii="Arial" w:cs="Arial" w:eastAsia="Arial" w:hAnsi="Arial"/>
                <w:sz w:val="18"/>
                <w:szCs w:val="18"/>
                <w:color w:val="auto"/>
              </w:rPr>
              <w:t>Denominator for diluted earnings (loss) per share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22,238,117</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21,545,870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During the three months ended July 30, 2011, certain shares reserved for issuance upon exercise of stock options and shares of unvested restricted stock were not included in the computation of diluted earnings per share because their inclusion would have been anti-dilutive. The number of shares reserved for issuance upon exercise of stock options and shares of unvested restricted stock that met this anti-dilutive criterion was approximately 19,000 for the three months ended July 30, 2011. Due to the net loss for the three months ended July 31, 2010, no shares reserved for issuance upon exercise of stock options or shares of unvested restricted stock were included in the computation of diluted loss per share as their inclusion would have been anti-dilutive.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June 2011, the Financial Accounting Standards Board (“FASB”) issued accounting guidance which requires companies to present the total of comprehensive income, the components of net income, and the components of other comprehensive income either in a single continuous statement of comprehensive income or in two separate but consecutive statements. The new guidance eliminates the option to present the components of other comprehensive income as part of the statement of equity. The new guidance is effective for the Company’s interim and annual reporting periods beginning on May 1, 2012 and will be applied retrospectively, with early adoption permitted. The Company does not expect the adoption of this new guidance to have a material impact on the Company’s consolidated financial statements, other than the change in presentation described in the new guidance.</w:t>
      </w:r>
    </w:p>
    <w:p>
      <w:pPr>
        <w:spacing w:after="0" w:line="165" w:lineRule="exact"/>
        <w:rPr>
          <w:sz w:val="20"/>
          <w:szCs w:val="20"/>
          <w:color w:val="auto"/>
        </w:rPr>
      </w:pPr>
    </w:p>
    <w:p>
      <w:pPr>
        <w:ind w:right="300" w:firstLine="324"/>
        <w:spacing w:after="0" w:line="276" w:lineRule="auto"/>
        <w:rPr>
          <w:sz w:val="20"/>
          <w:szCs w:val="20"/>
          <w:color w:val="auto"/>
        </w:rPr>
      </w:pPr>
      <w:r>
        <w:rPr>
          <w:rFonts w:ascii="Arial" w:cs="Arial" w:eastAsia="Arial" w:hAnsi="Arial"/>
          <w:sz w:val="17"/>
          <w:szCs w:val="17"/>
          <w:color w:val="auto"/>
        </w:rPr>
        <w:t>In May 2011, the FASB issued accounting guidance to provide a consistent definition of fair value and to ensure that the fair value measurement and disclosure requirements are similar between generally accepted accounting principles in the United States and International Financial Reporting Standards. The new guidance changes certain fair value measurement principles and enhances the disclosure requirements particularly for Level 3 fair value measurements. The new guidance is effective for the Company’s interim and annual reporting periods beginning on May 1, 2012 and will be applied prospectively. The Company is currently evaluating the potential impact of this adoption on its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30,</w:t>
            </w:r>
          </w:p>
        </w:tc>
        <w:tc>
          <w:tcPr>
            <w:tcW w:w="3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 )</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4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Held-to-maturity securities:</w:t>
            </w:r>
          </w:p>
        </w:tc>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bills</w:t>
            </w:r>
          </w:p>
        </w:tc>
        <w:tc>
          <w:tcPr>
            <w:tcW w:w="4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106,883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short-term investments</w:t>
            </w:r>
          </w:p>
        </w:tc>
        <w:tc>
          <w:tcPr>
            <w:tcW w:w="41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106,883</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126,839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Long-term investments:</w:t>
            </w:r>
          </w:p>
        </w:tc>
        <w:tc>
          <w:tcPr>
            <w:tcW w:w="4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Auction rate securities</w:t>
            </w:r>
          </w:p>
        </w:tc>
        <w:tc>
          <w:tcPr>
            <w:tcW w:w="4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6,154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540"/>
              <w:spacing w:after="0"/>
              <w:rPr>
                <w:sz w:val="20"/>
                <w:szCs w:val="20"/>
                <w:color w:val="auto"/>
              </w:rPr>
            </w:pPr>
            <w:r>
              <w:rPr>
                <w:rFonts w:ascii="Arial" w:cs="Arial" w:eastAsia="Arial" w:hAnsi="Arial"/>
                <w:sz w:val="18"/>
                <w:szCs w:val="18"/>
                <w:color w:val="auto"/>
              </w:rPr>
              <w:t>Total long-term investments</w:t>
            </w:r>
          </w:p>
        </w:tc>
        <w:tc>
          <w:tcPr>
            <w:tcW w:w="4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160" w:type="dxa"/>
            <w:vAlign w:val="bottom"/>
            <w:vMerge w:val="restart"/>
          </w:tcPr>
          <w:p>
            <w:pPr>
              <w:jc w:val="right"/>
              <w:ind w:right="2450"/>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40" w:type="dxa"/>
            <w:vAlign w:val="bottom"/>
            <w:tcBorders>
              <w:bottom w:val="single" w:sz="8" w:color="010101"/>
            </w:tcBorders>
          </w:tcPr>
          <w:p>
            <w:pPr>
              <w:spacing w:after="0"/>
              <w:rPr>
                <w:sz w:val="11"/>
                <w:szCs w:val="11"/>
                <w:color w:val="auto"/>
              </w:rPr>
            </w:pPr>
          </w:p>
        </w:tc>
        <w:tc>
          <w:tcPr>
            <w:tcW w:w="4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41" w:right="19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Held-To-Maturity Securities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At July 30, 2011, the balance of held-to-maturity securities consisted of U.S. Treasury bills. Interest earned from these investments is recorded in interest income.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July 30, 2011,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160" w:type="dxa"/>
            <w:vAlign w:val="bottom"/>
          </w:tcPr>
          <w:p>
            <w:pPr>
              <w:jc w:val="center"/>
              <w:ind w:right="121"/>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1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10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106,883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Total held-to-maturity investments</w:t>
            </w:r>
          </w:p>
        </w:tc>
        <w:tc>
          <w:tcPr>
            <w:tcW w:w="1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106,883</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April 30, 2011,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160" w:type="dxa"/>
            <w:vAlign w:val="bottom"/>
          </w:tcPr>
          <w:p>
            <w:pPr>
              <w:jc w:val="center"/>
              <w:ind w:right="121"/>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1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10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126,839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Total held-to-maturity investments</w:t>
            </w:r>
          </w:p>
        </w:tc>
        <w:tc>
          <w:tcPr>
            <w:tcW w:w="1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126,839</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and fair value of the Company’s held-to-maturity securities by contractual maturity at July 30, 2011, were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40" w:type="dxa"/>
            <w:vAlign w:val="bottom"/>
            <w:gridSpan w:val="3"/>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37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106,883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106,883</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Available-For-Sale Securities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 of July 30, 2011, the entire balance of available-for-sale securities consisted of four investment grade auction rate municipal bonds with maturities ranging from 8 to 23 years. These investments have characteristics similar to short-term investments, because at pre-determined intervals, generally ranging from 30 to 35 days, there is a new auction process at which the interest rates for these securities are reset to current interest rates. At the end of such period, the Company chooses to roll-over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15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During the fourth quarter of the fiscal year ended April 30, 2008, the Company began experiencing failed auctions on some of its auction rate securities. A failed auction occurs when a buyer for the securities cannot be obtained and the market maker does not buy the security for its own account. The Company continues to earn interest on the investments that failed to settle at auction at the maximum contractual rate until the next auction occurs. In the event the Company needs to access funds invested in these auction rate securities, the Company may not be able to liquidate these securities at the fair value recorded on July 30, 2011, until a future auction of these securities is successful or a buyer is found outside of the auction process.</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a result of the failed auctions, the fair values of these securities are estimated utilizing a discounted cash flow analysis as of July 30, 2011. The analysis considers, among other items, the collateralization underlying the security investments, the creditworthiness of the counterparty, the timing of expected future cash flows, and the estimated date upon which the security is expected to have a successful auction.</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Based on the Company’s ability to access its cash and cash equivalents, expected operating cash flows, and other sources of cash, the Company does not anticipate the current lack of liquidity of these investments will affect its ability to operate the business in the ordinary course. The Company believes the current lack of liquidity of these investments is temporary and expects that the securities will be redeemed or refinanced at some point in the future. The Company will continue to monitor the value of its auction rate securities at each reporting period for a possible other-than-temporary impairment. The auction rate securities have been in an unrealized loss position for more than 12 months. The Company has the ability and the intent to hold these investments until a recovery of fair value, which may be at maturity, and as of July 30, 2011, it did not consider these investments to be other-than-temporarily impaired.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available-for-sale investments as of July 30, 2011,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w:t>
            </w:r>
          </w:p>
        </w:tc>
        <w:tc>
          <w:tcPr>
            <w:tcW w:w="300" w:type="dxa"/>
            <w:vAlign w:val="bottom"/>
          </w:tcPr>
          <w:p>
            <w:pPr>
              <w:spacing w:after="0"/>
              <w:rPr>
                <w:sz w:val="19"/>
                <w:szCs w:val="19"/>
                <w:color w:val="auto"/>
              </w:rPr>
            </w:pPr>
          </w:p>
        </w:tc>
        <w:tc>
          <w:tcPr>
            <w:tcW w:w="1120" w:type="dxa"/>
            <w:vAlign w:val="bottom"/>
            <w:tcBorders>
              <w:bottom w:val="single" w:sz="8" w:color="auto"/>
            </w:tcBorders>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available-for-sale investments as of April 30, 2011, were as follows (in thousands):</w:t>
      </w:r>
    </w:p>
    <w:p>
      <w:pPr>
        <w:sectPr>
          <w:pgSz w:w="11900" w:h="16838" w:orient="portrait"/>
          <w:cols w:equalWidth="0" w:num="1">
            <w:col w:w="11420"/>
          </w:cols>
          <w:pgMar w:left="240" w:top="121"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7,575</w:t>
            </w:r>
          </w:p>
        </w:tc>
        <w:tc>
          <w:tcPr>
            <w:tcW w:w="300" w:type="dxa"/>
            <w:vAlign w:val="bottom"/>
          </w:tcPr>
          <w:p>
            <w:pPr>
              <w:spacing w:after="0"/>
              <w:rPr>
                <w:sz w:val="19"/>
                <w:szCs w:val="19"/>
                <w:color w:val="auto"/>
              </w:rPr>
            </w:pPr>
          </w:p>
        </w:tc>
        <w:tc>
          <w:tcPr>
            <w:tcW w:w="1120" w:type="dxa"/>
            <w:vAlign w:val="bottom"/>
            <w:tcBorders>
              <w:bottom w:val="single" w:sz="8" w:color="auto"/>
            </w:tcBorders>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and fair value of the Company’s auction rate securities by contractual maturity at July 30, 2011, were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through 10 years</w:t>
            </w:r>
          </w:p>
        </w:tc>
        <w:tc>
          <w:tcPr>
            <w:tcW w:w="2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Due after 10 years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5,525</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Inventories, net</w:t>
            </w:r>
          </w:p>
        </w:tc>
        <w:tc>
          <w:tcPr>
            <w:tcW w:w="2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0" w:type="dxa"/>
            <w:vAlign w:val="bottom"/>
            <w:gridSpan w:val="2"/>
            <w:vMerge w:val="continue"/>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spacing w:after="0"/>
              <w:rPr>
                <w:sz w:val="20"/>
                <w:szCs w:val="20"/>
                <w:color w:val="auto"/>
              </w:rPr>
            </w:pPr>
            <w:r>
              <w:rPr>
                <w:rFonts w:ascii="Arial" w:cs="Arial" w:eastAsia="Arial" w:hAnsi="Arial"/>
                <w:sz w:val="18"/>
                <w:szCs w:val="18"/>
                <w:color w:val="auto"/>
              </w:rPr>
              <w:t>Inventories consist of the following (in thousands):</w:t>
            </w: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July 30,</w:t>
            </w:r>
          </w:p>
        </w:tc>
        <w:tc>
          <w:tcPr>
            <w:tcW w:w="220" w:type="dxa"/>
            <w:vAlign w:val="bottom"/>
          </w:tcPr>
          <w:p>
            <w:pPr>
              <w:spacing w:after="0"/>
              <w:rPr>
                <w:sz w:val="24"/>
                <w:szCs w:val="2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Work in process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9,664</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7,994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18,570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Inventories, gross</w:t>
            </w:r>
          </w:p>
        </w:tc>
        <w:tc>
          <w:tcPr>
            <w:tcW w:w="2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39,584</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obsolescence</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0"/>
        </w:trPr>
        <w:tc>
          <w:tcPr>
            <w:tcW w:w="600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38,299</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38,137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24" w:lineRule="exact"/>
        <w:rPr>
          <w:sz w:val="20"/>
          <w:szCs w:val="20"/>
          <w:color w:val="auto"/>
        </w:rPr>
      </w:pPr>
    </w:p>
    <w:p>
      <w:pPr>
        <w:ind w:left="1080" w:right="320" w:hanging="1072"/>
        <w:spacing w:after="0" w:line="277" w:lineRule="auto"/>
        <w:tabs>
          <w:tab w:leader="none" w:pos="278"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1080" w:right="340" w:hanging="1072"/>
        <w:spacing w:after="0" w:line="342" w:lineRule="auto"/>
        <w:tabs>
          <w:tab w:leader="none" w:pos="278"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 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23"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that are unobservable inputs for the asset or liability.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measured at fair value on a recurring basis at July 30, 2011, were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Fair Value Measurement Using</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vMerge w:val="restart"/>
          </w:tcPr>
          <w:p>
            <w:pPr>
              <w:jc w:val="center"/>
              <w:ind w:left="142"/>
              <w:spacing w:after="0"/>
              <w:rPr>
                <w:sz w:val="20"/>
                <w:szCs w:val="20"/>
                <w:color w:val="auto"/>
              </w:rPr>
            </w:pPr>
            <w:r>
              <w:rPr>
                <w:rFonts w:ascii="Arial" w:cs="Arial" w:eastAsia="Arial" w:hAnsi="Arial"/>
                <w:sz w:val="14"/>
                <w:szCs w:val="14"/>
                <w:b w:val="1"/>
                <w:bCs w:val="1"/>
                <w:color w:val="auto"/>
                <w:w w:val="92"/>
              </w:rPr>
              <w:t>Quoted prices in</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jc w:val="center"/>
              <w:ind w:left="184"/>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91"/>
              </w:rPr>
              <w:t>other</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left="142"/>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9"/>
              </w:rPr>
              <w:t>observable</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1400" w:type="dxa"/>
            <w:vAlign w:val="bottom"/>
          </w:tcPr>
          <w:p>
            <w:pPr>
              <w:jc w:val="center"/>
              <w:ind w:left="142"/>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0"/>
              </w:rPr>
              <w:t>inputs</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inputs</w:t>
            </w:r>
          </w:p>
        </w:tc>
        <w:tc>
          <w:tcPr>
            <w:tcW w:w="300" w:type="dxa"/>
            <w:vAlign w:val="bottom"/>
          </w:tcPr>
          <w:p>
            <w:pPr>
              <w:spacing w:after="0"/>
              <w:rPr>
                <w:sz w:val="12"/>
                <w:szCs w:val="12"/>
                <w:color w:val="auto"/>
              </w:rPr>
            </w:pPr>
          </w:p>
        </w:tc>
        <w:tc>
          <w:tcPr>
            <w:tcW w:w="11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left="142"/>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left="184"/>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3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ind w:right="1222"/>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8"/>
                <w:szCs w:val="18"/>
                <w:color w:val="auto"/>
              </w:rPr>
            </w:pPr>
          </w:p>
        </w:tc>
        <w:tc>
          <w:tcPr>
            <w:tcW w:w="1400" w:type="dxa"/>
            <w:vAlign w:val="bottom"/>
            <w:tcBorders>
              <w:bottom w:val="single" w:sz="8" w:color="auto"/>
            </w:tcBorders>
          </w:tcPr>
          <w:p>
            <w:pPr>
              <w:jc w:val="right"/>
              <w:ind w:right="1222"/>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right"/>
              <w:ind w:right="944"/>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Due to the auction failures of the Company’s auction rate securities that began in the fourth quarter of fiscal 2008, there are still no quoted prices in active markets for identical assets as of July 30, 2011. Therefore, the Company has classified its auction rate securities as Level 3 financial assets. The following table provides a reconciliation between the beginning and ending balances of items measured at fair value on a recurring basis in the table above that used significant unobservable inputs (Level 3)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Measurements Using</w:t>
            </w: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8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89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60" w:type="dxa"/>
            <w:vAlign w:val="bottom"/>
            <w:tcBorders>
              <w:top w:val="single" w:sz="8" w:color="auto"/>
              <w:bottom w:val="single" w:sz="8" w:color="auto"/>
            </w:tcBorders>
          </w:tcPr>
          <w:p>
            <w:pPr>
              <w:jc w:val="center"/>
              <w:ind w:right="118"/>
              <w:spacing w:after="0" w:line="142" w:lineRule="exact"/>
              <w:rPr>
                <w:sz w:val="20"/>
                <w:szCs w:val="20"/>
                <w:color w:val="auto"/>
              </w:rPr>
            </w:pPr>
            <w:r>
              <w:rPr>
                <w:rFonts w:ascii="Arial" w:cs="Arial" w:eastAsia="Arial" w:hAnsi="Arial"/>
                <w:sz w:val="14"/>
                <w:szCs w:val="14"/>
                <w:b w:val="1"/>
                <w:bCs w:val="1"/>
                <w:color w:val="auto"/>
                <w:w w:val="92"/>
              </w:rPr>
              <w:t>Auction Rate Securities</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Transfers to Level 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 (realized or unrealized)</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rPr>
              <w:t>Included in earnings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other comprehensive income (loss)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8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30, 2011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line="195" w:lineRule="exact"/>
              <w:rPr>
                <w:sz w:val="20"/>
                <w:szCs w:val="20"/>
                <w:color w:val="auto"/>
              </w:rPr>
            </w:pPr>
            <w:r>
              <w:rPr>
                <w:rFonts w:ascii="Arial" w:cs="Arial" w:eastAsia="Arial" w:hAnsi="Arial"/>
                <w:sz w:val="18"/>
                <w:szCs w:val="18"/>
                <w:color w:val="auto"/>
                <w:w w:val="91"/>
              </w:rPr>
              <w:t>The amount of total gains or (losses) for the period included in earnings (or change in net assets) attributable to the change</w:t>
            </w: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9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180"/>
              <w:spacing w:after="0"/>
              <w:rPr>
                <w:sz w:val="20"/>
                <w:szCs w:val="20"/>
                <w:color w:val="auto"/>
              </w:rPr>
            </w:pPr>
            <w:r>
              <w:rPr>
                <w:rFonts w:ascii="Arial" w:cs="Arial" w:eastAsia="Arial" w:hAnsi="Arial"/>
                <w:sz w:val="18"/>
                <w:szCs w:val="18"/>
                <w:color w:val="auto"/>
              </w:rPr>
              <w:t>in unrealized gains or losses relating to assets still held at July 30, 2011</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4" w:right="239" w:bottom="0" w:gutter="0" w:footer="0" w:header="0"/>
        </w:sectPr>
      </w:pPr>
    </w:p>
    <w:bookmarkStart w:id="7" w:name="page8"/>
    <w:bookmarkEnd w:id="7"/>
    <w:p>
      <w:pPr>
        <w:jc w:val="both"/>
        <w:ind w:right="320"/>
        <w:spacing w:after="0" w:line="264" w:lineRule="auto"/>
        <w:rPr>
          <w:sz w:val="20"/>
          <w:szCs w:val="20"/>
          <w:color w:val="auto"/>
        </w:rPr>
      </w:pPr>
      <w:r>
        <w:rPr>
          <w:rFonts w:ascii="Arial" w:cs="Arial" w:eastAsia="Arial" w:hAnsi="Arial"/>
          <w:sz w:val="18"/>
          <w:szCs w:val="18"/>
          <w:color w:val="auto"/>
        </w:rPr>
        <w:t>The auction rate securities are valued using a discounted cash flow model. The analysis considers, among other items, the collateralization underlying the security investments, the creditworthiness of the counterparty, the timing of expected future cash flows, and the estimated date upon which the security is expected to have a successful auction.</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Based on the Company’s ability to access its cash and cash equivalents, expected operating cash flows, and other sources of cash, the Company does not anticipate the current lack of liquidity on these investments will affect its ability to operate the business in the ordinary course. The Company believes the current lack of liquidity of these investments is temporary and expects that the securities will be redeemed or refinanced at some point in the future, allowing the Company to recover the original cost of $7.5 million. The Company will continue to monitor the value of its auction rate securities at each reporting period for a possible other-than-temporary impairment.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(loss)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12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20" w:type="dxa"/>
            <w:vAlign w:val="bottom"/>
            <w:tcBorders>
              <w:top w:val="single" w:sz="8" w:color="auto"/>
            </w:tcBorders>
          </w:tcPr>
          <w:p>
            <w:pPr>
              <w:jc w:val="right"/>
              <w:ind w:right="24"/>
              <w:spacing w:after="0" w:line="119" w:lineRule="exact"/>
              <w:rPr>
                <w:sz w:val="20"/>
                <w:szCs w:val="20"/>
                <w:color w:val="auto"/>
              </w:rPr>
            </w:pPr>
            <w:r>
              <w:rPr>
                <w:rFonts w:ascii="Arial" w:cs="Arial" w:eastAsia="Arial" w:hAnsi="Arial"/>
                <w:sz w:val="13"/>
                <w:szCs w:val="13"/>
                <w:b w:val="1"/>
                <w:bCs w:val="1"/>
                <w:color w:val="auto"/>
              </w:rPr>
              <w:t>July 30,</w:t>
            </w:r>
          </w:p>
        </w:tc>
        <w:tc>
          <w:tcPr>
            <w:tcW w:w="3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8"/>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520" w:type="dxa"/>
            <w:vAlign w:val="bottom"/>
            <w:gridSpan w:val="2"/>
          </w:tcPr>
          <w:p>
            <w:pPr>
              <w:jc w:val="right"/>
              <w:ind w:right="124"/>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458"/>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520" w:type="dxa"/>
            <w:vAlign w:val="bottom"/>
            <w:gridSpan w:val="2"/>
            <w:shd w:val="clear" w:color="auto" w:fill="CCEEFF"/>
          </w:tcPr>
          <w:p>
            <w:pPr>
              <w:jc w:val="right"/>
              <w:ind w:right="844"/>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2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on long-term investments</w:t>
            </w:r>
          </w:p>
        </w:tc>
        <w:tc>
          <w:tcPr>
            <w:tcW w:w="2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500" w:type="dxa"/>
            <w:vAlign w:val="bottom"/>
          </w:tcPr>
          <w:p>
            <w:pPr>
              <w:spacing w:after="0"/>
              <w:rPr>
                <w:sz w:val="19"/>
                <w:szCs w:val="19"/>
                <w:color w:val="auto"/>
              </w:rPr>
            </w:pPr>
          </w:p>
        </w:tc>
        <w:tc>
          <w:tcPr>
            <w:tcW w:w="1020" w:type="dxa"/>
            <w:vAlign w:val="bottom"/>
            <w:tcBorders>
              <w:top w:val="single" w:sz="8" w:color="auto"/>
            </w:tcBorders>
          </w:tcPr>
          <w:p>
            <w:pPr>
              <w:jc w:val="right"/>
              <w:ind w:right="84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Warranty Reserves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months ended July 30, 2011 and July 31, 2010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July 30,</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July 31,</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240" w:type="dxa"/>
            <w:vAlign w:val="bottom"/>
            <w:gridSpan w:val="2"/>
          </w:tcPr>
          <w:p>
            <w:pPr>
              <w:jc w:val="right"/>
              <w:ind w:right="64"/>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240" w:type="dxa"/>
            <w:vAlign w:val="bottom"/>
            <w:gridSpan w:val="2"/>
            <w:shd w:val="clear" w:color="auto" w:fill="CCEEFF"/>
          </w:tcPr>
          <w:p>
            <w:pPr>
              <w:jc w:val="right"/>
              <w:ind w:right="784"/>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1,127</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Warranty expense</w:t>
            </w:r>
          </w:p>
        </w:tc>
        <w:tc>
          <w:tcPr>
            <w:tcW w:w="3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352</w:t>
            </w:r>
          </w:p>
        </w:tc>
        <w:tc>
          <w:tcPr>
            <w:tcW w:w="9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Warranty costs incurred</w:t>
            </w:r>
          </w:p>
        </w:tc>
        <w:tc>
          <w:tcPr>
            <w:tcW w:w="3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w:t>
            </w:r>
          </w:p>
        </w:tc>
        <w:tc>
          <w:tcPr>
            <w:tcW w:w="9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32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8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1,046</w:t>
            </w:r>
          </w:p>
        </w:tc>
        <w:tc>
          <w:tcPr>
            <w:tcW w:w="2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8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Customer-Funded Research &amp; Development</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Customer-funded R&amp;D costs are incurred pursuant to contracts (revenue arrangements) to perform R&amp;D activities according to customer specifications. These costs are direct contract costs and are expensed to cost of sales when the corresponding revenue is recognized, which is generally as the R&amp;D services are performed. Revenue from customer-funded R&amp;D was approximately $5.2 million and $11.9 million for the three months ended July 30, 2011 and July 31, 2010,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the three months ended July 30, 2011 and July 31, 2010, the Company recorded a provision and (benefit) for income taxes of $0.2 million and ($3.7) million, respectively, yielding an effective tax rate of 35.7% and 52.1%, respectively. The variance from statutory rates for the three months ended July 31, 2010 was primarily due to a reduction in the liability for uncertain tax positions related to the conclusion of the examination of the Company’s fiscal 2003 and 2004 tax returns. The examination concluded in May of 2010 and no change was required to the tax returns filed.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product segments are as follows:</w:t>
      </w:r>
    </w:p>
    <w:p>
      <w:pPr>
        <w:spacing w:after="0" w:line="225" w:lineRule="exact"/>
        <w:rPr>
          <w:sz w:val="20"/>
          <w:szCs w:val="20"/>
          <w:color w:val="auto"/>
        </w:rPr>
      </w:pPr>
    </w:p>
    <w:p>
      <w:pPr>
        <w:ind w:left="980" w:right="60" w:hanging="648"/>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Unmanned Aircraft Systems (“UAS”) — The UAS segment focuses primarily on the design, development, production and support of innovative UAS that provide situational awareness and other mission effects to increase the security and operational effectiveness of the Company’s customers.</w:t>
      </w:r>
    </w:p>
    <w:p>
      <w:pPr>
        <w:spacing w:after="0" w:line="181" w:lineRule="exact"/>
        <w:rPr>
          <w:rFonts w:ascii="Arial" w:cs="Arial" w:eastAsia="Arial" w:hAnsi="Arial"/>
          <w:sz w:val="18"/>
          <w:szCs w:val="18"/>
          <w:color w:val="auto"/>
        </w:rPr>
      </w:pPr>
    </w:p>
    <w:p>
      <w:pPr>
        <w:ind w:left="980" w:right="360" w:hanging="648"/>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Efficient Energy Systems (“EES”) — The EES segment focuses primarily on the design, development, production and support of innovative efficient electric energy systems that address the growing demand for electric transportation solutions.</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accounting policies of the segments are the same as those described in Note 1, “Organization and Significant Accounting Policies.” The operating segments do not make sales to each other. Depreciation and amortization related to the manufacturing of goods is included in gross margin for the segments. The Company does not discretely allocate assets to its operating segments, nor does the CODM evaluate operating segments using discrete asset information. Consequently, the Company operates its financial systems as a single segment for accounting and control purposes, maintains a single indirect rate structure across all segments, has no inter-segment sales or corporate elimination transactions, and maintains limited financial statement information by segment.</w:t>
      </w:r>
    </w:p>
    <w:p>
      <w:pPr>
        <w:sectPr>
          <w:pgSz w:w="11900" w:h="16838" w:orient="portrait"/>
          <w:cols w:equalWidth="0" w:num="1">
            <w:col w:w="11420"/>
          </w:cols>
          <w:pgMar w:left="240" w:top="125" w:right="239" w:bottom="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segment results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ind w:left="180"/>
              <w:spacing w:after="0" w:line="119" w:lineRule="exact"/>
              <w:rPr>
                <w:sz w:val="20"/>
                <w:szCs w:val="20"/>
                <w:color w:val="auto"/>
              </w:rPr>
            </w:pPr>
            <w:r>
              <w:rPr>
                <w:rFonts w:ascii="Arial" w:cs="Arial" w:eastAsia="Arial" w:hAnsi="Arial"/>
                <w:sz w:val="13"/>
                <w:szCs w:val="13"/>
                <w:b w:val="1"/>
                <w:bCs w:val="1"/>
                <w:color w:val="auto"/>
              </w:rPr>
              <w:t>July 30,</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tcBorders>
              <w:bottom w:val="single" w:sz="8" w:color="CCEEFF"/>
            </w:tcBorders>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4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UAS</w:t>
            </w:r>
          </w:p>
        </w:tc>
        <w:tc>
          <w:tcPr>
            <w:tcW w:w="4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52,205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33,447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4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9,792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4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61,997</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4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UAS</w:t>
            </w:r>
          </w:p>
        </w:tc>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20,205</w:t>
            </w: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4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4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21,715</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7,586</w:t>
            </w: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Interest income</w:t>
            </w:r>
          </w:p>
        </w:tc>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220" w:type="dxa"/>
            <w:vAlign w:val="bottom"/>
            <w:vMerge w:val="restart"/>
          </w:tcPr>
          <w:p>
            <w:pPr>
              <w:jc w:val="right"/>
              <w:ind w:right="2410"/>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80" w:type="dxa"/>
            <w:vAlign w:val="bottom"/>
            <w:tcBorders>
              <w:bottom w:val="single" w:sz="8" w:color="010101"/>
            </w:tcBorders>
          </w:tcPr>
          <w:p>
            <w:pPr>
              <w:spacing w:after="0"/>
              <w:rPr>
                <w:sz w:val="11"/>
                <w:szCs w:val="11"/>
                <w:color w:val="auto"/>
              </w:rPr>
            </w:pPr>
          </w:p>
        </w:tc>
        <w:tc>
          <w:tcPr>
            <w:tcW w:w="4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II, Item 1A, “Risk Factors.”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long-term investments,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6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There have been no material changes made to the critical accounting estimates during the periods presented in the consolidated financial statements from those disclosed in the Form 10-K for the fiscal year ended April 30,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Due to our fixed year end date of April 30, our first and fourth quarters each consist of approximately 13 weeks. The second and third quarters each consist of exactly 13 weeks. Our first three quarters end on a Saturday. Our 2012 fiscal year ends on April 30, 2012 and our fiscal quarters end on July 30, 2011, October 29, 2011 and January 28,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operating segments are Unmanned Aircraft Systems, or UAS, and Efficient Energy Systems, or EES. The accounting policies for each of these segments are the same. In addition, a significant portion of our research and development, or R&amp;D, selling, general and administrative, or SG&amp;A, and general overhead resources are shared across our segments.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sets forth our revenue and gross margin generated by each operating segment for the periods indicated (in thousands):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July 30, 2011 Compared to Three Months Ended July 31,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4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ind w:left="180"/>
              <w:spacing w:after="0" w:line="119" w:lineRule="exact"/>
              <w:rPr>
                <w:sz w:val="20"/>
                <w:szCs w:val="20"/>
                <w:color w:val="auto"/>
              </w:rPr>
            </w:pPr>
            <w:r>
              <w:rPr>
                <w:rFonts w:ascii="Arial" w:cs="Arial" w:eastAsia="Arial" w:hAnsi="Arial"/>
                <w:sz w:val="13"/>
                <w:szCs w:val="13"/>
                <w:b w:val="1"/>
                <w:bCs w:val="1"/>
                <w:color w:val="auto"/>
              </w:rPr>
              <w:t>July 30,</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0"/>
                <w:szCs w:val="10"/>
                <w:color w:val="auto"/>
              </w:rPr>
            </w:pPr>
          </w:p>
        </w:tc>
      </w:tr>
      <w:tr>
        <w:trPr>
          <w:trHeight w:val="171"/>
        </w:trPr>
        <w:tc>
          <w:tcPr>
            <w:tcW w:w="5400" w:type="dxa"/>
            <w:vAlign w:val="bottom"/>
            <w:tcBorders>
              <w:bottom w:val="single" w:sz="8" w:color="CCEEFF"/>
            </w:tcBorders>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UAS</w:t>
            </w:r>
          </w:p>
        </w:tc>
        <w:tc>
          <w:tcPr>
            <w:tcW w:w="31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52,205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33,447</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9,792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4,781</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61,997</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38,228</w:t>
            </w:r>
          </w:p>
        </w:tc>
        <w:tc>
          <w:tcPr>
            <w:tcW w:w="100" w:type="dxa"/>
            <w:vAlign w:val="bottom"/>
            <w:tcBorders>
              <w:bottom w:val="single" w:sz="8" w:color="CCEEFF"/>
            </w:tcBorders>
          </w:tcPr>
          <w:p>
            <w:pPr>
              <w:spacing w:after="0"/>
              <w:rPr>
                <w:sz w:val="18"/>
                <w:szCs w:val="18"/>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2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UAS</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20,205</w:t>
            </w: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10,370</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1,666</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21,715</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12,036</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7,586</w:t>
            </w: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7,972</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income</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9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for the three months ended July 30, 2011 was $62.0 million, as compared to $38.2 million for the three months ended July 31,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an increase of $23.8 million, or 62%. UAS revenue increased by $18.8 million to $52.2 million for the three months ended July 30, 2011, primarily due to an increase in UAS product deliveries of $12.8 million and service revenue of $12.3 million, partially offset by a decrease in customer-funded R&amp;D work of $6.3 million. The increase in UAS product deliveries and service revenue was primarily due to increased deliveries of digital Puma™ All Environment unmanned aircraft systems, or Puma AE systems, and services in support of Puma AE systems. The decrease in customer-funded R&amp;D work was primarily due to decreased activity on the Global Observer program. EES revenue increased by $5.0 million to $9.8 million for the three months ended July 30, 2011. The increase in EES revenue was primarily due to increased product deliveries of electric vehicle test systems, industrial electric vehicle charging systems, and passenger electric vehicle charging docks.</w:t>
      </w:r>
    </w:p>
    <w:p>
      <w:pPr>
        <w:spacing w:after="0" w:line="19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Cost of sales for the three months ended July 30, 2011 was $40.3 million, as compared to $26.2 million for the three months ended July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representing an increase of $14.1 million, or 54%. The increase in cost of sales was caused primarily by increases in UAS cost of sales of $8.9 million and EES cost of sales of $5.2 million due to increased revenue.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July 30, 2011 was $21.7 million, as compared to $12.0 million for the three months ended July 31,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2010, representing an increase of $9.7 million, or 80%. UAS gross margin increased $9.8 million, or 95%, to $20.2 million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July 30, 2011. As a percentage of revenue, gross margin for UAS increased from 31% to 39% primarily due to the higher portion of revenue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fixed-price contracts compared to cost-reimbursable contracts. EES gross margin decreased $0.2 million, or 9%, to $1.5 million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July 30, 2011. As a percentage of revenue, EES gross margin decreased from 35% to 15% primarily due to higher than expected program costs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Department of Defense related development contracts and transition costs related to initial low-rate production of several new electric vehicle charging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systems.</w:t>
      </w:r>
    </w:p>
    <w:p>
      <w:pPr>
        <w:spacing w:after="0" w:line="20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for the three months ended July 30, 2011 was $13.7 million, or 22% of revenue, compared to SG&amp;A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$11.4 million, or 30% of revenue, for the three months ended July 31, 2010. SG&amp;A expense increased $2.3 million primarily due to higher marketing and business development costs and higher administrative infrastructure costs.</w:t>
      </w:r>
    </w:p>
    <w:p>
      <w:pPr>
        <w:spacing w:after="0" w:line="1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three months ended July 30, 2011 was $7.6 million, or 12% of revenue, compared to R&amp;D expense of $8.0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21% of revenue, for the three months ended July 31, 2010. R&amp;D expense decreased $0.4 million primarily due to lower investment in various UAS and EES technology development initiatives as they transitioned into production.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for the three months ended July 30, 2011 and July 31, 2010 remained unchanged at $0.1 million.</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Our effective income tax expense rate was 35.7%, for the three months ended July 30, 2011, as compared to an income tax benefit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52.1% for the three months ended July 31, 2010. The decrease in the tax rate was primarily due to a reduction in the liability for uncertain tax positions related to the conclusion of the examination of the Company’s fiscal 2003 and 2004 tax returns that was recorded during the three months ended July 31, 2010, that resulted in a higher tax benefit rate. There was no such reduction in the liability for uncertain tax positions during the three months ended July 30, 2011.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Backlog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define funded backlog as unfilled firm orders for products and services for which funding currently is appropriated to us under the contract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customer. As of July 30, 2011 and April 30, 2011, our funded backlog was approximately $72.7 million and $82.9 million, respectively.</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to our funded backlog, we also had unfunded backlog of $192.6 million and $230.8 million as of July 30, 2011 and April 30, 2011, respectively. We define unfunded backlog as the total remaining potential order amounts under cost reimbursable and fixed price contracts with multiple one-year options, and indefinite delivery indefinite quantity, or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w:t>
      </w:r>
    </w:p>
    <w:p>
      <w:pPr>
        <w:spacing w:after="0" w:line="18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w:t>
      </w:r>
    </w:p>
    <w:p>
      <w:pPr>
        <w:sectPr>
          <w:pgSz w:w="11900" w:h="16838" w:orient="portrait"/>
          <w:cols w:equalWidth="0" w:num="1">
            <w:col w:w="11420"/>
          </w:cols>
          <w:pgMar w:left="240" w:top="125" w:right="239" w:bottom="0" w:gutter="0" w:footer="0" w:header="0"/>
        </w:sectPr>
      </w:pPr>
    </w:p>
    <w:bookmarkStart w:id="10" w:name="page11"/>
    <w:bookmarkEnd w:id="10"/>
    <w:p>
      <w:pPr>
        <w:ind w:right="80"/>
        <w:spacing w:after="0" w:line="277" w:lineRule="auto"/>
        <w:rPr>
          <w:sz w:val="20"/>
          <w:szCs w:val="20"/>
          <w:color w:val="auto"/>
        </w:rPr>
      </w:pPr>
      <w:r>
        <w:rPr>
          <w:rFonts w:ascii="Arial" w:cs="Arial" w:eastAsia="Arial" w:hAnsi="Arial"/>
          <w:sz w:val="18"/>
          <w:szCs w:val="18"/>
          <w:color w:val="auto"/>
        </w:rPr>
        <w:t>specifically our IDIQ contracts, do not currently obligate the U.S. government to purchase any goods or services. Additionally, all U.S. government contracts included in backlog, whether or not funded, may be terminated at the convenience of the U.S. government.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currently have no material cash commitments, except for normal recurring trade payables, accrued expenses and ongoing research and development costs, all of which we anticipate funding through our existing working capital and funds provided by operating activities. The majority of our purchase obligations are pursuant to funded contractual arrangements with our customers. In addition, we do not currently anticipate significant investment in property, plant and equipment, and we believe that our existing cash, cash equivalents, cash provided by operating activities and other financing sources will be sufficient to meet our anticipated working capital, capital expenditure and debt service requirements, if any,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additional financing. The global credit situation has imposed high levels of volatility and disruption in the capital markets, severely diminished liquidity and credit availability, and increased counterparty risk. Nevertheless, we anticipate that existing sources of liquidity and cash flows from operations will be sufficient to satisfy our cash needs for the foreseeable future.</w:t>
      </w:r>
    </w:p>
    <w:p>
      <w:pPr>
        <w:spacing w:after="0" w:line="1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primary liquidity needs are for financing working capital, investing in capital expenditures, supporting product development efforts, introducing new products and enhancing existing products and services, and promoting market acceptance and adoption of our products and services. Our future capital requirements, to a certain extent, are also subject to general conditions in or affecting the defense and electric vehicle industries and are subject to general economic, political, financial, competitive, legislative and regulatory factors that are beyond our control. Moreover, to the extent that existing cash, cash equivalents, cash from operations, and cash from short-term borrowing are insufficient to fund our future activities, we may need to raise additional funds through public or private equity or debt financing. To the extent we require additional funding, we cannot be certain that such funding will be available to us on acceptable terms, or at all. Although we are currently not a party to any agreement or letter of intent with respect to potential investment in, or acquisitions of, businesses, services or technologies, we may enter into these types of arrangements in the future, which could also require us to seek additional equity or debt financing.</w:t>
      </w:r>
    </w:p>
    <w:p>
      <w:pPr>
        <w:spacing w:after="0" w:line="19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Recent global market and economic conditions have been unprecedented and challenging with tighter credit conditions and recession in most major economies. As a result of these market conditions, the cost and availability of credit has been and may continue to be adversely affected by illiquid credit markets and wider credit spreads. Concern about the stability of the markets generally and the strength of counterparties specifically has led many lenders and institutional investors to reduce, and in some cases, cease to provide credit to businesses and consumers. These factors have led to a decrease in spending by businesses and consumers alike, and a corresponding decrease in global infrastructure spending. Continued turbulence in the U.S. and international markets and economies and prolonged declines in business and consumer spending may adversely affect our liquidity and financial condition, and the liquidity and financial condition of our customers, including our ability to access the capital markets to meet liquidity needs. In addition, we maintain significant amounts of cash and cash equivalents at one or more financial institutions that are in excess of federally insured limits. Given the current instability of financial institutions, we cannot be assured that we will not experience losses on these deposits.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our cash flow data for the three months ended July 30, 2011 and July 31, 2010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9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521"/>
              <w:spacing w:after="0" w:line="119" w:lineRule="exact"/>
              <w:rPr>
                <w:sz w:val="20"/>
                <w:szCs w:val="20"/>
                <w:color w:val="auto"/>
              </w:rPr>
            </w:pPr>
            <w:r>
              <w:rPr>
                <w:rFonts w:ascii="Arial" w:cs="Arial" w:eastAsia="Arial" w:hAnsi="Arial"/>
                <w:sz w:val="13"/>
                <w:szCs w:val="13"/>
                <w:b w:val="1"/>
                <w:bCs w:val="1"/>
                <w:color w:val="auto"/>
              </w:rPr>
              <w:t>July 30,</w:t>
            </w:r>
          </w:p>
        </w:tc>
        <w:tc>
          <w:tcPr>
            <w:tcW w:w="4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358"/>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0"/>
                <w:szCs w:val="10"/>
                <w:color w:val="auto"/>
              </w:rPr>
            </w:pPr>
          </w:p>
        </w:tc>
      </w:tr>
      <w:tr>
        <w:trPr>
          <w:trHeight w:val="171"/>
        </w:trPr>
        <w:tc>
          <w:tcPr>
            <w:tcW w:w="59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1,456</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61"/>
              <w:spacing w:after="0"/>
              <w:rPr>
                <w:sz w:val="20"/>
                <w:szCs w:val="20"/>
                <w:color w:val="auto"/>
              </w:rPr>
            </w:pPr>
            <w:r>
              <w:rPr>
                <w:rFonts w:ascii="Arial" w:cs="Arial" w:eastAsia="Arial" w:hAnsi="Arial"/>
                <w:sz w:val="18"/>
                <w:szCs w:val="18"/>
                <w:color w:val="auto"/>
              </w:rPr>
              <w:t>17,475</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21,896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275</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bl>
    <w:p>
      <w:pPr>
        <w:spacing w:after="0" w:line="20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 xml:space="preserve">Cash Provided by Operating Activities. </w:t>
      </w:r>
      <w:r>
        <w:rPr>
          <w:rFonts w:ascii="Arial" w:cs="Arial" w:eastAsia="Arial" w:hAnsi="Arial"/>
          <w:sz w:val="17"/>
          <w:szCs w:val="17"/>
          <w:color w:val="auto"/>
        </w:rPr>
        <w:t>Net cash provided by operating activities for the three months ended July 30, 2011 increased by $6.7 million to $1.5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compared to net cash used in operating activities of $5.2 million for the three months ended July 31, 2010. This increase in net cash provided by operating activities was primarily due to higher income of $3.8 million and lower working capital needs of $3.2 million.</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Cash Provided by Investing Activities. </w:t>
      </w:r>
      <w:r>
        <w:rPr>
          <w:rFonts w:ascii="Arial" w:cs="Arial" w:eastAsia="Arial" w:hAnsi="Arial"/>
          <w:sz w:val="18"/>
          <w:szCs w:val="18"/>
          <w:color w:val="auto"/>
        </w:rPr>
        <w:t>Net cash provided by investing activities decreased by $4.4 million to $17.5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July 30, 2011, compared to net cash provided by investing activities of $21.9 million for the three months ended July 31, 2010. The decrease in net cash provided by investing activities was primarily due to lower net redemptions of investments of $3.6 million and higher acquisitions of property and equipment of $0.7 million.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Cash Provided by Financing Activities. </w:t>
      </w:r>
      <w:r>
        <w:rPr>
          <w:rFonts w:ascii="Arial" w:cs="Arial" w:eastAsia="Arial" w:hAnsi="Arial"/>
          <w:sz w:val="17"/>
          <w:szCs w:val="17"/>
          <w:color w:val="auto"/>
        </w:rPr>
        <w:t>Net cash provided by financing activities increased by $0.2 million to $0.3 million for the three months ended</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July 30, 2011, compared to $0.1 million for the three months ended July 31, 2010. During the three months ended July 30, 2011, we received proceeds from stock option exercises of $0.2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first quarter, there were no material changes in our off-balance sheet arrangements or contractual obligations and commercial commitments from those disclosed in the Form 10-K for the fiscal year ended April 30,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ectPr>
          <w:pgSz w:w="11900" w:h="16838" w:orient="portrait"/>
          <w:cols w:equalWidth="0" w:num="1">
            <w:col w:w="11420"/>
          </w:cols>
          <w:pgMar w:left="240" w:top="125" w:right="239" w:bottom="131" w:gutter="0" w:footer="0" w:header="0"/>
        </w:sectPr>
      </w:pPr>
    </w:p>
    <w:bookmarkStart w:id="11" w:name="page12"/>
    <w:bookmarkEnd w:id="11"/>
    <w:p>
      <w:pPr>
        <w:spacing w:after="0" w:line="3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refer to Note 1 “Organization and Significant Accounting Policies” to our unaudited consolidated financial statements in Part I, Item 1 of this quarterly report for a discussion of new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 is our policy not to enter into interest rate derivative financial instruments. We do not currently have any significant interest rate exposure.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 engage in forward contracts in foreign currencies to limit our exposure on non-U.S. dollar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the end of the period covered by this report, our disclosure controls and procedures were effective and were operating at a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changes in our internal control over financial reporting or in other factors identified in connection with the evaluation required by paragraph</w:t>
      </w:r>
    </w:p>
    <w:p>
      <w:pPr>
        <w:spacing w:after="0" w:line="46" w:lineRule="exact"/>
        <w:rPr>
          <w:sz w:val="20"/>
          <w:szCs w:val="20"/>
          <w:color w:val="auto"/>
        </w:rPr>
      </w:pPr>
    </w:p>
    <w:p>
      <w:pPr>
        <w:ind w:right="240" w:firstLine="8"/>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of Exchange Act Rules 13a-15 or 15d-15 that occurred during the quarter ended July 30, 2011, that have materially affected, or are reasonably likely to materially affect, our internal control over financial reporting.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not currently a party to any material legal proceedings. We are, however, subject to lawsuits from time to time in the ordinary course of business.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There have been no material changes to the risk factors disclosed under Part I, Item 1A, “Risk Factors,” in our Annual Report on Form 10-K for the fiscal year ended April 30, 2011. Please refer to that section for disclosures regarding the risks and uncertainties related to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74" w:orient="portrait"/>
          <w:cols w:equalWidth="0" w:num="1">
            <w:col w:w="11380"/>
          </w:cols>
          <w:pgMar w:left="240" w:top="125" w:right="27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4.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60" w:type="dxa"/>
            <w:vAlign w:val="bottom"/>
          </w:tcPr>
          <w:p>
            <w:pPr>
              <w:spacing w:after="0"/>
              <w:rPr>
                <w:sz w:val="14"/>
                <w:szCs w:val="1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Borders>
              <w:bottom w:val="single" w:sz="8" w:color="CCEEFF"/>
            </w:tcBorders>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31.1</w:t>
            </w:r>
          </w:p>
        </w:tc>
        <w:tc>
          <w:tcPr>
            <w:tcW w:w="260" w:type="dxa"/>
            <w:vAlign w:val="bottom"/>
            <w:shd w:val="clear" w:color="auto" w:fill="CCEEFF"/>
          </w:tcPr>
          <w:p>
            <w:pPr>
              <w:spacing w:after="0"/>
              <w:rPr>
                <w:sz w:val="16"/>
                <w:szCs w:val="16"/>
                <w:color w:val="auto"/>
              </w:rPr>
            </w:pPr>
          </w:p>
        </w:tc>
        <w:tc>
          <w:tcPr>
            <w:tcW w:w="99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Certification of Chief Executive Officer pursuant to Rule 13a-14(a) and Rule 15d-14(a) of the Securities Exchange Act of 1934, as</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20"/>
                <w:szCs w:val="20"/>
                <w:color w:val="auto"/>
              </w:rPr>
            </w:pPr>
          </w:p>
        </w:tc>
        <w:tc>
          <w:tcPr>
            <w:tcW w:w="10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202"/>
        </w:trPr>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91"/>
              </w:rPr>
              <w:t>31.2</w:t>
            </w:r>
          </w:p>
        </w:tc>
        <w:tc>
          <w:tcPr>
            <w:tcW w:w="1018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6"/>
              </w:rPr>
              <w:t>Certification of Chief Financial Officer pursuant to Rule 13a-14(a) and Rule 15d-14(a) of the Securities Exchange Act of 1934, as</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0180" w:type="dxa"/>
            <w:vAlign w:val="bottom"/>
            <w:gridSpan w:val="2"/>
          </w:tcPr>
          <w:p>
            <w:pPr>
              <w:ind w:left="260"/>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202"/>
        </w:trPr>
        <w:tc>
          <w:tcPr>
            <w:tcW w:w="1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32</w:t>
            </w:r>
          </w:p>
        </w:tc>
        <w:tc>
          <w:tcPr>
            <w:tcW w:w="1018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8"/>
              </w:rPr>
              <w:t>Certification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20"/>
                <w:szCs w:val="20"/>
                <w:color w:val="auto"/>
              </w:rPr>
            </w:pPr>
          </w:p>
        </w:tc>
        <w:tc>
          <w:tcPr>
            <w:tcW w:w="10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7"/>
              </w:rPr>
              <w:t>101.INS*</w:t>
            </w:r>
          </w:p>
        </w:tc>
        <w:tc>
          <w:tcPr>
            <w:tcW w:w="10180" w:type="dxa"/>
            <w:vAlign w:val="bottom"/>
            <w:gridSpan w:val="2"/>
          </w:tcPr>
          <w:p>
            <w:pPr>
              <w:ind w:left="2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101.SCH*</w:t>
            </w:r>
          </w:p>
        </w:tc>
        <w:tc>
          <w:tcPr>
            <w:tcW w:w="10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10180" w:type="dxa"/>
            <w:vAlign w:val="bottom"/>
            <w:gridSpan w:val="2"/>
          </w:tcPr>
          <w:p>
            <w:pPr>
              <w:ind w:left="260"/>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101.DEF*</w:t>
            </w:r>
          </w:p>
        </w:tc>
        <w:tc>
          <w:tcPr>
            <w:tcW w:w="10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10180" w:type="dxa"/>
            <w:vAlign w:val="bottom"/>
            <w:gridSpan w:val="2"/>
          </w:tcPr>
          <w:p>
            <w:pPr>
              <w:ind w:left="260"/>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101.PRE*</w:t>
            </w:r>
          </w:p>
        </w:tc>
        <w:tc>
          <w:tcPr>
            <w:tcW w:w="10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200" w:hanging="172"/>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 11 or 12 of the Securities Act of 1933, as amended, are deemed not filed for purposes of Section 18 of the Securities Exchange Act of 1934, as amended, and otherwise are not subject to liability under these sections.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color w:val="auto"/>
        </w:rPr>
        <w:t>Date: September 7, 2011</w:t>
      </w:r>
      <w:r>
        <w:rPr>
          <w:sz w:val="20"/>
          <w:szCs w:val="20"/>
          <w:color w:val="auto"/>
        </w:rPr>
        <w:tab/>
      </w:r>
      <w:r>
        <w:rPr>
          <w:rFonts w:ascii="Arial" w:cs="Arial" w:eastAsia="Arial" w:hAnsi="Arial"/>
          <w:sz w:val="17"/>
          <w:szCs w:val="17"/>
          <w:color w:val="auto"/>
        </w:rPr>
        <w:t>AEROVIRONMENT, INC.</w:t>
      </w:r>
    </w:p>
    <w:p>
      <w:pPr>
        <w:spacing w:after="0" w:line="225" w:lineRule="exact"/>
        <w:rPr>
          <w:sz w:val="20"/>
          <w:szCs w:val="20"/>
          <w:color w:val="auto"/>
        </w:rPr>
      </w:pPr>
    </w:p>
    <w:p>
      <w:pPr>
        <w:ind w:left="5780"/>
        <w:spacing w:after="0"/>
        <w:tabs>
          <w:tab w:leader="none" w:pos="6240" w:val="left"/>
        </w:tabs>
        <w:rPr>
          <w:sz w:val="20"/>
          <w:szCs w:val="20"/>
          <w:color w:val="auto"/>
        </w:rPr>
      </w:pPr>
      <w:r>
        <w:rPr>
          <w:rFonts w:ascii="Arial" w:cs="Arial" w:eastAsia="Arial" w:hAnsi="Arial"/>
          <w:sz w:val="18"/>
          <w:szCs w:val="18"/>
          <w:color w:val="auto"/>
        </w:rPr>
        <w:t>By:</w:t>
        <w:tab/>
        <w:t>/s/ Timothy E. Conver</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Chairman, Chief Executive Officer and President</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Jikun Kim</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Timothy E. Conver, certify that:</w:t>
      </w:r>
    </w:p>
    <w:p>
      <w:pPr>
        <w:spacing w:after="0" w:line="225" w:lineRule="exact"/>
        <w:rPr>
          <w:sz w:val="20"/>
          <w:szCs w:val="20"/>
          <w:color w:val="auto"/>
        </w:rPr>
      </w:pPr>
    </w:p>
    <w:p>
      <w:pPr>
        <w:ind w:left="340" w:hanging="329"/>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225" w:lineRule="exact"/>
        <w:rPr>
          <w:rFonts w:ascii="Arial" w:cs="Arial" w:eastAsia="Arial" w:hAnsi="Arial"/>
          <w:sz w:val="18"/>
          <w:szCs w:val="18"/>
          <w:color w:val="auto"/>
        </w:rPr>
      </w:pPr>
    </w:p>
    <w:p>
      <w:pPr>
        <w:ind w:left="340" w:right="120" w:hanging="329"/>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29"/>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0" w:hanging="329"/>
        <w:spacing w:after="0" w:line="264" w:lineRule="auto"/>
        <w:tabs>
          <w:tab w:leader="none" w:pos="35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480" w:hanging="329"/>
        <w:spacing w:after="0" w:line="308" w:lineRule="auto"/>
        <w:tabs>
          <w:tab w:leader="none" w:pos="35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2011</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Timothy E. Conver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Jikun Kim, certify that:</w:t>
      </w:r>
    </w:p>
    <w:p>
      <w:pPr>
        <w:spacing w:after="0" w:line="225" w:lineRule="exact"/>
        <w:rPr>
          <w:sz w:val="20"/>
          <w:szCs w:val="20"/>
          <w:color w:val="auto"/>
        </w:rPr>
      </w:pPr>
    </w:p>
    <w:p>
      <w:pPr>
        <w:ind w:left="340" w:hanging="329"/>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225" w:lineRule="exact"/>
        <w:rPr>
          <w:rFonts w:ascii="Arial" w:cs="Arial" w:eastAsia="Arial" w:hAnsi="Arial"/>
          <w:sz w:val="18"/>
          <w:szCs w:val="18"/>
          <w:color w:val="auto"/>
        </w:rPr>
      </w:pPr>
    </w:p>
    <w:p>
      <w:pPr>
        <w:ind w:left="340" w:right="120" w:hanging="329"/>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29"/>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29"/>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29"/>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2011</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Jikun Kim</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29"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8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Quarterly Report on Form 10-Q for the quarter ended July 30, 2011 (the “Periodic Report”) of the Company fully complies with the requirements of Section 13(a) of the Securities Exchange Act of 1934 (15 U.S.C. 78m or 78o(d)) and information contained in the Periodic Report fairly presents, in all material respects, the financial condition and results of operations of the Company.</w:t>
      </w:r>
    </w:p>
    <w:p>
      <w:pPr>
        <w:spacing w:after="0" w:line="18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Timothy E. Conver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Chairman, Chief Executive Officer and President</w:t>
      </w:r>
    </w:p>
    <w:p>
      <w:pPr>
        <w:spacing w:after="0" w:line="200" w:lineRule="exact"/>
        <w:rPr>
          <w:sz w:val="20"/>
          <w:szCs w:val="20"/>
          <w:color w:val="auto"/>
        </w:rPr>
      </w:pPr>
    </w:p>
    <w:p>
      <w:pPr>
        <w:spacing w:after="0" w:line="22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Jikun Kim</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7, 2011</w:t>
      </w:r>
    </w:p>
    <w:p>
      <w:pPr>
        <w:spacing w:after="0" w:line="225"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4"/>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2019-12-11T03:47:49Z</dcterms:created>
  <dcterms:modified xsi:type="dcterms:W3CDTF">2019-12-11T03:47:49Z</dcterms:modified>
</cp:coreProperties>
</file>