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6631d1_8k.htm"/>
      <w:bookmarkStart w:id="1" w:name="kstm2626631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D_edei--DocumentType_c2026092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September 24,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3_edei--EntityRegistrantName_c2026"/>
      <w:bookmarkEnd w:id="4"/>
      <w:r>
        <w:rPr>
          <w:rFonts w:ascii="Times New Roman;Times;Serif" w:hAnsi="Times New Roman;Times;Serif"/>
          <w:b/>
          <w:i w:val="false"/>
          <w:caps w:val="false"/>
          <w:smallCaps w:val="false"/>
          <w:sz w:val="36"/>
        </w:rPr>
        <w:t>AEROVIRONMENT,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740" w:type="dxa"/>
        <w:jc w:val="left"/>
        <w:tblInd w:w="0" w:type="dxa"/>
        <w:tblLayout w:type="fixed"/>
        <w:tblCellMar>
          <w:top w:w="0" w:type="dxa"/>
          <w:left w:w="0" w:type="dxa"/>
          <w:bottom w:w="0" w:type="dxa"/>
          <w:right w:w="0" w:type="dxa"/>
        </w:tblCellMar>
      </w:tblPr>
      <w:tblGrid>
        <w:gridCol w:w="2495"/>
        <w:gridCol w:w="60"/>
        <w:gridCol w:w="2210"/>
        <w:gridCol w:w="60"/>
        <w:gridCol w:w="2915"/>
      </w:tblGrid>
      <w:tr>
        <w:trPr/>
        <w:tc>
          <w:tcPr>
            <w:tcW w:w="2495" w:type="dxa"/>
            <w:tcBorders/>
            <w:vAlign w:val="center"/>
          </w:tcPr>
          <w:p>
            <w:pPr>
              <w:pStyle w:val="TableContents"/>
              <w:bidi w:val="0"/>
              <w:spacing w:before="0" w:after="283"/>
              <w:jc w:val="center"/>
              <w:rPr>
                <w:rFonts w:ascii="Times New Roman;Times;Serif" w:hAnsi="Times New Roman;Times;Serif"/>
                <w:b/>
                <w:sz w:val="20"/>
              </w:rPr>
            </w:pPr>
            <w:bookmarkStart w:id="5" w:name="xdx_903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6_edei--EntityFileNumber_c20260924"/>
            <w:bookmarkEnd w:id="6"/>
            <w:r>
              <w:rPr>
                <w:rFonts w:ascii="Times New Roman;Times;Serif" w:hAnsi="Times New Roman;Times;Serif"/>
                <w:b/>
                <w:sz w:val="20"/>
              </w:rPr>
              <w:t>001-33261</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rFonts w:ascii="Times New Roman;Times;Serif" w:hAnsi="Times New Roman;Times;Serif"/>
                <w:b/>
                <w:sz w:val="20"/>
              </w:rPr>
            </w:pPr>
            <w:bookmarkStart w:id="7" w:name="xdx_905_edei--EntityTaxIdentificationNum"/>
            <w:bookmarkEnd w:id="7"/>
            <w:r>
              <w:rPr>
                <w:rFonts w:ascii="Times New Roman;Times;Serif" w:hAnsi="Times New Roman;Times;Serif"/>
                <w:b/>
                <w:sz w:val="20"/>
              </w:rPr>
              <w:t>95-2705790</w:t>
            </w:r>
          </w:p>
        </w:tc>
      </w:tr>
      <w:tr>
        <w:trPr/>
        <w:tc>
          <w:tcPr>
            <w:tcW w:w="24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24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incorporation or organization)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3275"/>
        <w:gridCol w:w="60"/>
        <w:gridCol w:w="920"/>
      </w:tblGrid>
      <w:tr>
        <w:trPr/>
        <w:tc>
          <w:tcPr>
            <w:tcW w:w="3275" w:type="dxa"/>
            <w:tcBorders/>
            <w:vAlign w:val="center"/>
          </w:tcPr>
          <w:p>
            <w:pPr>
              <w:pStyle w:val="TableContents"/>
              <w:bidi w:val="0"/>
              <w:spacing w:before="0" w:after="283"/>
              <w:jc w:val="center"/>
              <w:rPr/>
            </w:pPr>
            <w:bookmarkStart w:id="8" w:name="xdx_903_edei--EntityAddressAddressLine1_"/>
            <w:bookmarkEnd w:id="8"/>
            <w:r>
              <w:rPr>
                <w:rFonts w:ascii="Times New Roman;Times;Serif" w:hAnsi="Times New Roman;Times;Serif"/>
                <w:b/>
                <w:sz w:val="20"/>
              </w:rPr>
              <w:t xml:space="preserve">241 18th Street South, </w:t>
            </w:r>
            <w:bookmarkStart w:id="9" w:name="xdx_901_edei--EntityAddressAddressLine2_"/>
            <w:bookmarkEnd w:id="9"/>
            <w:r>
              <w:rPr>
                <w:rFonts w:ascii="Times New Roman;Times;Serif" w:hAnsi="Times New Roman;Times;Serif"/>
                <w:b/>
                <w:sz w:val="20"/>
              </w:rPr>
              <w:t>Suite 650</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 </w:t>
            </w:r>
          </w:p>
        </w:tc>
      </w:tr>
      <w:tr>
        <w:trPr/>
        <w:tc>
          <w:tcPr>
            <w:tcW w:w="3275" w:type="dxa"/>
            <w:tcBorders/>
            <w:vAlign w:val="center"/>
          </w:tcPr>
          <w:p>
            <w:pPr>
              <w:pStyle w:val="TableContents"/>
              <w:bidi w:val="0"/>
              <w:spacing w:before="0" w:after="283"/>
              <w:jc w:val="center"/>
              <w:rPr/>
            </w:pPr>
            <w:bookmarkStart w:id="10" w:name="xdx_908_edei--EntityAddressCityOrTown_c2"/>
            <w:bookmarkEnd w:id="10"/>
            <w:r>
              <w:rPr>
                <w:rFonts w:ascii="Times New Roman;Times;Serif" w:hAnsi="Times New Roman;Times;Serif"/>
                <w:b/>
                <w:sz w:val="20"/>
              </w:rPr>
              <w:t xml:space="preserve">Arlington, </w:t>
            </w:r>
            <w:bookmarkStart w:id="11" w:name="xdx_90E_edei--EntityAddressStateOrProvin"/>
            <w:bookmarkEnd w:id="11"/>
            <w:r>
              <w:rPr>
                <w:rFonts w:ascii="Times New Roman;Times;Serif" w:hAnsi="Times New Roman;Times;Serif"/>
                <w:b/>
                <w:sz w:val="20"/>
              </w:rPr>
              <w:t>Virginia</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sz w:val="20"/>
              </w:rPr>
            </w:pPr>
            <w:bookmarkStart w:id="12" w:name="xdx_90C_edei--EntityAddressPostalZipCode"/>
            <w:bookmarkEnd w:id="12"/>
            <w:r>
              <w:rPr>
                <w:rFonts w:ascii="Times New Roman;Times;Serif" w:hAnsi="Times New Roman;Times;Serif"/>
                <w:b/>
                <w:sz w:val="20"/>
              </w:rPr>
              <w:t>22202</w:t>
            </w:r>
          </w:p>
        </w:tc>
      </w:tr>
      <w:tr>
        <w:trPr/>
        <w:tc>
          <w:tcPr>
            <w:tcW w:w="3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9_edei--CityAreaCode_c20260924__20"/>
      <w:bookmarkEnd w:id="13"/>
      <w:r>
        <w:rPr>
          <w:rFonts w:ascii="Times New Roman;Times;Serif" w:hAnsi="Times New Roman;Times;Serif"/>
          <w:b/>
          <w:i w:val="false"/>
          <w:caps w:val="false"/>
          <w:smallCaps w:val="false"/>
          <w:sz w:val="20"/>
        </w:rPr>
        <w:t xml:space="preserve">703) </w:t>
      </w:r>
      <w:bookmarkStart w:id="14" w:name="xdx_909_edei--LocalPhoneNumber_c20260924"/>
      <w:bookmarkEnd w:id="14"/>
      <w:r>
        <w:rPr>
          <w:rFonts w:ascii="Times New Roman;Times;Serif" w:hAnsi="Times New Roman;Times;Serif"/>
          <w:b/>
          <w:i w:val="false"/>
          <w:caps w:val="false"/>
          <w:smallCaps w:val="false"/>
          <w:sz w:val="20"/>
        </w:rPr>
        <w:t>418-2828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bookmarkStart w:id="15" w:name="xdx_90C_edei--WrittenCommunications_c202"/>
      <w:bookmarkEnd w:id="15"/>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bookmarkStart w:id="16" w:name="xdx_90B_edei--SolicitingMaterial_c202609"/>
      <w:bookmarkEnd w:id="16"/>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bookmarkStart w:id="17" w:name="xdx_90A_edei--PreCommencementTenderOffer"/>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bookmarkStart w:id="18" w:name="xdx_90C_edei--PreCommencementIssuerTende"/>
      <w:bookmarkEnd w:id="18"/>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390" w:type="dxa"/>
        <w:jc w:val="left"/>
        <w:tblInd w:w="-10" w:type="dxa"/>
        <w:tblLayout w:type="fixed"/>
        <w:tblCellMar>
          <w:top w:w="28" w:type="dxa"/>
          <w:left w:w="108" w:type="dxa"/>
          <w:bottom w:w="28" w:type="dxa"/>
          <w:right w:w="108" w:type="dxa"/>
        </w:tblCellMar>
      </w:tblPr>
      <w:tblGrid>
        <w:gridCol w:w="3350"/>
        <w:gridCol w:w="1805"/>
        <w:gridCol w:w="4235"/>
      </w:tblGrid>
      <w:tr>
        <w:trPr/>
        <w:tc>
          <w:tcPr>
            <w:tcW w:w="33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Title of each class</w:t>
            </w:r>
          </w:p>
        </w:tc>
        <w:tc>
          <w:tcPr>
            <w:tcW w:w="18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Trading Symbol(s)</w:t>
            </w:r>
          </w:p>
        </w:tc>
        <w:tc>
          <w:tcPr>
            <w:tcW w:w="42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Name of each exchange on which registered</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bookmarkStart w:id="19" w:name="xdx_906_edei--Security12bTitle_c20260924"/>
            <w:bookmarkEnd w:id="19"/>
            <w:r>
              <w:rPr/>
              <w:t>Common Stock, $0.0001 par value</w:t>
            </w:r>
          </w:p>
        </w:tc>
        <w:tc>
          <w:tcPr>
            <w:tcW w:w="18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bookmarkStart w:id="20" w:name="xdx_90B_edei--TradingSymbol_c20260924__2"/>
            <w:bookmarkEnd w:id="20"/>
            <w:r>
              <w:rPr/>
              <w:t>AVAV</w:t>
            </w:r>
          </w:p>
        </w:tc>
        <w:tc>
          <w:tcPr>
            <w:tcW w:w="4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bookmarkStart w:id="21" w:name="xdx_900_edei--SecurityExchangeName_c2026"/>
            <w:bookmarkEnd w:id="21"/>
            <w:r>
              <w:rPr/>
              <w:t>The 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8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2026, AeroVironment, Inc. (the “Company”) held its 2026 Annual Meeting of Stockholders (the “Annual Meeting”). Below is a brief description of each matter submitted to a vote at the Annual Meeting, as well as the final voting results with respect to each matter. For more information about these proposals, please refer to the Company’s 2026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1 —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stockholders elected the five persons nominated by the Board of Directors as Class I and Class II directors for a one-year term as follows:</w:t>
      </w:r>
    </w:p>
    <w:p>
      <w:pPr>
        <w:pStyle w:val="TextBody"/>
        <w:bidi w:val="0"/>
        <w:spacing w:before="0" w:after="0"/>
        <w:ind w:left="0" w:right="0" w:hanging="0"/>
        <w:jc w:val="left"/>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1640"/>
        <w:gridCol w:w="60"/>
        <w:gridCol w:w="950"/>
        <w:gridCol w:w="60"/>
        <w:gridCol w:w="845"/>
        <w:gridCol w:w="60"/>
        <w:gridCol w:w="695"/>
        <w:gridCol w:w="60"/>
        <w:gridCol w:w="1565"/>
      </w:tblGrid>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35"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w:t>
            </w:r>
          </w:p>
        </w:tc>
      </w:tr>
      <w:tr>
        <w:trPr/>
        <w:tc>
          <w:tcPr>
            <w:tcW w:w="16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Director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r>
      <w:tr>
        <w:trPr/>
        <w:tc>
          <w:tcPr>
            <w:tcW w:w="1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Edward R. Muller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25,560,511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1,195,871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122,137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12,061,430</w:t>
            </w:r>
          </w:p>
        </w:tc>
      </w:tr>
      <w:tr>
        <w:trPr/>
        <w:tc>
          <w:tcPr>
            <w:tcW w:w="1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J. Lynn, III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26,671,671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86,930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119,918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12,061,430</w:t>
            </w:r>
          </w:p>
        </w:tc>
      </w:tr>
      <w:tr>
        <w:trPr/>
        <w:tc>
          <w:tcPr>
            <w:tcW w:w="1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 S. Davidson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24,662,487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2,097,390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118,642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12,061,430</w:t>
            </w:r>
          </w:p>
        </w:tc>
      </w:tr>
      <w:tr>
        <w:trPr/>
        <w:tc>
          <w:tcPr>
            <w:tcW w:w="1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Mary Beth Long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26,597,391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158,320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122,808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12,061,430</w:t>
            </w:r>
          </w:p>
        </w:tc>
      </w:tr>
      <w:tr>
        <w:trPr/>
        <w:tc>
          <w:tcPr>
            <w:tcW w:w="1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D. Ruppert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26,447,990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306,374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124,155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12,061,430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above directors shall serve for a term of one year, ending at the Company’s 2027 annual meeting of stockholders, and until his or her successor has been duly elected and qualified.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2 — Ratification of Company’s Independent Auditors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selected Deloitte &amp; Touche LLP as the Company’s independent registered public accounting firm for the fiscal year ending April 30, 2027. The Company’s stockholders ratified the selection of Deloitte &amp; Touche LLP as follows:</w:t>
      </w:r>
    </w:p>
    <w:p>
      <w:pPr>
        <w:pStyle w:val="TextBody"/>
        <w:bidi w:val="0"/>
        <w:spacing w:before="0" w:after="0"/>
        <w:ind w:left="0" w:right="0" w:hanging="0"/>
        <w:jc w:val="left"/>
        <w:rPr>
          <w:caps w:val="false"/>
          <w:smallCaps w:val="false"/>
        </w:rPr>
      </w:pPr>
      <w:r>
        <w:rPr>
          <w:caps w:val="false"/>
          <w:smallCaps w:val="false"/>
        </w:rPr>
        <w:t> </w:t>
      </w:r>
    </w:p>
    <w:tbl>
      <w:tblPr>
        <w:tblW w:w="2460" w:type="dxa"/>
        <w:jc w:val="left"/>
        <w:tblInd w:w="0" w:type="dxa"/>
        <w:tblLayout w:type="fixed"/>
        <w:tblCellMar>
          <w:top w:w="0" w:type="dxa"/>
          <w:left w:w="0" w:type="dxa"/>
          <w:bottom w:w="28" w:type="dxa"/>
          <w:right w:w="0" w:type="dxa"/>
        </w:tblCellMar>
      </w:tblPr>
      <w:tblGrid>
        <w:gridCol w:w="965"/>
        <w:gridCol w:w="60"/>
        <w:gridCol w:w="665"/>
        <w:gridCol w:w="60"/>
        <w:gridCol w:w="710"/>
      </w:tblGrid>
      <w:tr>
        <w:trPr/>
        <w:tc>
          <w:tcPr>
            <w:tcW w:w="2460" w:type="dxa"/>
            <w:gridSpan w:val="5"/>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w:t>
            </w:r>
          </w:p>
        </w:tc>
      </w:tr>
      <w:tr>
        <w:trPr/>
        <w:tc>
          <w:tcPr>
            <w:tcW w:w="96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1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r>
      <w:tr>
        <w:trPr/>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38,721,832</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97,417</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120,700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3 — Advisory Vote on a Resolution Relating to the Compensation of the Company’s Named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stockholders approved, by an advisory vote, a resolution relating to the compensation of the Company’s named executive officers, as disclosed in the proxy statement, by the following vote:</w:t>
      </w:r>
    </w:p>
    <w:p>
      <w:pPr>
        <w:pStyle w:val="TextBody"/>
        <w:bidi w:val="0"/>
        <w:spacing w:before="0" w:after="0"/>
        <w:ind w:left="0" w:right="0" w:hanging="0"/>
        <w:jc w:val="left"/>
        <w:rPr>
          <w:caps w:val="false"/>
          <w:smallCaps w:val="false"/>
        </w:rPr>
      </w:pPr>
      <w:r>
        <w:rPr>
          <w:caps w:val="false"/>
          <w:smallCaps w:val="false"/>
        </w:rPr>
        <w:t> </w:t>
      </w:r>
    </w:p>
    <w:tbl>
      <w:tblPr>
        <w:tblW w:w="4250" w:type="dxa"/>
        <w:jc w:val="left"/>
        <w:tblInd w:w="0" w:type="dxa"/>
        <w:tblLayout w:type="fixed"/>
        <w:tblCellMar>
          <w:top w:w="0" w:type="dxa"/>
          <w:left w:w="0" w:type="dxa"/>
          <w:bottom w:w="28" w:type="dxa"/>
          <w:right w:w="0" w:type="dxa"/>
        </w:tblCellMar>
      </w:tblPr>
      <w:tblGrid>
        <w:gridCol w:w="965"/>
        <w:gridCol w:w="60"/>
        <w:gridCol w:w="845"/>
        <w:gridCol w:w="60"/>
        <w:gridCol w:w="695"/>
        <w:gridCol w:w="60"/>
        <w:gridCol w:w="1565"/>
      </w:tblGrid>
      <w:tr>
        <w:trPr/>
        <w:tc>
          <w:tcPr>
            <w:tcW w:w="4250" w:type="dxa"/>
            <w:gridSpan w:val="7"/>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Shares</w:t>
            </w:r>
          </w:p>
        </w:tc>
      </w:tr>
      <w:tr>
        <w:trPr/>
        <w:tc>
          <w:tcPr>
            <w:tcW w:w="96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4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Against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9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Abstain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6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Broker Non-Votes</w:t>
            </w:r>
          </w:p>
        </w:tc>
      </w:tr>
      <w:tr>
        <w:trPr/>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25,413,211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1,098,194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367,114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12,061,430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8025" w:type="dxa"/>
        <w:jc w:val="left"/>
        <w:tblInd w:w="0" w:type="dxa"/>
        <w:tblLayout w:type="fixed"/>
        <w:tblCellMar>
          <w:top w:w="0" w:type="dxa"/>
          <w:left w:w="0" w:type="dxa"/>
          <w:bottom w:w="0" w:type="dxa"/>
          <w:right w:w="0" w:type="dxa"/>
        </w:tblCellMar>
      </w:tblPr>
      <w:tblGrid>
        <w:gridCol w:w="2135"/>
        <w:gridCol w:w="320"/>
        <w:gridCol w:w="5570"/>
      </w:tblGrid>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589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AEROVIRONMENT, INC.</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30,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5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Melissa Brown</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Melissa Brown</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Chief Legal Officer &amp; Corporate Secretary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3616</Characters>
  <CharactersWithSpaces>4280</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