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641477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4770" cy="4381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2409190</wp:posOffset>
            </wp:positionH>
            <wp:positionV relativeFrom="paragraph">
              <wp:posOffset>136525</wp:posOffset>
            </wp:positionV>
            <wp:extent cx="160020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200" cy="1460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2409190</wp:posOffset>
            </wp:positionH>
            <wp:positionV relativeFrom="paragraph">
              <wp:posOffset>160655</wp:posOffset>
            </wp:positionV>
            <wp:extent cx="16002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200" cy="762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700" w:hanging="417"/>
        <w:spacing w:after="0"/>
        <w:tabs>
          <w:tab w:leader="none" w:pos="70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quarterly period ended October 27, 2018</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19" w:lineRule="exact"/>
        <w:rPr>
          <w:sz w:val="24"/>
          <w:szCs w:val="24"/>
          <w:color w:val="auto"/>
        </w:rPr>
      </w:pPr>
    </w:p>
    <w:p>
      <w:pPr>
        <w:ind w:left="700" w:hanging="417"/>
        <w:spacing w:after="0"/>
        <w:tabs>
          <w:tab w:leader="none" w:pos="70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0080"/>
          </w:cols>
          <w:pgMar w:left="900" w:top="217" w:right="919" w:bottom="1440" w:gutter="0" w:footer="0" w:header="0"/>
        </w:sectPr>
      </w:pPr>
    </w:p>
    <w:p>
      <w:pPr>
        <w:spacing w:after="0" w:line="13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116" w:lineRule="exact"/>
        <w:rPr>
          <w:sz w:val="24"/>
          <w:szCs w:val="24"/>
          <w:color w:val="auto"/>
        </w:rPr>
      </w:pPr>
    </w:p>
    <w:p>
      <w:pPr>
        <w:sectPr>
          <w:pgSz w:w="11900" w:h="16838" w:orient="portrait"/>
          <w:cols w:equalWidth="0" w:num="2">
            <w:col w:w="5460" w:space="340"/>
            <w:col w:w="4280"/>
          </w:cols>
          <w:pgMar w:left="900" w:top="217" w:right="9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2409190</wp:posOffset>
            </wp:positionH>
            <wp:positionV relativeFrom="paragraph">
              <wp:posOffset>146685</wp:posOffset>
            </wp:positionV>
            <wp:extent cx="16002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200" cy="7620"/>
                    </a:xfrm>
                    <a:prstGeom prst="rect">
                      <a:avLst/>
                    </a:prstGeom>
                    <a:noFill/>
                  </pic:spPr>
                </pic:pic>
              </a:graphicData>
            </a:graphic>
          </wp:anchor>
        </w:drawing>
      </w:r>
    </w:p>
    <w:p>
      <w:pPr>
        <w:sectPr>
          <w:pgSz w:w="11900" w:h="16838" w:orient="portrait"/>
          <w:cols w:equalWidth="0" w:num="1">
            <w:col w:w="10080"/>
          </w:cols>
          <w:pgMar w:left="900" w:top="217" w:right="91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AEROVIRONMENT,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0080"/>
          </w:cols>
          <w:pgMar w:left="900" w:top="217" w:right="919" w:bottom="1440" w:gutter="0" w:footer="0" w:header="0"/>
          <w:type w:val="continuous"/>
        </w:sectPr>
      </w:pPr>
    </w:p>
    <w:p>
      <w:pPr>
        <w:spacing w:after="0" w:line="10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1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95-2705790</w:t>
      </w:r>
    </w:p>
    <w:p>
      <w:pPr>
        <w:spacing w:after="0" w:line="17"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12" w:lineRule="exact"/>
        <w:rPr>
          <w:sz w:val="24"/>
          <w:szCs w:val="24"/>
          <w:color w:val="auto"/>
        </w:rPr>
      </w:pPr>
    </w:p>
    <w:p>
      <w:pPr>
        <w:sectPr>
          <w:pgSz w:w="11900" w:h="16838" w:orient="portrait"/>
          <w:cols w:equalWidth="0" w:num="2">
            <w:col w:w="6020" w:space="720"/>
            <w:col w:w="3340"/>
          </w:cols>
          <w:pgMar w:left="900" w:top="217" w:right="9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2"/>
          <w:szCs w:val="12"/>
          <w:b w:val="1"/>
          <w:bCs w:val="1"/>
          <w:color w:val="auto"/>
        </w:rPr>
        <w:t>900 Innovators Way</w:t>
      </w:r>
    </w:p>
    <w:p>
      <w:pPr>
        <w:spacing w:after="0" w:line="1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b w:val="1"/>
          <w:bCs w:val="1"/>
          <w:color w:val="auto"/>
        </w:rPr>
        <w:t>Simi Valley, California</w:t>
      </w:r>
    </w:p>
    <w:p>
      <w:pPr>
        <w:spacing w:after="0" w:line="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93065</w:t>
      </w:r>
    </w:p>
    <w:p>
      <w:pPr>
        <w:spacing w:after="0" w:line="17"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color w:val="auto"/>
        </w:rPr>
        <w:t>(Zip Code)</w:t>
      </w:r>
    </w:p>
    <w:p>
      <w:pPr>
        <w:spacing w:after="0" w:line="112" w:lineRule="exact"/>
        <w:rPr>
          <w:sz w:val="24"/>
          <w:szCs w:val="24"/>
          <w:color w:val="auto"/>
        </w:rPr>
      </w:pPr>
    </w:p>
    <w:p>
      <w:pPr>
        <w:sectPr>
          <w:pgSz w:w="11900" w:h="16838" w:orient="portrait"/>
          <w:cols w:equalWidth="0" w:num="2">
            <w:col w:w="6640" w:space="720"/>
            <w:col w:w="2720"/>
          </w:cols>
          <w:pgMar w:left="900" w:top="217" w:right="9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(805) 520-8350</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7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800 Royal Oaks Drive, Suite 210</w:t>
      </w:r>
    </w:p>
    <w:p>
      <w:pPr>
        <w:ind w:left="4320"/>
        <w:spacing w:after="0" w:line="230" w:lineRule="auto"/>
        <w:rPr>
          <w:sz w:val="20"/>
          <w:szCs w:val="20"/>
          <w:color w:val="auto"/>
        </w:rPr>
      </w:pPr>
      <w:r>
        <w:rPr>
          <w:rFonts w:ascii="Times New Roman" w:cs="Times New Roman" w:eastAsia="Times New Roman" w:hAnsi="Times New Roman"/>
          <w:sz w:val="12"/>
          <w:szCs w:val="12"/>
          <w:b w:val="1"/>
          <w:bCs w:val="1"/>
          <w:color w:val="auto"/>
        </w:rPr>
        <w:t>Monrovia, California 91016</w:t>
      </w:r>
    </w:p>
    <w:p>
      <w:pPr>
        <w:ind w:left="3040"/>
        <w:spacing w:after="0"/>
        <w:rPr>
          <w:sz w:val="20"/>
          <w:szCs w:val="20"/>
          <w:color w:val="auto"/>
        </w:rPr>
      </w:pPr>
      <w:r>
        <w:rPr>
          <w:rFonts w:ascii="Times New Roman" w:cs="Times New Roman" w:eastAsia="Times New Roman" w:hAnsi="Times New Roman"/>
          <w:sz w:val="12"/>
          <w:szCs w:val="12"/>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2409190</wp:posOffset>
            </wp:positionH>
            <wp:positionV relativeFrom="paragraph">
              <wp:posOffset>121285</wp:posOffset>
            </wp:positionV>
            <wp:extent cx="160020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0200" cy="14605"/>
                    </a:xfrm>
                    <a:prstGeom prst="rect">
                      <a:avLst/>
                    </a:prstGeom>
                    <a:noFill/>
                  </pic:spPr>
                </pic:pic>
              </a:graphicData>
            </a:graphic>
          </wp:anchor>
        </w:drawing>
      </w:r>
    </w:p>
    <w:p>
      <w:pPr>
        <w:sectPr>
          <w:pgSz w:w="11900" w:h="16838" w:orient="portrait"/>
          <w:cols w:equalWidth="0" w:num="1">
            <w:col w:w="10080"/>
          </w:cols>
          <w:pgMar w:left="900" w:top="217" w:right="919" w:bottom="1440" w:gutter="0" w:footer="0" w:header="0"/>
          <w:type w:val="continuous"/>
        </w:sectPr>
      </w:pPr>
    </w:p>
    <w:p>
      <w:pPr>
        <w:spacing w:after="0" w:line="391" w:lineRule="exact"/>
        <w:rPr>
          <w:sz w:val="24"/>
          <w:szCs w:val="24"/>
          <w:color w:val="auto"/>
        </w:rPr>
      </w:pPr>
    </w:p>
    <w:p>
      <w:pPr>
        <w:ind w:right="100" w:firstLine="277"/>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93" w:lineRule="exact"/>
        <w:rPr>
          <w:sz w:val="24"/>
          <w:szCs w:val="24"/>
          <w:color w:val="auto"/>
        </w:rPr>
      </w:pPr>
    </w:p>
    <w:p>
      <w:pPr>
        <w:ind w:right="240" w:firstLine="277"/>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93" w:lineRule="exact"/>
        <w:rPr>
          <w:sz w:val="24"/>
          <w:szCs w:val="24"/>
          <w:color w:val="auto"/>
        </w:rPr>
      </w:pPr>
    </w:p>
    <w:p>
      <w:pPr>
        <w:ind w:firstLine="277"/>
        <w:spacing w:after="0" w:line="22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1860"/>
        <w:spacing w:after="0" w:line="138" w:lineRule="exact"/>
        <w:tabs>
          <w:tab w:leader="none" w:pos="7120" w:val="left"/>
        </w:tabs>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ectPr>
          <w:pgSz w:w="11900" w:h="16838" w:orient="portrait"/>
          <w:cols w:equalWidth="0" w:num="1">
            <w:col w:w="10080"/>
          </w:cols>
          <w:pgMar w:left="900" w:top="217" w:right="919" w:bottom="1440" w:gutter="0" w:footer="0" w:header="0"/>
          <w:type w:val="continuous"/>
        </w:sectPr>
      </w:pPr>
    </w:p>
    <w:p>
      <w:pPr>
        <w:spacing w:after="0" w:line="111" w:lineRule="exact"/>
        <w:rPr>
          <w:sz w:val="24"/>
          <w:szCs w:val="24"/>
          <w:color w:val="auto"/>
        </w:rPr>
      </w:pPr>
    </w:p>
    <w:p>
      <w:pPr>
        <w:ind w:left="188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139" w:lineRule="exact"/>
        <w:rPr>
          <w:sz w:val="24"/>
          <w:szCs w:val="24"/>
          <w:color w:val="auto"/>
        </w:rPr>
      </w:pPr>
    </w:p>
    <w:p>
      <w:pPr>
        <w:sectPr>
          <w:pgSz w:w="11900" w:h="16838" w:orient="portrait"/>
          <w:cols w:equalWidth="0" w:num="2">
            <w:col w:w="6160" w:space="720"/>
            <w:col w:w="3200"/>
          </w:cols>
          <w:pgMar w:left="900" w:top="217" w:right="919" w:bottom="1440" w:gutter="0" w:footer="0" w:header="0"/>
          <w:type w:val="continuous"/>
        </w:sectPr>
      </w:pPr>
    </w:p>
    <w:p>
      <w:pPr>
        <w:ind w:left="688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0080"/>
          </w:cols>
          <w:pgMar w:left="900" w:top="217" w:right="919" w:bottom="1440" w:gutter="0" w:footer="0" w:header="0"/>
          <w:type w:val="continuous"/>
        </w:sectPr>
      </w:pPr>
    </w:p>
    <w:p>
      <w:pPr>
        <w:spacing w:after="0" w:line="146" w:lineRule="exact"/>
        <w:rPr>
          <w:sz w:val="24"/>
          <w:szCs w:val="24"/>
          <w:color w:val="auto"/>
        </w:rPr>
      </w:pPr>
    </w:p>
    <w:p>
      <w:pPr>
        <w:ind w:right="180" w:firstLine="277"/>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86" w:lineRule="exact"/>
        <w:rPr>
          <w:sz w:val="24"/>
          <w:szCs w:val="24"/>
          <w:color w:val="auto"/>
        </w:rPr>
      </w:pPr>
    </w:p>
    <w:p>
      <w:pPr>
        <w:ind w:left="280" w:right="3360"/>
        <w:spacing w:after="0" w:line="22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As of November 21, 2018, the number of shares outstanding of the registrant’s common stock, $0.0001 par value, was 23,928,373.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4147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477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41477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4770" cy="29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285750</wp:posOffset>
            </wp:positionV>
            <wp:extent cx="6414770" cy="22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4770" cy="22225"/>
                    </a:xfrm>
                    <a:prstGeom prst="rect">
                      <a:avLst/>
                    </a:prstGeom>
                    <a:noFill/>
                  </pic:spPr>
                </pic:pic>
              </a:graphicData>
            </a:graphic>
          </wp:anchor>
        </w:drawing>
      </w:r>
    </w:p>
    <w:p>
      <w:pPr>
        <w:sectPr>
          <w:pgSz w:w="11900" w:h="16838" w:orient="portrait"/>
          <w:cols w:equalWidth="0" w:num="1">
            <w:col w:w="10080"/>
          </w:cols>
          <w:pgMar w:left="900" w:top="217" w:right="9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8660" w:type="dxa"/>
            <w:vAlign w:val="bottom"/>
            <w:gridSpan w:val="26"/>
          </w:tcPr>
          <w:p>
            <w:pPr>
              <w:spacing w:after="0"/>
              <w:rPr>
                <w:rFonts w:ascii="Times New Roman" w:cs="Times New Roman" w:eastAsia="Times New Roman" w:hAnsi="Times New Roman"/>
                <w:sz w:val="15"/>
                <w:szCs w:val="15"/>
                <w:color w:val="0563C1"/>
              </w:rPr>
            </w:pPr>
            <w:hyperlink w:anchor="page2">
              <w:r>
                <w:rPr>
                  <w:rFonts w:ascii="Times New Roman" w:cs="Times New Roman" w:eastAsia="Times New Roman" w:hAnsi="Times New Roman"/>
                  <w:sz w:val="15"/>
                  <w:szCs w:val="15"/>
                  <w:color w:val="0563C1"/>
                </w:rPr>
                <w:t>Table of Contents</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2"/>
        </w:trPr>
        <w:tc>
          <w:tcPr>
            <w:tcW w:w="4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00" w:type="dxa"/>
            <w:vAlign w:val="bottom"/>
            <w:gridSpan w:val="8"/>
          </w:tcPr>
          <w:p>
            <w:pPr>
              <w:jc w:val="center"/>
              <w:ind w:right="2940"/>
              <w:spacing w:after="0"/>
              <w:rPr>
                <w:sz w:val="20"/>
                <w:szCs w:val="20"/>
                <w:color w:val="auto"/>
              </w:rPr>
            </w:pPr>
            <w:r>
              <w:rPr>
                <w:rFonts w:ascii="Times New Roman" w:cs="Times New Roman" w:eastAsia="Times New Roman" w:hAnsi="Times New Roman"/>
                <w:sz w:val="15"/>
                <w:szCs w:val="15"/>
                <w:b w:val="1"/>
                <w:bCs w:val="1"/>
                <w:color w:val="auto"/>
              </w:rPr>
              <w:t>AeroVironment,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00" w:type="dxa"/>
            <w:vAlign w:val="bottom"/>
            <w:gridSpan w:val="8"/>
          </w:tcPr>
          <w:p>
            <w:pPr>
              <w:jc w:val="center"/>
              <w:ind w:right="29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40" w:type="dxa"/>
            <w:vAlign w:val="bottom"/>
            <w:gridSpan w:val="4"/>
          </w:tcPr>
          <w:p>
            <w:pPr>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Item 1.</w:t>
              </w:r>
            </w:hyperlink>
          </w:p>
        </w:tc>
        <w:tc>
          <w:tcPr>
            <w:tcW w:w="8020" w:type="dxa"/>
            <w:vAlign w:val="bottom"/>
            <w:gridSpan w:val="22"/>
          </w:tcPr>
          <w:p>
            <w:pPr>
              <w:ind w:left="300"/>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Financial Statements</w:t>
              </w:r>
            </w:hyperlink>
            <w:r>
              <w:rPr>
                <w:rFonts w:ascii="Times New Roman" w:cs="Times New Roman" w:eastAsia="Times New Roman" w:hAnsi="Times New Roman"/>
                <w:sz w:val="15"/>
                <w:szCs w:val="15"/>
                <w:color w:val="000000"/>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Consolidated Balance Sheets as of October 27, 2018 (Unaudited) and April 30, 2018</w:t>
              </w:r>
            </w:hyperlink>
          </w:p>
        </w:tc>
        <w:tc>
          <w:tcPr>
            <w:tcW w:w="2340" w:type="dxa"/>
            <w:vAlign w:val="bottom"/>
            <w:gridSpan w:val="5"/>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60" w:type="dxa"/>
            <w:vAlign w:val="bottom"/>
            <w:gridSpan w:val="19"/>
          </w:tcPr>
          <w:p>
            <w:pPr>
              <w:jc w:val="right"/>
              <w:ind w:right="300"/>
              <w:spacing w:after="0" w:line="165"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Consolidated Statements of Operations for the three and six months ended October 27, 2018 (Unaudited) and October</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140" w:type="dxa"/>
            <w:vAlign w:val="bottom"/>
            <w:tcBorders>
              <w:top w:val="single" w:sz="8" w:color="0000EE"/>
            </w:tcBorders>
            <w:gridSpan w:val="16"/>
          </w:tcPr>
          <w:p>
            <w:pPr>
              <w:spacing w:after="0" w:line="154"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28, 2017 (Unaudited)</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top w:val="single" w:sz="8" w:color="0000EE"/>
            </w:tcBorders>
            <w:gridSpan w:val="8"/>
          </w:tcPr>
          <w:p>
            <w:pPr>
              <w:spacing w:after="0" w:line="154" w:lineRule="exact"/>
              <w:rPr>
                <w:rFonts w:ascii="Times New Roman" w:cs="Times New Roman" w:eastAsia="Times New Roman" w:hAnsi="Times New Roman"/>
                <w:sz w:val="15"/>
                <w:szCs w:val="15"/>
                <w:color w:val="0000EE"/>
                <w:w w:val="87"/>
              </w:rPr>
            </w:pPr>
            <w:hyperlink w:anchor="page5">
              <w:r>
                <w:rPr>
                  <w:rFonts w:ascii="Times New Roman" w:cs="Times New Roman" w:eastAsia="Times New Roman" w:hAnsi="Times New Roman"/>
                  <w:sz w:val="15"/>
                  <w:szCs w:val="15"/>
                  <w:color w:val="0000EE"/>
                  <w:w w:val="87"/>
                </w:rPr>
                <w:t>Consolidated Statements</w:t>
              </w:r>
            </w:hyperlink>
          </w:p>
        </w:tc>
        <w:tc>
          <w:tcPr>
            <w:tcW w:w="6100" w:type="dxa"/>
            <w:vAlign w:val="bottom"/>
            <w:gridSpan w:val="10"/>
          </w:tcPr>
          <w:p>
            <w:pPr>
              <w:jc w:val="right"/>
              <w:ind w:right="300"/>
              <w:spacing w:after="0" w:line="154"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of Comprehensive Income for the three and six months ended October 27, 2018 (Unaudited)</w:t>
              </w:r>
            </w:hyperlink>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120" w:type="dxa"/>
            <w:vAlign w:val="bottom"/>
            <w:tcBorders>
              <w:top w:val="single" w:sz="8" w:color="0000EE"/>
            </w:tcBorders>
            <w:gridSpan w:val="15"/>
          </w:tcPr>
          <w:p>
            <w:pPr>
              <w:spacing w:after="0" w:line="154"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and October 28, 2017 (Unaudited)</w:t>
              </w:r>
            </w:hyperlink>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420" w:type="dxa"/>
            <w:vAlign w:val="bottom"/>
            <w:gridSpan w:val="18"/>
          </w:tcPr>
          <w:p>
            <w:pPr>
              <w:spacing w:after="0" w:line="154" w:lineRule="exact"/>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Consolidated Statements of Cash Flows for the six months ended October 27, 2018 (Unaudited) and October 28, 2017</w:t>
              </w:r>
            </w:hyperlink>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60" w:type="dxa"/>
            <w:vAlign w:val="bottom"/>
            <w:tcBorders>
              <w:top w:val="single" w:sz="8" w:color="0000EE"/>
              <w:bottom w:val="single" w:sz="8" w:color="0000EE"/>
            </w:tcBorders>
            <w:gridSpan w:val="3"/>
          </w:tcPr>
          <w:p>
            <w:pPr>
              <w:spacing w:after="0" w:line="154" w:lineRule="exact"/>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(Unaudited)</w:t>
              </w:r>
            </w:hyperlink>
          </w:p>
        </w:tc>
        <w:tc>
          <w:tcPr>
            <w:tcW w:w="6400" w:type="dxa"/>
            <w:vAlign w:val="bottom"/>
            <w:tcBorders>
              <w:top w:val="single" w:sz="8" w:color="0000EE"/>
            </w:tcBorders>
            <w:gridSpan w:val="14"/>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4"/>
          </w:tcPr>
          <w:p>
            <w:pPr>
              <w:ind w:left="300"/>
              <w:spacing w:after="0" w:line="154" w:lineRule="exact"/>
              <w:rPr>
                <w:rFonts w:ascii="Times New Roman" w:cs="Times New Roman" w:eastAsia="Times New Roman" w:hAnsi="Times New Roman"/>
                <w:sz w:val="15"/>
                <w:szCs w:val="15"/>
                <w:color w:val="0000EE"/>
                <w:w w:val="79"/>
              </w:rPr>
            </w:pPr>
            <w:hyperlink w:anchor="page7">
              <w:r>
                <w:rPr>
                  <w:rFonts w:ascii="Times New Roman" w:cs="Times New Roman" w:eastAsia="Times New Roman" w:hAnsi="Times New Roman"/>
                  <w:sz w:val="15"/>
                  <w:szCs w:val="15"/>
                  <w:color w:val="0000EE"/>
                  <w:w w:val="79"/>
                </w:rPr>
                <w:t>Notes</w:t>
              </w:r>
            </w:hyperlink>
          </w:p>
        </w:tc>
        <w:tc>
          <w:tcPr>
            <w:tcW w:w="7420" w:type="dxa"/>
            <w:vAlign w:val="bottom"/>
            <w:gridSpan w:val="18"/>
          </w:tcPr>
          <w:p>
            <w:pPr>
              <w:ind w:left="100"/>
              <w:spacing w:after="0" w:line="154" w:lineRule="exact"/>
              <w:rPr>
                <w:rFonts w:ascii="Times New Roman" w:cs="Times New Roman" w:eastAsia="Times New Roman" w:hAnsi="Times New Roman"/>
                <w:sz w:val="15"/>
                <w:szCs w:val="15"/>
                <w:color w:val="0000EE"/>
              </w:rPr>
            </w:pPr>
            <w:hyperlink w:anchor="page7">
              <w:r>
                <w:rPr>
                  <w:rFonts w:ascii="Times New Roman" w:cs="Times New Roman" w:eastAsia="Times New Roman" w:hAnsi="Times New Roman"/>
                  <w:sz w:val="15"/>
                  <w:szCs w:val="15"/>
                  <w:color w:val="0000EE"/>
                </w:rPr>
                <w:t>to Consolidated Financial Statements (Unaudited)</w:t>
              </w:r>
            </w:hyperlink>
          </w:p>
        </w:tc>
        <w:tc>
          <w:tcPr>
            <w:tcW w:w="4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27">
              <w:r>
                <w:rPr>
                  <w:rFonts w:ascii="Times New Roman" w:cs="Times New Roman" w:eastAsia="Times New Roman" w:hAnsi="Times New Roman"/>
                  <w:sz w:val="15"/>
                  <w:szCs w:val="15"/>
                  <w:color w:val="0000EE"/>
                  <w:w w:val="98"/>
                </w:rPr>
                <w:t>Item 2.</w:t>
              </w:r>
            </w:hyperlink>
          </w:p>
        </w:tc>
        <w:tc>
          <w:tcPr>
            <w:tcW w:w="200" w:type="dxa"/>
            <w:vAlign w:val="bottom"/>
            <w:gridSpan w:val="2"/>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27">
              <w:r>
                <w:rPr>
                  <w:rFonts w:ascii="Times New Roman" w:cs="Times New Roman" w:eastAsia="Times New Roman" w:hAnsi="Times New Roman"/>
                  <w:sz w:val="15"/>
                  <w:szCs w:val="15"/>
                  <w:color w:val="0000EE"/>
                </w:rPr>
                <w:t>Management’s Discussion and Analysis of Financial Condition and Results of Operations</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800" w:type="dxa"/>
            <w:vAlign w:val="bottom"/>
            <w:tcBorders>
              <w:left w:val="single" w:sz="8" w:color="0000EE"/>
            </w:tcBorders>
            <w:gridSpan w:val="2"/>
            <w:shd w:val="clear" w:color="auto" w:fill="0000EE"/>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34">
              <w:r>
                <w:rPr>
                  <w:rFonts w:ascii="Times New Roman" w:cs="Times New Roman" w:eastAsia="Times New Roman" w:hAnsi="Times New Roman"/>
                  <w:sz w:val="15"/>
                  <w:szCs w:val="15"/>
                  <w:color w:val="0000EE"/>
                  <w:w w:val="98"/>
                </w:rPr>
                <w:t>Item 3.</w:t>
              </w:r>
            </w:hyperlink>
          </w:p>
        </w:tc>
        <w:tc>
          <w:tcPr>
            <w:tcW w:w="200" w:type="dxa"/>
            <w:vAlign w:val="bottom"/>
            <w:gridSpan w:val="2"/>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4">
              <w:r>
                <w:rPr>
                  <w:rFonts w:ascii="Times New Roman" w:cs="Times New Roman" w:eastAsia="Times New Roman" w:hAnsi="Times New Roman"/>
                  <w:sz w:val="15"/>
                  <w:szCs w:val="15"/>
                  <w:color w:val="0000EE"/>
                </w:rPr>
                <w:t>Quantitative and Qualitative Disclosures About Market Risk</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000" w:type="dxa"/>
            <w:vAlign w:val="bottom"/>
            <w:tcBorders>
              <w:left w:val="single" w:sz="8" w:color="0000EE"/>
            </w:tcBorders>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34">
              <w:r>
                <w:rPr>
                  <w:rFonts w:ascii="Times New Roman" w:cs="Times New Roman" w:eastAsia="Times New Roman" w:hAnsi="Times New Roman"/>
                  <w:sz w:val="15"/>
                  <w:szCs w:val="15"/>
                  <w:color w:val="0000EE"/>
                  <w:w w:val="98"/>
                </w:rPr>
                <w:t>Item 4.</w:t>
              </w:r>
            </w:hyperlink>
          </w:p>
        </w:tc>
        <w:tc>
          <w:tcPr>
            <w:tcW w:w="200" w:type="dxa"/>
            <w:vAlign w:val="bottom"/>
            <w:gridSpan w:val="2"/>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4">
              <w:r>
                <w:rPr>
                  <w:rFonts w:ascii="Times New Roman" w:cs="Times New Roman" w:eastAsia="Times New Roman" w:hAnsi="Times New Roman"/>
                  <w:sz w:val="15"/>
                  <w:szCs w:val="15"/>
                  <w:color w:val="0000EE"/>
                </w:rPr>
                <w:t>Controls and Procedures</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360" w:type="dxa"/>
            <w:vAlign w:val="bottom"/>
            <w:tcBorders>
              <w:bottom w:val="single" w:sz="8" w:color="0000EE"/>
            </w:tcBorders>
            <w:gridSpan w:val="14"/>
          </w:tcPr>
          <w:p>
            <w:pPr>
              <w:spacing w:after="0"/>
              <w:rPr>
                <w:rFonts w:ascii="Times New Roman" w:cs="Times New Roman" w:eastAsia="Times New Roman" w:hAnsi="Times New Roman"/>
                <w:sz w:val="15"/>
                <w:szCs w:val="15"/>
                <w:b w:val="1"/>
                <w:bCs w:val="1"/>
                <w:color w:val="0000EE"/>
              </w:rPr>
            </w:pPr>
            <w:hyperlink w:anchor="page35">
              <w:r>
                <w:rPr>
                  <w:rFonts w:ascii="Times New Roman" w:cs="Times New Roman" w:eastAsia="Times New Roman" w:hAnsi="Times New Roman"/>
                  <w:sz w:val="15"/>
                  <w:szCs w:val="15"/>
                  <w:b w:val="1"/>
                  <w:bCs w:val="1"/>
                  <w:color w:val="0000EE"/>
                </w:rPr>
                <w:t>PART II. OTHER INFORMATION</w:t>
              </w:r>
            </w:hyperlink>
          </w:p>
        </w:tc>
        <w:tc>
          <w:tcPr>
            <w:tcW w:w="630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40" w:type="dxa"/>
            <w:vAlign w:val="bottom"/>
            <w:gridSpan w:val="2"/>
          </w:tcPr>
          <w:p>
            <w:pPr>
              <w:spacing w:after="0"/>
              <w:rPr>
                <w:rFonts w:ascii="Times New Roman" w:cs="Times New Roman" w:eastAsia="Times New Roman" w:hAnsi="Times New Roman"/>
                <w:sz w:val="15"/>
                <w:szCs w:val="15"/>
                <w:color w:val="0000EE"/>
                <w:w w:val="98"/>
              </w:rPr>
            </w:pPr>
            <w:hyperlink w:anchor="page35">
              <w:r>
                <w:rPr>
                  <w:rFonts w:ascii="Times New Roman" w:cs="Times New Roman" w:eastAsia="Times New Roman" w:hAnsi="Times New Roman"/>
                  <w:sz w:val="15"/>
                  <w:szCs w:val="15"/>
                  <w:color w:val="0000EE"/>
                  <w:w w:val="98"/>
                </w:rPr>
                <w:t>Item 1.</w:t>
              </w:r>
            </w:hyperlink>
          </w:p>
        </w:tc>
        <w:tc>
          <w:tcPr>
            <w:tcW w:w="200" w:type="dxa"/>
            <w:vAlign w:val="bottom"/>
            <w:gridSpan w:val="2"/>
          </w:tcPr>
          <w:p>
            <w:pPr>
              <w:spacing w:after="0"/>
              <w:rPr>
                <w:sz w:val="24"/>
                <w:szCs w:val="24"/>
                <w:color w:val="auto"/>
              </w:rPr>
            </w:pPr>
          </w:p>
        </w:tc>
        <w:tc>
          <w:tcPr>
            <w:tcW w:w="8020" w:type="dxa"/>
            <w:vAlign w:val="bottom"/>
            <w:gridSpan w:val="22"/>
          </w:tcPr>
          <w:p>
            <w:pPr>
              <w:ind w:left="300"/>
              <w:spacing w:after="0"/>
              <w:rPr>
                <w:rFonts w:ascii="Times New Roman" w:cs="Times New Roman" w:eastAsia="Times New Roman" w:hAnsi="Times New Roman"/>
                <w:sz w:val="15"/>
                <w:szCs w:val="15"/>
                <w:color w:val="0000EE"/>
              </w:rPr>
            </w:pPr>
            <w:hyperlink w:anchor="page35">
              <w:r>
                <w:rPr>
                  <w:rFonts w:ascii="Times New Roman" w:cs="Times New Roman" w:eastAsia="Times New Roman" w:hAnsi="Times New Roman"/>
                  <w:sz w:val="15"/>
                  <w:szCs w:val="15"/>
                  <w:color w:val="0000EE"/>
                </w:rPr>
                <w:t>Legal Proceedings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40" w:type="dxa"/>
            <w:vAlign w:val="bottom"/>
            <w:gridSpan w:val="3"/>
          </w:tcPr>
          <w:p>
            <w:pPr>
              <w:spacing w:after="0" w:line="165" w:lineRule="exact"/>
              <w:rPr>
                <w:rFonts w:ascii="Times New Roman" w:cs="Times New Roman" w:eastAsia="Times New Roman" w:hAnsi="Times New Roman"/>
                <w:sz w:val="15"/>
                <w:szCs w:val="15"/>
                <w:color w:val="0000EE"/>
                <w:w w:val="97"/>
              </w:rPr>
            </w:pPr>
            <w:hyperlink w:anchor="page35">
              <w:r>
                <w:rPr>
                  <w:rFonts w:ascii="Times New Roman" w:cs="Times New Roman" w:eastAsia="Times New Roman" w:hAnsi="Times New Roman"/>
                  <w:sz w:val="15"/>
                  <w:szCs w:val="15"/>
                  <w:color w:val="0000EE"/>
                  <w:w w:val="97"/>
                </w:rPr>
                <w:t>Item 1A.</w:t>
              </w:r>
            </w:hyperlink>
          </w:p>
        </w:tc>
        <w:tc>
          <w:tcPr>
            <w:tcW w:w="100" w:type="dxa"/>
            <w:vAlign w:val="bottom"/>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5">
              <w:r>
                <w:rPr>
                  <w:rFonts w:ascii="Times New Roman" w:cs="Times New Roman" w:eastAsia="Times New Roman" w:hAnsi="Times New Roman"/>
                  <w:sz w:val="15"/>
                  <w:szCs w:val="15"/>
                  <w:color w:val="0000EE"/>
                </w:rPr>
                <w:t>Risk Factors</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36">
              <w:r>
                <w:rPr>
                  <w:rFonts w:ascii="Times New Roman" w:cs="Times New Roman" w:eastAsia="Times New Roman" w:hAnsi="Times New Roman"/>
                  <w:sz w:val="15"/>
                  <w:szCs w:val="15"/>
                  <w:color w:val="0000EE"/>
                  <w:w w:val="98"/>
                </w:rPr>
                <w:t>Item 2.</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6">
              <w:r>
                <w:rPr>
                  <w:rFonts w:ascii="Times New Roman" w:cs="Times New Roman" w:eastAsia="Times New Roman" w:hAnsi="Times New Roman"/>
                  <w:sz w:val="15"/>
                  <w:szCs w:val="15"/>
                  <w:color w:val="0000EE"/>
                </w:rPr>
                <w:t>Unregistered Sales of Equity Securities and Use of Proceeds</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36">
              <w:r>
                <w:rPr>
                  <w:rFonts w:ascii="Times New Roman" w:cs="Times New Roman" w:eastAsia="Times New Roman" w:hAnsi="Times New Roman"/>
                  <w:sz w:val="15"/>
                  <w:szCs w:val="15"/>
                  <w:color w:val="0000EE"/>
                  <w:w w:val="98"/>
                </w:rPr>
                <w:t>Item 3.</w:t>
              </w:r>
            </w:hyperlink>
          </w:p>
        </w:tc>
        <w:tc>
          <w:tcPr>
            <w:tcW w:w="200" w:type="dxa"/>
            <w:vAlign w:val="bottom"/>
            <w:gridSpan w:val="2"/>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6">
              <w:r>
                <w:rPr>
                  <w:rFonts w:ascii="Times New Roman" w:cs="Times New Roman" w:eastAsia="Times New Roman" w:hAnsi="Times New Roman"/>
                  <w:sz w:val="15"/>
                  <w:szCs w:val="15"/>
                  <w:color w:val="0000EE"/>
                </w:rPr>
                <w:t>Defaults Upon Senior Securities</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36">
              <w:r>
                <w:rPr>
                  <w:rFonts w:ascii="Times New Roman" w:cs="Times New Roman" w:eastAsia="Times New Roman" w:hAnsi="Times New Roman"/>
                  <w:sz w:val="15"/>
                  <w:szCs w:val="15"/>
                  <w:color w:val="0000EE"/>
                  <w:w w:val="98"/>
                </w:rPr>
                <w:t>Item 4.</w:t>
              </w:r>
            </w:hyperlink>
          </w:p>
        </w:tc>
        <w:tc>
          <w:tcPr>
            <w:tcW w:w="200" w:type="dxa"/>
            <w:vAlign w:val="bottom"/>
            <w:gridSpan w:val="2"/>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6">
              <w:r>
                <w:rPr>
                  <w:rFonts w:ascii="Times New Roman" w:cs="Times New Roman" w:eastAsia="Times New Roman" w:hAnsi="Times New Roman"/>
                  <w:sz w:val="15"/>
                  <w:szCs w:val="15"/>
                  <w:color w:val="0000EE"/>
                </w:rPr>
                <w:t>Mine Safety Disclosures</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2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36">
              <w:r>
                <w:rPr>
                  <w:rFonts w:ascii="Times New Roman" w:cs="Times New Roman" w:eastAsia="Times New Roman" w:hAnsi="Times New Roman"/>
                  <w:sz w:val="15"/>
                  <w:szCs w:val="15"/>
                  <w:color w:val="0000EE"/>
                  <w:w w:val="98"/>
                </w:rPr>
                <w:t>Item 5.</w:t>
              </w:r>
            </w:hyperlink>
          </w:p>
        </w:tc>
        <w:tc>
          <w:tcPr>
            <w:tcW w:w="200" w:type="dxa"/>
            <w:vAlign w:val="bottom"/>
            <w:gridSpan w:val="2"/>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6">
              <w:r>
                <w:rPr>
                  <w:rFonts w:ascii="Times New Roman" w:cs="Times New Roman" w:eastAsia="Times New Roman" w:hAnsi="Times New Roman"/>
                  <w:sz w:val="15"/>
                  <w:szCs w:val="15"/>
                  <w:color w:val="0000EE"/>
                </w:rPr>
                <w:t>Other Information</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60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 w:type="dxa"/>
            <w:vAlign w:val="bottom"/>
            <w:gridSpan w:val="2"/>
          </w:tcPr>
          <w:p>
            <w:pPr>
              <w:spacing w:after="0" w:line="165" w:lineRule="exact"/>
              <w:rPr>
                <w:rFonts w:ascii="Times New Roman" w:cs="Times New Roman" w:eastAsia="Times New Roman" w:hAnsi="Times New Roman"/>
                <w:sz w:val="15"/>
                <w:szCs w:val="15"/>
                <w:color w:val="0000EE"/>
                <w:w w:val="98"/>
              </w:rPr>
            </w:pPr>
            <w:hyperlink w:anchor="page37">
              <w:r>
                <w:rPr>
                  <w:rFonts w:ascii="Times New Roman" w:cs="Times New Roman" w:eastAsia="Times New Roman" w:hAnsi="Times New Roman"/>
                  <w:sz w:val="15"/>
                  <w:szCs w:val="15"/>
                  <w:color w:val="0000EE"/>
                  <w:w w:val="98"/>
                </w:rPr>
                <w:t>Item 6.</w:t>
              </w:r>
            </w:hyperlink>
          </w:p>
        </w:tc>
        <w:tc>
          <w:tcPr>
            <w:tcW w:w="200" w:type="dxa"/>
            <w:vAlign w:val="bottom"/>
            <w:gridSpan w:val="2"/>
          </w:tcPr>
          <w:p>
            <w:pPr>
              <w:spacing w:after="0"/>
              <w:rPr>
                <w:sz w:val="14"/>
                <w:szCs w:val="14"/>
                <w:color w:val="auto"/>
              </w:rPr>
            </w:pPr>
          </w:p>
        </w:tc>
        <w:tc>
          <w:tcPr>
            <w:tcW w:w="8020" w:type="dxa"/>
            <w:vAlign w:val="bottom"/>
            <w:gridSpan w:val="22"/>
          </w:tcPr>
          <w:p>
            <w:pPr>
              <w:ind w:left="300"/>
              <w:spacing w:after="0" w:line="165" w:lineRule="exact"/>
              <w:rPr>
                <w:rFonts w:ascii="Times New Roman" w:cs="Times New Roman" w:eastAsia="Times New Roman" w:hAnsi="Times New Roman"/>
                <w:sz w:val="15"/>
                <w:szCs w:val="15"/>
                <w:color w:val="0000EE"/>
              </w:rPr>
            </w:pPr>
            <w:hyperlink w:anchor="page37">
              <w:r>
                <w:rPr>
                  <w:rFonts w:ascii="Times New Roman" w:cs="Times New Roman" w:eastAsia="Times New Roman" w:hAnsi="Times New Roman"/>
                  <w:sz w:val="15"/>
                  <w:szCs w:val="15"/>
                  <w:color w:val="0000EE"/>
                </w:rPr>
                <w:t>Exhibits</w:t>
              </w:r>
            </w:hyperlink>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0" w:type="dxa"/>
            <w:vAlign w:val="bottom"/>
            <w:tcBorders>
              <w:bottom w:val="single" w:sz="8" w:color="0000EE"/>
            </w:tcBorders>
            <w:gridSpan w:val="4"/>
          </w:tcPr>
          <w:p>
            <w:pPr>
              <w:spacing w:after="0" w:line="165" w:lineRule="exact"/>
              <w:rPr>
                <w:rFonts w:ascii="Times New Roman" w:cs="Times New Roman" w:eastAsia="Times New Roman" w:hAnsi="Times New Roman"/>
                <w:sz w:val="15"/>
                <w:szCs w:val="15"/>
                <w:color w:val="0000EE"/>
                <w:w w:val="97"/>
              </w:rPr>
            </w:pPr>
            <w:hyperlink w:anchor="page38">
              <w:r>
                <w:rPr>
                  <w:rFonts w:ascii="Times New Roman" w:cs="Times New Roman" w:eastAsia="Times New Roman" w:hAnsi="Times New Roman"/>
                  <w:sz w:val="15"/>
                  <w:szCs w:val="15"/>
                  <w:color w:val="0000EE"/>
                  <w:w w:val="97"/>
                </w:rPr>
                <w:t>Signatures</w:t>
              </w:r>
            </w:hyperlink>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939"/>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6"/>
          </w:tcPr>
          <w:p>
            <w:pPr>
              <w:jc w:val="center"/>
              <w:ind w:left="3703"/>
              <w:spacing w:after="0"/>
              <w:rPr>
                <w:sz w:val="20"/>
                <w:szCs w:val="20"/>
                <w:color w:val="auto"/>
              </w:rPr>
            </w:pPr>
            <w:r>
              <w:rPr>
                <w:rFonts w:ascii="Times New Roman" w:cs="Times New Roman" w:eastAsia="Times New Roman" w:hAnsi="Times New Roman"/>
                <w:sz w:val="15"/>
                <w:szCs w:val="15"/>
                <w:color w:val="auto"/>
              </w:rPr>
              <w:t>2</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17" w:right="1399" w:bottom="1440" w:gutter="0" w:footer="0" w:header="0"/>
        </w:sectPr>
      </w:pPr>
    </w:p>
    <w:bookmarkStart w:id="2" w:name="page3"/>
    <w:bookmarkEnd w:id="2"/>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6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April 30,</w:t>
            </w:r>
          </w:p>
        </w:tc>
      </w:tr>
      <w:tr>
        <w:trPr>
          <w:trHeight w:val="149"/>
        </w:trPr>
        <w:tc>
          <w:tcPr>
            <w:tcW w:w="6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Pr>
          <w:p>
            <w:pPr>
              <w:spacing w:after="0"/>
              <w:rPr>
                <w:sz w:val="12"/>
                <w:szCs w:val="12"/>
                <w:color w:val="auto"/>
              </w:rPr>
            </w:pPr>
          </w:p>
        </w:tc>
      </w:tr>
      <w:tr>
        <w:trPr>
          <w:trHeight w:val="119"/>
        </w:trPr>
        <w:tc>
          <w:tcPr>
            <w:tcW w:w="6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1"/>
              <w:spacing w:after="0" w:line="119"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151,255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143,517</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138,536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113,649</w:t>
            </w:r>
          </w:p>
        </w:tc>
        <w:tc>
          <w:tcPr>
            <w:tcW w:w="140" w:type="dxa"/>
            <w:vAlign w:val="bottom"/>
          </w:tcPr>
          <w:p>
            <w:pPr>
              <w:spacing w:after="0"/>
              <w:rPr>
                <w:sz w:val="15"/>
                <w:szCs w:val="15"/>
                <w:color w:val="auto"/>
              </w:rPr>
            </w:pPr>
          </w:p>
        </w:tc>
      </w:tr>
      <w:tr>
        <w:trPr>
          <w:trHeight w:val="161"/>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$1,054 at October 27, 2018 and $1,080 at April 30,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56,813</w:t>
            </w:r>
          </w:p>
        </w:tc>
        <w:tc>
          <w:tcPr>
            <w:tcW w:w="140" w:type="dxa"/>
            <w:vAlign w:val="bottom"/>
            <w:shd w:val="clear" w:color="auto" w:fill="CCEEFF"/>
          </w:tcPr>
          <w:p>
            <w:pPr>
              <w:spacing w:after="0"/>
              <w:rPr>
                <w:sz w:val="16"/>
                <w:szCs w:val="16"/>
                <w:color w:val="auto"/>
              </w:rPr>
            </w:pPr>
          </w:p>
        </w:tc>
      </w:tr>
      <w:tr>
        <w:trPr>
          <w:trHeight w:val="161"/>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Unbilled receivables and retentions (inclusive of related party unbilled receivables of $7,764 at October 27, 2018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4"/>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$3,145 at April 30, 2018)</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16,872</w:t>
            </w:r>
          </w:p>
        </w:tc>
        <w:tc>
          <w:tcPr>
            <w:tcW w:w="140" w:type="dxa"/>
            <w:vAlign w:val="bottom"/>
          </w:tcPr>
          <w:p>
            <w:pPr>
              <w:spacing w:after="0"/>
              <w:rPr>
                <w:sz w:val="15"/>
                <w:szCs w:val="15"/>
                <w:color w:val="auto"/>
              </w:rPr>
            </w:pPr>
          </w:p>
        </w:tc>
      </w:tr>
      <w:tr>
        <w:trPr>
          <w:trHeight w:val="175"/>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37,425</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25,668</w:t>
            </w:r>
          </w:p>
        </w:tc>
        <w:tc>
          <w:tcPr>
            <w:tcW w:w="140" w:type="dxa"/>
            <w:vAlign w:val="bottom"/>
            <w:shd w:val="clear" w:color="auto" w:fill="CCEEFF"/>
          </w:tcPr>
          <w:p>
            <w:pPr>
              <w:spacing w:after="0"/>
              <w:rPr>
                <w:sz w:val="15"/>
                <w:szCs w:val="15"/>
                <w:color w:val="auto"/>
              </w:rPr>
            </w:pPr>
          </w:p>
        </w:tc>
      </w:tr>
      <w:tr>
        <w:trPr>
          <w:trHeight w:val="165"/>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421,912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399,047</w:t>
            </w:r>
          </w:p>
        </w:tc>
        <w:tc>
          <w:tcPr>
            <w:tcW w:w="140" w:type="dxa"/>
            <w:vAlign w:val="bottom"/>
          </w:tcPr>
          <w:p>
            <w:pPr>
              <w:spacing w:after="0"/>
              <w:rPr>
                <w:sz w:val="14"/>
                <w:szCs w:val="14"/>
                <w:color w:val="auto"/>
              </w:rPr>
            </w:pPr>
          </w:p>
        </w:tc>
      </w:tr>
      <w:tr>
        <w:trPr>
          <w:trHeight w:val="17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40,656</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19,219</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11,494</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40" w:type="dxa"/>
            <w:vAlign w:val="bottom"/>
            <w:tcBorders>
              <w:bottom w:val="single" w:sz="8" w:color="CCEEFF"/>
            </w:tcBorders>
          </w:tcPr>
          <w:p>
            <w:pPr>
              <w:spacing w:after="0"/>
              <w:rPr>
                <w:sz w:val="15"/>
                <w:szCs w:val="15"/>
                <w:color w:val="auto"/>
              </w:rPr>
            </w:pPr>
          </w:p>
        </w:tc>
      </w:tr>
      <w:tr>
        <w:trPr>
          <w:trHeight w:val="185"/>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486,567</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473,418</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55"/>
        </w:trPr>
        <w:tc>
          <w:tcPr>
            <w:tcW w:w="6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14,149</w:t>
            </w:r>
          </w:p>
        </w:tc>
        <w:tc>
          <w:tcPr>
            <w:tcW w:w="2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21,340</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Wages and related accruals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16,851</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advances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140" w:type="dxa"/>
            <w:vAlign w:val="bottom"/>
            <w:shd w:val="clear" w:color="auto" w:fill="CCEEFF"/>
          </w:tcPr>
          <w:p>
            <w:pPr>
              <w:spacing w:after="0"/>
              <w:rPr>
                <w:sz w:val="15"/>
                <w:szCs w:val="15"/>
                <w:color w:val="auto"/>
              </w:rPr>
            </w:pPr>
          </w:p>
        </w:tc>
      </w:tr>
      <w:tr>
        <w:trPr>
          <w:trHeight w:val="165"/>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39,491</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62,088</w:t>
            </w:r>
          </w:p>
        </w:tc>
        <w:tc>
          <w:tcPr>
            <w:tcW w:w="140" w:type="dxa"/>
            <w:vAlign w:val="bottom"/>
          </w:tcPr>
          <w:p>
            <w:pPr>
              <w:spacing w:after="0"/>
              <w:rPr>
                <w:sz w:val="14"/>
                <w:szCs w:val="14"/>
                <w:color w:val="auto"/>
              </w:rPr>
            </w:pPr>
          </w:p>
        </w:tc>
      </w:tr>
      <w:tr>
        <w:trPr>
          <w:trHeight w:val="17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$0.0001 par value:</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Authorized shares—10,000,000; none issued or outstanding at October 27, 2018 and April 30, 2018</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Authorized shares—100,000,000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Issued and outstanding shares—23,928,373 shares at October 27, 2018 and 23,908,736 at April 30, 2018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5"/>
                <w:szCs w:val="15"/>
                <w:color w:val="auto"/>
              </w:rPr>
            </w:pPr>
          </w:p>
        </w:tc>
      </w:tr>
      <w:tr>
        <w:trPr>
          <w:trHeight w:val="17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171,867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170,139</w:t>
            </w:r>
          </w:p>
        </w:tc>
        <w:tc>
          <w:tcPr>
            <w:tcW w:w="140" w:type="dxa"/>
            <w:vAlign w:val="bottom"/>
          </w:tcPr>
          <w:p>
            <w:pPr>
              <w:spacing w:after="0"/>
              <w:rPr>
                <w:sz w:val="15"/>
                <w:szCs w:val="15"/>
                <w:color w:val="auto"/>
              </w:rPr>
            </w:pPr>
          </w:p>
        </w:tc>
      </w:tr>
      <w:tr>
        <w:trPr>
          <w:trHeight w:val="17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r>
      <w:tr>
        <w:trPr>
          <w:trHeight w:val="173"/>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272,300</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238,913</w:t>
            </w:r>
          </w:p>
        </w:tc>
        <w:tc>
          <w:tcPr>
            <w:tcW w:w="140" w:type="dxa"/>
            <w:vAlign w:val="bottom"/>
            <w:tcBorders>
              <w:bottom w:val="single" w:sz="8" w:color="CCEEFF"/>
            </w:tcBorders>
          </w:tcPr>
          <w:p>
            <w:pPr>
              <w:spacing w:after="0"/>
              <w:rPr>
                <w:sz w:val="15"/>
                <w:szCs w:val="15"/>
                <w:color w:val="auto"/>
              </w:rPr>
            </w:pPr>
          </w:p>
        </w:tc>
      </w:tr>
      <w:tr>
        <w:trPr>
          <w:trHeight w:val="165"/>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AeroVironment stockholders’ equity</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444,174</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409,033</w:t>
            </w:r>
          </w:p>
        </w:tc>
        <w:tc>
          <w:tcPr>
            <w:tcW w:w="140" w:type="dxa"/>
            <w:vAlign w:val="bottom"/>
            <w:shd w:val="clear" w:color="auto" w:fill="CCEEFF"/>
          </w:tcPr>
          <w:p>
            <w:pPr>
              <w:spacing w:after="0"/>
              <w:rPr>
                <w:sz w:val="14"/>
                <w:szCs w:val="14"/>
                <w:color w:val="auto"/>
              </w:rPr>
            </w:pPr>
          </w:p>
        </w:tc>
      </w:tr>
      <w:tr>
        <w:trPr>
          <w:trHeight w:val="165"/>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r>
      <w:tr>
        <w:trPr>
          <w:trHeight w:val="17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444,176</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409,056</w:t>
            </w:r>
          </w:p>
        </w:tc>
        <w:tc>
          <w:tcPr>
            <w:tcW w:w="140" w:type="dxa"/>
            <w:vAlign w:val="bottom"/>
            <w:shd w:val="clear" w:color="auto" w:fill="CCEEFF"/>
          </w:tcPr>
          <w:p>
            <w:pPr>
              <w:spacing w:after="0"/>
              <w:rPr>
                <w:sz w:val="15"/>
                <w:szCs w:val="15"/>
                <w:color w:val="auto"/>
              </w:rPr>
            </w:pPr>
          </w:p>
        </w:tc>
      </w:tr>
      <w:tr>
        <w:trPr>
          <w:trHeight w:val="168"/>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486,567</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473,418</w:t>
            </w:r>
          </w:p>
        </w:tc>
        <w:tc>
          <w:tcPr>
            <w:tcW w:w="140" w:type="dxa"/>
            <w:vAlign w:val="bottom"/>
          </w:tcPr>
          <w:p>
            <w:pPr>
              <w:spacing w:after="0"/>
              <w:rPr>
                <w:sz w:val="14"/>
                <w:szCs w:val="14"/>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 (unaudited).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 w:name="page4"/>
    <w:bookmarkEnd w:id="3"/>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ind w:left="3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tcPr>
          <w:p>
            <w:pPr>
              <w:ind w:left="42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97"/>
        </w:trPr>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ind w:left="6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111"/>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ind w:left="4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111"/>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40" w:type="dxa"/>
            <w:vAlign w:val="bottom"/>
          </w:tcPr>
          <w:p>
            <w:pPr>
              <w:spacing w:after="0"/>
              <w:rPr>
                <w:sz w:val="8"/>
                <w:szCs w:val="8"/>
                <w:color w:val="auto"/>
              </w:rPr>
            </w:pPr>
          </w:p>
        </w:tc>
      </w:tr>
      <w:tr>
        <w:trPr>
          <w:trHeight w:val="149"/>
        </w:trPr>
        <w:tc>
          <w:tcPr>
            <w:tcW w:w="4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16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3"/>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47,056</w:t>
            </w:r>
          </w:p>
        </w:tc>
        <w:tc>
          <w:tcPr>
            <w:tcW w:w="60" w:type="dxa"/>
            <w:vAlign w:val="bottom"/>
          </w:tcPr>
          <w:p>
            <w:pPr>
              <w:spacing w:after="0"/>
              <w:rPr>
                <w:sz w:val="15"/>
                <w:szCs w:val="15"/>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48,420</w:t>
            </w:r>
          </w:p>
        </w:tc>
        <w:tc>
          <w:tcPr>
            <w:tcW w:w="60" w:type="dxa"/>
            <w:vAlign w:val="bottom"/>
          </w:tcPr>
          <w:p>
            <w:pPr>
              <w:spacing w:after="0"/>
              <w:rPr>
                <w:sz w:val="15"/>
                <w:szCs w:val="15"/>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102,369</w:t>
            </w:r>
          </w:p>
        </w:tc>
        <w:tc>
          <w:tcPr>
            <w:tcW w:w="14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67,200</w:t>
            </w:r>
          </w:p>
        </w:tc>
        <w:tc>
          <w:tcPr>
            <w:tcW w:w="40" w:type="dxa"/>
            <w:vAlign w:val="bottom"/>
          </w:tcPr>
          <w:p>
            <w:pPr>
              <w:spacing w:after="0"/>
              <w:rPr>
                <w:sz w:val="15"/>
                <w:szCs w:val="15"/>
                <w:color w:val="auto"/>
              </w:rPr>
            </w:pPr>
          </w:p>
        </w:tc>
      </w:tr>
      <w:tr>
        <w:trPr>
          <w:trHeight w:val="161"/>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 (inclusive of related party revenue of $12,832 and $7,071 for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the three months ended October 27, 2018 and October 28, 2017, respectively;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and inclusive of related party revenue of $24,395 and $9,622 for the six months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ended October 27, 2018 and October 28, 2017, respectively)</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48,653</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32,962</w:t>
            </w:r>
          </w:p>
        </w:tc>
        <w:tc>
          <w:tcPr>
            <w:tcW w:w="40" w:type="dxa"/>
            <w:vAlign w:val="bottom"/>
            <w:shd w:val="clear" w:color="auto" w:fill="CCEEFF"/>
          </w:tcPr>
          <w:p>
            <w:pPr>
              <w:spacing w:after="0"/>
              <w:rPr>
                <w:sz w:val="15"/>
                <w:szCs w:val="15"/>
                <w:color w:val="auto"/>
              </w:rPr>
            </w:pPr>
          </w:p>
        </w:tc>
      </w:tr>
      <w:tr>
        <w:trPr>
          <w:trHeight w:val="167"/>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100,162</w:t>
            </w:r>
          </w:p>
        </w:tc>
        <w:tc>
          <w:tcPr>
            <w:tcW w:w="40" w:type="dxa"/>
            <w:vAlign w:val="bottom"/>
          </w:tcPr>
          <w:p>
            <w:pPr>
              <w:spacing w:after="0"/>
              <w:rPr>
                <w:sz w:val="14"/>
                <w:szCs w:val="14"/>
                <w:color w:val="auto"/>
              </w:rPr>
            </w:pPr>
          </w:p>
        </w:tc>
      </w:tr>
      <w:tr>
        <w:trPr>
          <w:trHeight w:val="17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56,378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41,168</w:t>
            </w:r>
          </w:p>
        </w:tc>
        <w:tc>
          <w:tcPr>
            <w:tcW w:w="40" w:type="dxa"/>
            <w:vAlign w:val="bottom"/>
          </w:tcPr>
          <w:p>
            <w:pPr>
              <w:spacing w:after="0"/>
              <w:rPr>
                <w:sz w:val="15"/>
                <w:szCs w:val="15"/>
                <w:color w:val="auto"/>
              </w:rPr>
            </w:pPr>
          </w:p>
        </w:tc>
      </w:tr>
      <w:tr>
        <w:trPr>
          <w:trHeight w:val="17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33,656</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20,153</w:t>
            </w:r>
          </w:p>
        </w:tc>
        <w:tc>
          <w:tcPr>
            <w:tcW w:w="40" w:type="dxa"/>
            <w:vAlign w:val="bottom"/>
            <w:shd w:val="clear" w:color="auto" w:fill="CCEEFF"/>
          </w:tcPr>
          <w:p>
            <w:pPr>
              <w:spacing w:after="0"/>
              <w:rPr>
                <w:sz w:val="15"/>
                <w:szCs w:val="15"/>
                <w:color w:val="auto"/>
              </w:rPr>
            </w:pPr>
          </w:p>
        </w:tc>
      </w:tr>
      <w:tr>
        <w:trPr>
          <w:trHeight w:val="165"/>
        </w:trPr>
        <w:tc>
          <w:tcPr>
            <w:tcW w:w="4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90,034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61,321</w:t>
            </w:r>
          </w:p>
        </w:tc>
        <w:tc>
          <w:tcPr>
            <w:tcW w:w="40" w:type="dxa"/>
            <w:vAlign w:val="bottom"/>
            <w:tcBorders>
              <w:bottom w:val="single" w:sz="8" w:color="CCEEFF"/>
            </w:tcBorders>
          </w:tcPr>
          <w:p>
            <w:pPr>
              <w:spacing w:after="0"/>
              <w:rPr>
                <w:sz w:val="14"/>
                <w:szCs w:val="14"/>
                <w:color w:val="auto"/>
              </w:rPr>
            </w:pPr>
          </w:p>
        </w:tc>
      </w:tr>
      <w:tr>
        <w:trPr>
          <w:trHeight w:val="16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3"/>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26,032</w:t>
            </w:r>
          </w:p>
        </w:tc>
        <w:tc>
          <w:tcPr>
            <w:tcW w:w="40" w:type="dxa"/>
            <w:vAlign w:val="bottom"/>
          </w:tcPr>
          <w:p>
            <w:pPr>
              <w:spacing w:after="0"/>
              <w:rPr>
                <w:sz w:val="15"/>
                <w:szCs w:val="15"/>
                <w:color w:val="auto"/>
              </w:rPr>
            </w:pPr>
          </w:p>
        </w:tc>
      </w:tr>
      <w:tr>
        <w:trPr>
          <w:trHeight w:val="17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12,809</w:t>
            </w:r>
          </w:p>
        </w:tc>
        <w:tc>
          <w:tcPr>
            <w:tcW w:w="40" w:type="dxa"/>
            <w:vAlign w:val="bottom"/>
            <w:shd w:val="clear" w:color="auto" w:fill="CCEEFF"/>
          </w:tcPr>
          <w:p>
            <w:pPr>
              <w:spacing w:after="0"/>
              <w:rPr>
                <w:sz w:val="15"/>
                <w:szCs w:val="15"/>
                <w:color w:val="auto"/>
              </w:rPr>
            </w:pPr>
          </w:p>
        </w:tc>
      </w:tr>
      <w:tr>
        <w:trPr>
          <w:trHeight w:val="165"/>
        </w:trPr>
        <w:tc>
          <w:tcPr>
            <w:tcW w:w="4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28,399</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30,143</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60,988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38,841</w:t>
            </w:r>
          </w:p>
        </w:tc>
        <w:tc>
          <w:tcPr>
            <w:tcW w:w="40" w:type="dxa"/>
            <w:vAlign w:val="bottom"/>
            <w:tcBorders>
              <w:bottom w:val="single" w:sz="8" w:color="CCEEFF"/>
            </w:tcBorders>
          </w:tcPr>
          <w:p>
            <w:pPr>
              <w:spacing w:after="0"/>
              <w:rPr>
                <w:sz w:val="14"/>
                <w:szCs w:val="14"/>
                <w:color w:val="auto"/>
              </w:rPr>
            </w:pPr>
          </w:p>
        </w:tc>
      </w:tr>
      <w:tr>
        <w:trPr>
          <w:trHeight w:val="16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24,055</w:t>
            </w:r>
          </w:p>
        </w:tc>
        <w:tc>
          <w:tcPr>
            <w:tcW w:w="40" w:type="dxa"/>
            <w:vAlign w:val="bottom"/>
            <w:shd w:val="clear" w:color="auto" w:fill="CCEEFF"/>
          </w:tcPr>
          <w:p>
            <w:pPr>
              <w:spacing w:after="0"/>
              <w:rPr>
                <w:sz w:val="14"/>
                <w:szCs w:val="14"/>
                <w:color w:val="auto"/>
              </w:rPr>
            </w:pPr>
          </w:p>
        </w:tc>
      </w:tr>
      <w:tr>
        <w:trPr>
          <w:trHeight w:val="17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12,386</w:t>
            </w:r>
          </w:p>
        </w:tc>
        <w:tc>
          <w:tcPr>
            <w:tcW w:w="40" w:type="dxa"/>
            <w:vAlign w:val="bottom"/>
            <w:tcBorders>
              <w:bottom w:val="single" w:sz="8" w:color="CCEEFF"/>
            </w:tcBorders>
          </w:tcPr>
          <w:p>
            <w:pPr>
              <w:spacing w:after="0"/>
              <w:rPr>
                <w:sz w:val="15"/>
                <w:szCs w:val="15"/>
                <w:color w:val="auto"/>
              </w:rPr>
            </w:pPr>
          </w:p>
        </w:tc>
      </w:tr>
      <w:tr>
        <w:trPr>
          <w:trHeight w:val="16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40" w:type="dxa"/>
            <w:vAlign w:val="bottom"/>
            <w:shd w:val="clear" w:color="auto" w:fill="CCEEFF"/>
          </w:tcPr>
          <w:p>
            <w:pPr>
              <w:spacing w:after="0"/>
              <w:rPr>
                <w:sz w:val="14"/>
                <w:szCs w:val="14"/>
                <w:color w:val="auto"/>
              </w:rPr>
            </w:pPr>
          </w:p>
        </w:tc>
      </w:tr>
      <w:tr>
        <w:trPr>
          <w:trHeight w:val="173"/>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net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40" w:type="dxa"/>
            <w:vAlign w:val="bottom"/>
            <w:shd w:val="clear" w:color="auto" w:fill="CCEEFF"/>
          </w:tcPr>
          <w:p>
            <w:pPr>
              <w:spacing w:after="0"/>
              <w:rPr>
                <w:sz w:val="15"/>
                <w:szCs w:val="15"/>
                <w:color w:val="auto"/>
              </w:rPr>
            </w:pPr>
          </w:p>
        </w:tc>
      </w:tr>
      <w:tr>
        <w:trPr>
          <w:trHeight w:val="173"/>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w:t>
            </w:r>
          </w:p>
        </w:tc>
      </w:tr>
      <w:tr>
        <w:trPr>
          <w:trHeight w:val="165"/>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32,495</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40" w:type="dxa"/>
            <w:vAlign w:val="bottom"/>
            <w:tcBorders>
              <w:top w:val="single" w:sz="8" w:color="CCEEFF"/>
            </w:tcBorders>
            <w:shd w:val="clear" w:color="auto" w:fill="CCEEFF"/>
          </w:tcPr>
          <w:p>
            <w:pPr>
              <w:spacing w:after="0"/>
              <w:rPr>
                <w:sz w:val="14"/>
                <w:szCs w:val="14"/>
                <w:color w:val="auto"/>
              </w:rPr>
            </w:pPr>
          </w:p>
        </w:tc>
      </w:tr>
      <w:tr>
        <w:trPr>
          <w:trHeight w:val="173"/>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0" w:type="dxa"/>
            <w:vAlign w:val="bottom"/>
          </w:tcPr>
          <w:p>
            <w:pPr>
              <w:spacing w:after="0"/>
              <w:rPr>
                <w:sz w:val="15"/>
                <w:szCs w:val="15"/>
                <w:color w:val="auto"/>
              </w:rPr>
            </w:pPr>
          </w:p>
        </w:tc>
      </w:tr>
      <w:tr>
        <w:trPr>
          <w:trHeight w:val="17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method investment activity, net of tax</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(1,354)</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27,363</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40" w:type="dxa"/>
            <w:vAlign w:val="bottom"/>
          </w:tcPr>
          <w:p>
            <w:pPr>
              <w:spacing w:after="0"/>
              <w:rPr>
                <w:sz w:val="14"/>
                <w:szCs w:val="14"/>
                <w:color w:val="auto"/>
              </w:rPr>
            </w:pPr>
          </w:p>
        </w:tc>
      </w:tr>
      <w:tr>
        <w:trPr>
          <w:trHeight w:val="17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61"/>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gain on sale of business, net of tax (benefit) expense of $(114)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$2,463 for the three and six months ended October 27, 2018, respectively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(1,521)</w:t>
            </w:r>
          </w:p>
        </w:tc>
      </w:tr>
      <w:tr>
        <w:trPr>
          <w:trHeight w:val="165"/>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 income from discontinued operations</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40" w:type="dxa"/>
            <w:vAlign w:val="bottom"/>
            <w:tcBorders>
              <w:bottom w:val="single" w:sz="8" w:color="CCEEFF"/>
            </w:tcBorders>
          </w:tcPr>
          <w:p>
            <w:pPr>
              <w:spacing w:after="0"/>
              <w:rPr>
                <w:sz w:val="14"/>
                <w:szCs w:val="14"/>
                <w:color w:val="auto"/>
              </w:rPr>
            </w:pPr>
          </w:p>
        </w:tc>
      </w:tr>
      <w:tr>
        <w:trPr>
          <w:trHeight w:val="16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40" w:type="dxa"/>
            <w:vAlign w:val="bottom"/>
            <w:shd w:val="clear" w:color="auto" w:fill="CCEEFF"/>
          </w:tcPr>
          <w:p>
            <w:pPr>
              <w:spacing w:after="0"/>
              <w:rPr>
                <w:sz w:val="14"/>
                <w:szCs w:val="14"/>
                <w:color w:val="auto"/>
              </w:rPr>
            </w:pPr>
          </w:p>
        </w:tc>
      </w:tr>
      <w:tr>
        <w:trPr>
          <w:trHeight w:val="17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40" w:type="dxa"/>
            <w:vAlign w:val="bottom"/>
            <w:tcBorders>
              <w:bottom w:val="single" w:sz="8" w:color="CCEEFF"/>
            </w:tcBorders>
          </w:tcPr>
          <w:p>
            <w:pPr>
              <w:spacing w:after="0"/>
              <w:rPr>
                <w:sz w:val="15"/>
                <w:szCs w:val="15"/>
                <w:color w:val="auto"/>
              </w:rPr>
            </w:pPr>
          </w:p>
        </w:tc>
      </w:tr>
      <w:tr>
        <w:trPr>
          <w:trHeight w:val="185"/>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AeroVironment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33,387</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55"/>
        </w:trPr>
        <w:tc>
          <w:tcPr>
            <w:tcW w:w="4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per share attributable to AeroVironment—Basic</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40" w:type="dxa"/>
            <w:vAlign w:val="bottom"/>
            <w:shd w:val="clear" w:color="auto" w:fill="CCEEFF"/>
          </w:tcPr>
          <w:p>
            <w:pPr>
              <w:spacing w:after="0"/>
              <w:rPr>
                <w:sz w:val="15"/>
                <w:szCs w:val="15"/>
                <w:color w:val="auto"/>
              </w:rPr>
            </w:pPr>
          </w:p>
        </w:tc>
      </w:tr>
      <w:tr>
        <w:trPr>
          <w:trHeight w:val="173"/>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(0.06)</w:t>
            </w:r>
          </w:p>
        </w:tc>
      </w:tr>
      <w:tr>
        <w:trPr>
          <w:trHeight w:val="185"/>
        </w:trPr>
        <w:tc>
          <w:tcPr>
            <w:tcW w:w="47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per share attributable to AeroVironment—Basic</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55"/>
        </w:trPr>
        <w:tc>
          <w:tcPr>
            <w:tcW w:w="4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per share attributable to AeroVironment—Diluted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40" w:type="dxa"/>
            <w:vAlign w:val="bottom"/>
            <w:shd w:val="clear" w:color="auto" w:fill="CCEEFF"/>
          </w:tcPr>
          <w:p>
            <w:pPr>
              <w:spacing w:after="0"/>
              <w:rPr>
                <w:sz w:val="15"/>
                <w:szCs w:val="15"/>
                <w:color w:val="auto"/>
              </w:rPr>
            </w:pPr>
          </w:p>
        </w:tc>
      </w:tr>
      <w:tr>
        <w:trPr>
          <w:trHeight w:val="173"/>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(0.06)</w:t>
            </w:r>
          </w:p>
        </w:tc>
      </w:tr>
      <w:tr>
        <w:trPr>
          <w:trHeight w:val="185"/>
        </w:trPr>
        <w:tc>
          <w:tcPr>
            <w:tcW w:w="47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per share attributable to AeroVironment—Diluted</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55"/>
        </w:trPr>
        <w:tc>
          <w:tcPr>
            <w:tcW w:w="4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Weighted-average shares outstanding: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23,667,400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23,477,914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23,621,720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23,407,500</w:t>
            </w:r>
          </w:p>
        </w:tc>
        <w:tc>
          <w:tcPr>
            <w:tcW w:w="40" w:type="dxa"/>
            <w:vAlign w:val="bottom"/>
            <w:shd w:val="clear" w:color="auto" w:fill="CCEEFF"/>
          </w:tcPr>
          <w:p>
            <w:pPr>
              <w:spacing w:after="0"/>
              <w:rPr>
                <w:sz w:val="15"/>
                <w:szCs w:val="15"/>
                <w:color w:val="auto"/>
              </w:rPr>
            </w:pPr>
          </w:p>
        </w:tc>
      </w:tr>
      <w:tr>
        <w:trPr>
          <w:trHeight w:val="18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24,098,833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23,832,959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24,059,394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23,715,997</w:t>
            </w:r>
          </w:p>
        </w:tc>
        <w:tc>
          <w:tcPr>
            <w:tcW w:w="40" w:type="dxa"/>
            <w:vAlign w:val="bottom"/>
          </w:tcPr>
          <w:p>
            <w:pPr>
              <w:spacing w:after="0"/>
              <w:rPr>
                <w:sz w:val="15"/>
                <w:szCs w:val="15"/>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4" w:name="page5"/>
    <w:bookmarkEnd w:id="4"/>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ind w:left="30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97"/>
        </w:trPr>
        <w:tc>
          <w:tcPr>
            <w:tcW w:w="5340" w:type="dxa"/>
            <w:vAlign w:val="bottom"/>
          </w:tcPr>
          <w:p>
            <w:pPr>
              <w:spacing w:after="0"/>
              <w:rPr>
                <w:sz w:val="8"/>
                <w:szCs w:val="8"/>
                <w:color w:val="auto"/>
              </w:rPr>
            </w:pPr>
          </w:p>
        </w:tc>
        <w:tc>
          <w:tcPr>
            <w:tcW w:w="940" w:type="dxa"/>
            <w:vAlign w:val="bottom"/>
            <w:tcBorders>
              <w:top w:val="single" w:sz="8" w:color="auto"/>
            </w:tcBorders>
            <w:gridSpan w:val="3"/>
          </w:tcPr>
          <w:p>
            <w:pPr>
              <w:ind w:left="6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760" w:type="dxa"/>
            <w:vAlign w:val="bottom"/>
            <w:tcBorders>
              <w:top w:val="single" w:sz="8" w:color="auto"/>
            </w:tcBorders>
            <w:gridSpan w:val="2"/>
          </w:tcPr>
          <w:p>
            <w:pPr>
              <w:jc w:val="right"/>
              <w:ind w:right="5"/>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jc w:val="right"/>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00" w:type="dxa"/>
            <w:vAlign w:val="bottom"/>
          </w:tcPr>
          <w:p>
            <w:pPr>
              <w:spacing w:after="0"/>
              <w:rPr>
                <w:sz w:val="8"/>
                <w:szCs w:val="8"/>
                <w:color w:val="auto"/>
              </w:rPr>
            </w:pPr>
          </w:p>
        </w:tc>
      </w:tr>
      <w:tr>
        <w:trPr>
          <w:trHeight w:val="149"/>
        </w:trPr>
        <w:tc>
          <w:tcPr>
            <w:tcW w:w="5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2"/>
                <w:szCs w:val="12"/>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7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w:t>
            </w:r>
          </w:p>
        </w:tc>
        <w:tc>
          <w:tcPr>
            <w:tcW w:w="100" w:type="dxa"/>
            <w:vAlign w:val="bottom"/>
            <w:shd w:val="clear" w:color="auto" w:fill="CCEEFF"/>
          </w:tcPr>
          <w:p>
            <w:pPr>
              <w:spacing w:after="0"/>
              <w:rPr>
                <w:sz w:val="15"/>
                <w:szCs w:val="15"/>
                <w:color w:val="auto"/>
              </w:rPr>
            </w:pPr>
          </w:p>
        </w:tc>
      </w:tr>
      <w:tr>
        <w:trPr>
          <w:trHeight w:val="185"/>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 in foreign currency translation adjustments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170"/>
        </w:trPr>
        <w:tc>
          <w:tcPr>
            <w:tcW w:w="534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Unrealized gain on investments, net of deferred tax expense of $0 and $17 for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the three months ended October 27, 2018 and October 28, 2017, respectively;</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and net of deferred tax expense of $51 and $19 for the six months ended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October 27, 2018 and October 28, 2017, respectively</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spacing w:after="0"/>
              <w:rPr>
                <w:sz w:val="17"/>
                <w:szCs w:val="17"/>
                <w:color w:val="auto"/>
              </w:rPr>
            </w:pPr>
          </w:p>
        </w:tc>
      </w:tr>
      <w:tr>
        <w:trPr>
          <w:trHeight w:val="177"/>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6,039</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33,392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00" w:type="dxa"/>
            <w:vAlign w:val="bottom"/>
            <w:tcBorders>
              <w:bottom w:val="single" w:sz="8" w:color="CCEEFF"/>
            </w:tcBorders>
          </w:tcPr>
          <w:p>
            <w:pPr>
              <w:spacing w:after="0"/>
              <w:rPr>
                <w:sz w:val="16"/>
                <w:szCs w:val="16"/>
                <w:color w:val="auto"/>
              </w:rPr>
            </w:pPr>
          </w:p>
        </w:tc>
      </w:tr>
      <w:tr>
        <w:trPr>
          <w:trHeight w:val="180"/>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attributable to AeroVironment</w:t>
            </w: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6,046</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7,749</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33,413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1,893</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 w:name="page6"/>
    <w:bookmarkEnd w:id="5"/>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97"/>
        </w:trPr>
        <w:tc>
          <w:tcPr>
            <w:tcW w:w="5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jc w:val="right"/>
              <w:ind w:right="32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ind w:right="119"/>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40" w:type="dxa"/>
            <w:vAlign w:val="bottom"/>
          </w:tcPr>
          <w:p>
            <w:pPr>
              <w:spacing w:after="0"/>
              <w:rPr>
                <w:sz w:val="8"/>
                <w:szCs w:val="8"/>
                <w:color w:val="auto"/>
              </w:rPr>
            </w:pPr>
          </w:p>
        </w:tc>
      </w:tr>
      <w:tr>
        <w:trPr>
          <w:trHeight w:val="149"/>
        </w:trPr>
        <w:tc>
          <w:tcPr>
            <w:tcW w:w="56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Borders>
              <w:bottom w:val="single" w:sz="8" w:color="CCEEFF"/>
            </w:tcBorders>
          </w:tcPr>
          <w:p>
            <w:pPr>
              <w:spacing w:after="0"/>
              <w:rPr>
                <w:sz w:val="12"/>
                <w:szCs w:val="12"/>
                <w:color w:val="auto"/>
              </w:rPr>
            </w:pPr>
          </w:p>
        </w:tc>
      </w:tr>
      <w:tr>
        <w:trPr>
          <w:trHeight w:val="119"/>
        </w:trPr>
        <w:tc>
          <w:tcPr>
            <w:tcW w:w="56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Net income</w:t>
            </w:r>
          </w:p>
        </w:tc>
        <w:tc>
          <w:tcPr>
            <w:tcW w:w="1360" w:type="dxa"/>
            <w:vAlign w:val="bottom"/>
            <w:gridSpan w:val="2"/>
          </w:tcPr>
          <w:p>
            <w:pPr>
              <w:jc w:val="right"/>
              <w:ind w:right="4"/>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33,366</w:t>
            </w:r>
          </w:p>
        </w:tc>
        <w:tc>
          <w:tcPr>
            <w:tcW w:w="14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1,635</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Gain on sale of business, net of tax</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(8,452)</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562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2"/>
                <w:szCs w:val="12"/>
                <w:color w:val="auto"/>
              </w:rPr>
              <w:t>Loss from discontinued operations, net of tax</w:t>
            </w:r>
          </w:p>
        </w:tc>
        <w:tc>
          <w:tcPr>
            <w:tcW w:w="1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2,449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1,521</w:t>
            </w:r>
          </w:p>
        </w:tc>
        <w:tc>
          <w:tcPr>
            <w:tcW w:w="140" w:type="dxa"/>
            <w:vAlign w:val="bottom"/>
            <w:tcBorders>
              <w:bottom w:val="single" w:sz="8" w:color="CCEEFF"/>
            </w:tcBorders>
          </w:tcPr>
          <w:p>
            <w:pPr>
              <w:spacing w:after="0"/>
              <w:rPr>
                <w:sz w:val="11"/>
                <w:szCs w:val="11"/>
                <w:color w:val="auto"/>
              </w:rPr>
            </w:pPr>
          </w:p>
        </w:tc>
      </w:tr>
      <w:tr>
        <w:trPr>
          <w:trHeight w:val="119"/>
        </w:trPr>
        <w:tc>
          <w:tcPr>
            <w:tcW w:w="56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Net income from continuing operations</w:t>
            </w: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27,363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3,156</w:t>
            </w:r>
          </w:p>
        </w:tc>
        <w:tc>
          <w:tcPr>
            <w:tcW w:w="140" w:type="dxa"/>
            <w:vAlign w:val="bottom"/>
            <w:shd w:val="clear" w:color="auto" w:fill="CCEEFF"/>
          </w:tcPr>
          <w:p>
            <w:pPr>
              <w:spacing w:after="0"/>
              <w:rPr>
                <w:sz w:val="10"/>
                <w:szCs w:val="10"/>
                <w:color w:val="auto"/>
              </w:rPr>
            </w:pP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Adjustments to reconcile net income to cash provided by operating activities: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3,584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2,784</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Loss from equity method investment</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1,354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56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Impairment of long-lived assets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255</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935</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Impairment of intangible assets and goodwill</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1,021</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Gains on foreign currency transactions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(108)</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Deferred income taxes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(614)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(1,094)</w:t>
            </w:r>
          </w:p>
        </w:tc>
      </w:tr>
      <w:tr>
        <w:trPr>
          <w:trHeight w:val="127"/>
        </w:trPr>
        <w:tc>
          <w:tcPr>
            <w:tcW w:w="56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Stock-based compensation</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2,535</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Loss on disposition of property and equipment</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Amortization of held-to-maturity investments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(459)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897</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Accounts receivable</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22,261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39,861</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ind w:left="260"/>
              <w:spacing w:after="0" w:line="128" w:lineRule="exact"/>
              <w:rPr>
                <w:sz w:val="20"/>
                <w:szCs w:val="20"/>
                <w:color w:val="auto"/>
              </w:rPr>
            </w:pPr>
            <w:r>
              <w:rPr>
                <w:rFonts w:ascii="Times New Roman" w:cs="Times New Roman" w:eastAsia="Times New Roman" w:hAnsi="Times New Roman"/>
                <w:sz w:val="12"/>
                <w:szCs w:val="12"/>
                <w:color w:val="auto"/>
              </w:rPr>
              <w:t>Unbilled receivables and retentions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(28,782)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600</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Inventories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(8,671)</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(13,772)</w:t>
            </w:r>
          </w:p>
        </w:tc>
      </w:tr>
      <w:tr>
        <w:trPr>
          <w:trHeight w:val="127"/>
        </w:trPr>
        <w:tc>
          <w:tcPr>
            <w:tcW w:w="5620" w:type="dxa"/>
            <w:vAlign w:val="bottom"/>
            <w:shd w:val="clear" w:color="auto" w:fill="CCEEFF"/>
          </w:tcPr>
          <w:p>
            <w:pPr>
              <w:ind w:left="260"/>
              <w:spacing w:after="0" w:line="128" w:lineRule="exact"/>
              <w:rPr>
                <w:sz w:val="20"/>
                <w:szCs w:val="20"/>
                <w:color w:val="auto"/>
              </w:rPr>
            </w:pPr>
            <w:r>
              <w:rPr>
                <w:rFonts w:ascii="Times New Roman" w:cs="Times New Roman" w:eastAsia="Times New Roman" w:hAnsi="Times New Roman"/>
                <w:sz w:val="12"/>
                <w:szCs w:val="12"/>
                <w:color w:val="auto"/>
              </w:rPr>
              <w:t>Income tax receivable</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(307)</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Prepaid expenses and other assets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413</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ind w:left="260"/>
              <w:spacing w:after="0" w:line="128" w:lineRule="exact"/>
              <w:rPr>
                <w:sz w:val="20"/>
                <w:szCs w:val="20"/>
                <w:color w:val="auto"/>
              </w:rPr>
            </w:pPr>
            <w:r>
              <w:rPr>
                <w:rFonts w:ascii="Times New Roman" w:cs="Times New Roman" w:eastAsia="Times New Roman" w:hAnsi="Times New Roman"/>
                <w:sz w:val="12"/>
                <w:szCs w:val="12"/>
                <w:color w:val="auto"/>
              </w:rPr>
              <w:t>Accounts payable</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(8,841)</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(2,972)</w:t>
            </w:r>
          </w:p>
        </w:tc>
      </w:tr>
      <w:tr>
        <w:trPr>
          <w:trHeight w:val="127"/>
        </w:trPr>
        <w:tc>
          <w:tcPr>
            <w:tcW w:w="562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auto"/>
              </w:rPr>
              <w:t>Other liabilities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(6,184)</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(4,225)</w:t>
            </w:r>
          </w:p>
        </w:tc>
      </w:tr>
      <w:tr>
        <w:trPr>
          <w:trHeight w:val="119"/>
        </w:trPr>
        <w:tc>
          <w:tcPr>
            <w:tcW w:w="562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Net cash provided by operating activities of continuing operations</w:t>
            </w:r>
          </w:p>
        </w:tc>
        <w:tc>
          <w:tcPr>
            <w:tcW w:w="1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2,657</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29,994</w:t>
            </w:r>
          </w:p>
        </w:tc>
        <w:tc>
          <w:tcPr>
            <w:tcW w:w="140" w:type="dxa"/>
            <w:vAlign w:val="bottom"/>
            <w:tcBorders>
              <w:top w:val="single" w:sz="8" w:color="CCEEFF"/>
            </w:tcBorders>
            <w:shd w:val="clear" w:color="auto" w:fill="CCEEFF"/>
          </w:tcPr>
          <w:p>
            <w:pPr>
              <w:spacing w:after="0"/>
              <w:rPr>
                <w:sz w:val="10"/>
                <w:szCs w:val="10"/>
                <w:color w:val="auto"/>
              </w:rPr>
            </w:pP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Investing activities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Acquisition of property and equipment</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(4,135)</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(5,455)</w:t>
            </w: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Proceeds from sale of business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31,994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Redemptions of held-to-maturity investments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153,029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105,758</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Purchases of held-to-maturity investments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(169,402)</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(88,763)</w:t>
            </w: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Redemptions of available-for-sale investments</w:t>
            </w:r>
          </w:p>
        </w:tc>
        <w:tc>
          <w:tcPr>
            <w:tcW w:w="1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2,250</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450</w:t>
            </w:r>
          </w:p>
        </w:tc>
        <w:tc>
          <w:tcPr>
            <w:tcW w:w="140" w:type="dxa"/>
            <w:vAlign w:val="bottom"/>
            <w:shd w:val="clear" w:color="auto" w:fill="CCEEFF"/>
          </w:tcPr>
          <w:p>
            <w:pPr>
              <w:spacing w:after="0"/>
              <w:rPr>
                <w:sz w:val="11"/>
                <w:szCs w:val="11"/>
                <w:color w:val="auto"/>
              </w:rPr>
            </w:pPr>
          </w:p>
        </w:tc>
      </w:tr>
      <w:tr>
        <w:trPr>
          <w:trHeight w:val="119"/>
        </w:trPr>
        <w:tc>
          <w:tcPr>
            <w:tcW w:w="562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Net cash provided by investing activities from continuing operations</w:t>
            </w: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13,736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11,990</w:t>
            </w:r>
          </w:p>
        </w:tc>
        <w:tc>
          <w:tcPr>
            <w:tcW w:w="140" w:type="dxa"/>
            <w:vAlign w:val="bottom"/>
          </w:tcPr>
          <w:p>
            <w:pPr>
              <w:spacing w:after="0"/>
              <w:rPr>
                <w:sz w:val="10"/>
                <w:szCs w:val="10"/>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Financing activities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Principal payments of capital lease obligations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(111)</w:t>
            </w: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(173)</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Tax withholding payment related to net settlement of equity awards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(975)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(313)</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2"/>
                <w:szCs w:val="12"/>
                <w:color w:val="auto"/>
              </w:rPr>
              <w:t>Exercise of stock options</w:t>
            </w:r>
          </w:p>
        </w:tc>
        <w:tc>
          <w:tcPr>
            <w:tcW w:w="1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71</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2,164</w:t>
            </w:r>
          </w:p>
        </w:tc>
        <w:tc>
          <w:tcPr>
            <w:tcW w:w="140" w:type="dxa"/>
            <w:vAlign w:val="bottom"/>
            <w:tcBorders>
              <w:bottom w:val="single" w:sz="8" w:color="CCEEFF"/>
            </w:tcBorders>
          </w:tcPr>
          <w:p>
            <w:pPr>
              <w:spacing w:after="0"/>
              <w:rPr>
                <w:sz w:val="11"/>
                <w:szCs w:val="11"/>
                <w:color w:val="auto"/>
              </w:rPr>
            </w:pPr>
          </w:p>
        </w:tc>
      </w:tr>
      <w:tr>
        <w:trPr>
          <w:trHeight w:val="119"/>
        </w:trPr>
        <w:tc>
          <w:tcPr>
            <w:tcW w:w="56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Net cash (used in) provided by financing activities from continuing operations</w:t>
            </w:r>
          </w:p>
        </w:tc>
        <w:tc>
          <w:tcPr>
            <w:tcW w:w="12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(1,015)</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1,678</w:t>
            </w:r>
          </w:p>
        </w:tc>
        <w:tc>
          <w:tcPr>
            <w:tcW w:w="140" w:type="dxa"/>
            <w:vAlign w:val="bottom"/>
            <w:shd w:val="clear" w:color="auto" w:fill="CCEEFF"/>
          </w:tcPr>
          <w:p>
            <w:pPr>
              <w:spacing w:after="0"/>
              <w:rPr>
                <w:sz w:val="10"/>
                <w:szCs w:val="10"/>
                <w:color w:val="auto"/>
              </w:rPr>
            </w:pPr>
          </w:p>
        </w:tc>
      </w:tr>
      <w:tr>
        <w:trPr>
          <w:trHeight w:val="119"/>
        </w:trPr>
        <w:tc>
          <w:tcPr>
            <w:tcW w:w="5620" w:type="dxa"/>
            <w:vAlign w:val="bottom"/>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Discontinued operations</w:t>
            </w: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Operating activities of discontinued operations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(7,188)</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(5,875)</w:t>
            </w: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Investing activities of discontinued operations</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(452)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(582)</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Financing activities of discontinued operations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19"/>
        </w:trPr>
        <w:tc>
          <w:tcPr>
            <w:tcW w:w="5620" w:type="dxa"/>
            <w:vAlign w:val="bottom"/>
            <w:tcBorders>
              <w:bottom w:val="single" w:sz="8" w:color="CCEEFF"/>
            </w:tcBorders>
          </w:tcPr>
          <w:p>
            <w:pPr>
              <w:spacing w:after="0" w:line="119" w:lineRule="exact"/>
              <w:rPr>
                <w:sz w:val="20"/>
                <w:szCs w:val="20"/>
                <w:color w:val="auto"/>
              </w:rPr>
            </w:pPr>
            <w:r>
              <w:rPr>
                <w:rFonts w:ascii="Times New Roman" w:cs="Times New Roman" w:eastAsia="Times New Roman" w:hAnsi="Times New Roman"/>
                <w:sz w:val="12"/>
                <w:szCs w:val="12"/>
                <w:color w:val="auto"/>
              </w:rPr>
              <w:t>Net cash used in discontinued operations</w:t>
            </w:r>
          </w:p>
        </w:tc>
        <w:tc>
          <w:tcPr>
            <w:tcW w:w="124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2"/>
                <w:szCs w:val="12"/>
                <w:color w:val="auto"/>
              </w:rPr>
              <w:t>(7,640)</w:t>
            </w:r>
          </w:p>
        </w:tc>
        <w:tc>
          <w:tcPr>
            <w:tcW w:w="14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2"/>
                <w:szCs w:val="12"/>
                <w:color w:val="auto"/>
              </w:rPr>
              <w:t>(6,457)</w:t>
            </w:r>
          </w:p>
        </w:tc>
        <w:tc>
          <w:tcPr>
            <w:tcW w:w="140" w:type="dxa"/>
            <w:vAlign w:val="bottom"/>
            <w:tcBorders>
              <w:bottom w:val="single" w:sz="8" w:color="CCEEFF"/>
            </w:tcBorders>
          </w:tcPr>
          <w:p>
            <w:pPr>
              <w:spacing w:after="0"/>
              <w:rPr>
                <w:sz w:val="10"/>
                <w:szCs w:val="10"/>
                <w:color w:val="auto"/>
              </w:rPr>
            </w:pPr>
          </w:p>
        </w:tc>
      </w:tr>
      <w:tr>
        <w:trPr>
          <w:trHeight w:val="119"/>
        </w:trPr>
        <w:tc>
          <w:tcPr>
            <w:tcW w:w="56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Net increase in cash and cash equivalents</w:t>
            </w: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7,738</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37,205</w:t>
            </w:r>
          </w:p>
        </w:tc>
        <w:tc>
          <w:tcPr>
            <w:tcW w:w="140" w:type="dxa"/>
            <w:vAlign w:val="bottom"/>
            <w:shd w:val="clear" w:color="auto" w:fill="CCEEFF"/>
          </w:tcPr>
          <w:p>
            <w:pPr>
              <w:spacing w:after="0"/>
              <w:rPr>
                <w:sz w:val="10"/>
                <w:szCs w:val="10"/>
                <w:color w:val="auto"/>
              </w:rPr>
            </w:pPr>
          </w:p>
        </w:tc>
      </w:tr>
      <w:tr>
        <w:trPr>
          <w:trHeight w:val="127"/>
        </w:trPr>
        <w:tc>
          <w:tcPr>
            <w:tcW w:w="562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143,517</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79,904</w:t>
            </w:r>
          </w:p>
        </w:tc>
        <w:tc>
          <w:tcPr>
            <w:tcW w:w="140" w:type="dxa"/>
            <w:vAlign w:val="bottom"/>
            <w:tcBorders>
              <w:bottom w:val="single" w:sz="8" w:color="CCEEFF"/>
            </w:tcBorders>
          </w:tcPr>
          <w:p>
            <w:pPr>
              <w:spacing w:after="0"/>
              <w:rPr>
                <w:sz w:val="11"/>
                <w:szCs w:val="11"/>
                <w:color w:val="auto"/>
              </w:rPr>
            </w:pPr>
          </w:p>
        </w:tc>
      </w:tr>
      <w:tr>
        <w:trPr>
          <w:trHeight w:val="139"/>
        </w:trPr>
        <w:tc>
          <w:tcPr>
            <w:tcW w:w="5620" w:type="dxa"/>
            <w:vAlign w:val="bottom"/>
            <w:tcBorders>
              <w:bottom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151,255</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117,109</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10"/>
        </w:trPr>
        <w:tc>
          <w:tcPr>
            <w:tcW w:w="562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Cash paid, net during the period for:</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Income taxes</w:t>
            </w:r>
          </w:p>
        </w:tc>
        <w:tc>
          <w:tcPr>
            <w:tcW w:w="1360" w:type="dxa"/>
            <w:vAlign w:val="bottom"/>
            <w:gridSpan w:val="2"/>
          </w:tcPr>
          <w:p>
            <w:pPr>
              <w:jc w:val="right"/>
              <w:ind w:right="4"/>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5,270</w:t>
            </w:r>
          </w:p>
        </w:tc>
        <w:tc>
          <w:tcPr>
            <w:tcW w:w="14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1,803</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Non-cash activities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Unrealized gain on investments, net of deferred tax expense of $51 and $19, respectively</w:t>
            </w:r>
          </w:p>
        </w:tc>
        <w:tc>
          <w:tcPr>
            <w:tcW w:w="1360" w:type="dxa"/>
            <w:vAlign w:val="bottom"/>
            <w:gridSpan w:val="2"/>
          </w:tcPr>
          <w:p>
            <w:pPr>
              <w:jc w:val="right"/>
              <w:ind w:right="4"/>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57</w:t>
            </w:r>
          </w:p>
        </w:tc>
        <w:tc>
          <w:tcPr>
            <w:tcW w:w="14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spacing w:after="0"/>
              <w:rPr>
                <w:sz w:val="11"/>
                <w:szCs w:val="11"/>
                <w:color w:val="auto"/>
              </w:rPr>
            </w:pP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Reclassification from share-based liability compensation to equity</w:t>
            </w:r>
          </w:p>
        </w:tc>
        <w:tc>
          <w:tcPr>
            <w:tcW w:w="1360" w:type="dxa"/>
            <w:vAlign w:val="bottom"/>
            <w:gridSpan w:val="2"/>
            <w:shd w:val="clear" w:color="auto" w:fill="CCEEFF"/>
          </w:tcPr>
          <w:p>
            <w:pPr>
              <w:jc w:val="right"/>
              <w:ind w:right="4"/>
              <w:spacing w:after="0" w:line="128"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384</w:t>
            </w:r>
          </w:p>
        </w:tc>
        <w:tc>
          <w:tcPr>
            <w:tcW w:w="140" w:type="dxa"/>
            <w:vAlign w:val="bottom"/>
            <w:shd w:val="clear" w:color="auto" w:fill="CCEEFF"/>
          </w:tcPr>
          <w:p>
            <w:pPr>
              <w:spacing w:after="0"/>
              <w:rPr>
                <w:sz w:val="11"/>
                <w:szCs w:val="11"/>
                <w:color w:val="auto"/>
              </w:rPr>
            </w:pPr>
          </w:p>
        </w:tc>
      </w:tr>
      <w:tr>
        <w:trPr>
          <w:trHeight w:val="127"/>
        </w:trPr>
        <w:tc>
          <w:tcPr>
            <w:tcW w:w="5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Change in foreign currency translation adjustments</w:t>
            </w:r>
          </w:p>
        </w:tc>
        <w:tc>
          <w:tcPr>
            <w:tcW w:w="1360" w:type="dxa"/>
            <w:vAlign w:val="bottom"/>
            <w:gridSpan w:val="2"/>
          </w:tcPr>
          <w:p>
            <w:pPr>
              <w:jc w:val="right"/>
              <w:ind w:right="4"/>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(31)</w:t>
            </w:r>
          </w:p>
        </w:tc>
        <w:tc>
          <w:tcPr>
            <w:tcW w:w="14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5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Acquisitions of property and equipment included in accounts payable</w:t>
            </w:r>
          </w:p>
        </w:tc>
        <w:tc>
          <w:tcPr>
            <w:tcW w:w="1360" w:type="dxa"/>
            <w:vAlign w:val="bottom"/>
            <w:gridSpan w:val="2"/>
            <w:shd w:val="clear" w:color="auto" w:fill="CCEEFF"/>
          </w:tcPr>
          <w:p>
            <w:pPr>
              <w:jc w:val="right"/>
              <w:ind w:right="4"/>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753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888</w:t>
            </w:r>
          </w:p>
        </w:tc>
        <w:tc>
          <w:tcPr>
            <w:tcW w:w="140" w:type="dxa"/>
            <w:vAlign w:val="bottom"/>
            <w:shd w:val="clear" w:color="auto" w:fill="CCEEFF"/>
          </w:tcPr>
          <w:p>
            <w:pPr>
              <w:spacing w:after="0"/>
              <w:rPr>
                <w:sz w:val="11"/>
                <w:szCs w:val="1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 (unaudited).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6" w:name="page7"/>
    <w:bookmarkEnd w:id="6"/>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(Unaudited)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Organization and Significant Accounting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201"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5"/>
          <w:szCs w:val="15"/>
          <w:color w:val="auto"/>
        </w:rPr>
        <w:t>AeroVironment, Inc., a Delaware corporation (the “Company”), is engaged in the design, development, production, support and operation of unmanned aircraft systems (“UAS”) for various industries and governmental agencies.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20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27, 2018 are not necessarily indicative of the results for the full year ending April 30, 2019. For further information, refer to the consolidated financial statements and footnotes thereto for the year ended April 30, 2018, included in the Company’s Annual Report on Form 10-K.</w:t>
      </w:r>
    </w:p>
    <w:p>
      <w:pPr>
        <w:spacing w:after="0" w:line="15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47" w:lineRule="exact"/>
        <w:rPr>
          <w:sz w:val="20"/>
          <w:szCs w:val="20"/>
          <w:color w:val="auto"/>
        </w:rPr>
      </w:pPr>
    </w:p>
    <w:p>
      <w:pPr>
        <w:ind w:right="780"/>
        <w:spacing w:after="0" w:line="294" w:lineRule="auto"/>
        <w:rPr>
          <w:sz w:val="20"/>
          <w:szCs w:val="20"/>
          <w:color w:val="auto"/>
        </w:rPr>
      </w:pPr>
      <w:r>
        <w:rPr>
          <w:rFonts w:ascii="Times New Roman" w:cs="Times New Roman" w:eastAsia="Times New Roman" w:hAnsi="Times New Roman"/>
          <w:sz w:val="15"/>
          <w:szCs w:val="15"/>
          <w:color w:val="auto"/>
        </w:rPr>
        <w:t>The Company’s consolidated financial statements include the assets, liabilities and operating results of wholly-owned subsidiaries. All intercompany accounts and transactions have been eliminated.</w:t>
      </w:r>
    </w:p>
    <w:p>
      <w:pPr>
        <w:spacing w:after="0" w:line="132" w:lineRule="exact"/>
        <w:rPr>
          <w:sz w:val="20"/>
          <w:szCs w:val="20"/>
          <w:color w:val="auto"/>
        </w:rPr>
      </w:pPr>
    </w:p>
    <w:p>
      <w:pPr>
        <w:jc w:val="both"/>
        <w:ind w:right="240"/>
        <w:spacing w:after="0" w:line="275" w:lineRule="auto"/>
        <w:rPr>
          <w:sz w:val="20"/>
          <w:szCs w:val="20"/>
          <w:color w:val="auto"/>
        </w:rPr>
      </w:pPr>
      <w:r>
        <w:rPr>
          <w:rFonts w:ascii="Times New Roman" w:cs="Times New Roman" w:eastAsia="Times New Roman" w:hAnsi="Times New Roman"/>
          <w:sz w:val="15"/>
          <w:szCs w:val="15"/>
          <w:color w:val="auto"/>
        </w:rPr>
        <w:t>The accompanying consolidated financial statements include the balance sheet and results of operations of Altoy Savunma Sanayi ve Havacilik Anonim Sirketi (“Altoy”), in which the Company increased its ownership to a controlling interest of 85% during the fourth quarter of the fiscal year ended April 30, 2017. Prior to the increase in ownership, the Company's investment in Altoy was accounted for under the equity method.</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activity, net of tax” in the consolidated statements of operations. The carrying value of the investment in HAPSMobile was recorded in “Other assets.” Refer to Note 6—Equity Method Investments for further details.</w:t>
      </w:r>
    </w:p>
    <w:p>
      <w:pPr>
        <w:spacing w:after="0" w:line="15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5"/>
          <w:szCs w:val="15"/>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represents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Standards</w:t>
      </w:r>
    </w:p>
    <w:p>
      <w:pPr>
        <w:spacing w:after="0" w:line="197"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5"/>
          <w:szCs w:val="15"/>
          <w:color w:val="auto"/>
        </w:rPr>
        <w:t xml:space="preserve">In August 2016, the FASB issued ASU 2016-15, </w:t>
      </w:r>
      <w:r>
        <w:rPr>
          <w:rFonts w:ascii="Times New Roman" w:cs="Times New Roman" w:eastAsia="Times New Roman" w:hAnsi="Times New Roman"/>
          <w:sz w:val="15"/>
          <w:szCs w:val="15"/>
          <w:i w:val="1"/>
          <w:iCs w:val="1"/>
          <w:color w:val="auto"/>
        </w:rPr>
        <w:t>Statement of Cash Flows—Classification of Certain Cash Receipts and Cash Payments</w:t>
      </w:r>
      <w:r>
        <w:rPr>
          <w:rFonts w:ascii="Times New Roman" w:cs="Times New Roman" w:eastAsia="Times New Roman" w:hAnsi="Times New Roman"/>
          <w:sz w:val="15"/>
          <w:szCs w:val="15"/>
          <w:color w:val="auto"/>
        </w:rPr>
        <w:t xml:space="preserve"> (Topic 230). This ASU adds and clarifies guidance on the classification of certain cash receipts and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ind w:left="10"/>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left="10" w:right="120"/>
        <w:spacing w:after="0" w:line="294" w:lineRule="auto"/>
        <w:rPr>
          <w:sz w:val="20"/>
          <w:szCs w:val="20"/>
          <w:color w:val="auto"/>
        </w:rPr>
      </w:pPr>
      <w:r>
        <w:rPr>
          <w:rFonts w:ascii="Times New Roman" w:cs="Times New Roman" w:eastAsia="Times New Roman" w:hAnsi="Times New Roman"/>
          <w:sz w:val="15"/>
          <w:szCs w:val="15"/>
          <w:color w:val="auto"/>
        </w:rPr>
        <w:t>payments in the statement of cash flows. The Company’s adoption of ASU No. 2017-01 effective May 1, 2018 did not have a material impact on its consolidated financial statements.</w:t>
      </w:r>
    </w:p>
    <w:p>
      <w:pPr>
        <w:spacing w:after="0" w:line="128" w:lineRule="exact"/>
        <w:rPr>
          <w:sz w:val="20"/>
          <w:szCs w:val="20"/>
          <w:color w:val="auto"/>
        </w:rPr>
      </w:pPr>
    </w:p>
    <w:p>
      <w:pPr>
        <w:ind w:left="10" w:right="80"/>
        <w:spacing w:after="0" w:line="271" w:lineRule="auto"/>
        <w:rPr>
          <w:sz w:val="20"/>
          <w:szCs w:val="20"/>
          <w:color w:val="auto"/>
        </w:rPr>
      </w:pPr>
      <w:r>
        <w:rPr>
          <w:rFonts w:ascii="Times New Roman" w:cs="Times New Roman" w:eastAsia="Times New Roman" w:hAnsi="Times New Roman"/>
          <w:sz w:val="15"/>
          <w:szCs w:val="15"/>
          <w:color w:val="auto"/>
        </w:rPr>
        <w:t xml:space="preserve">In January 2017, the FASB issued ASU 2017-01, </w:t>
      </w:r>
      <w:r>
        <w:rPr>
          <w:rFonts w:ascii="Times New Roman" w:cs="Times New Roman" w:eastAsia="Times New Roman" w:hAnsi="Times New Roman"/>
          <w:sz w:val="15"/>
          <w:szCs w:val="15"/>
          <w:i w:val="1"/>
          <w:iCs w:val="1"/>
          <w:color w:val="auto"/>
        </w:rPr>
        <w:t>Business Combinations—Clarifying the definition of a business</w:t>
      </w:r>
      <w:r>
        <w:rPr>
          <w:rFonts w:ascii="Times New Roman" w:cs="Times New Roman" w:eastAsia="Times New Roman" w:hAnsi="Times New Roman"/>
          <w:sz w:val="15"/>
          <w:szCs w:val="15"/>
          <w:color w:val="auto"/>
        </w:rPr>
        <w:t xml:space="preserve"> (Topic 805). This ASU clarifies the definition of a business with the objective of providing a more robust framework to evaluate whether transactions should be accounted for as acquisitions (or disposals) of assets or businesses. The Company’s adoption of ASU No. 2017-01 effective May 1, 2018 did not have a material impact on its consolidated financial statements.</w:t>
      </w:r>
    </w:p>
    <w:p>
      <w:pPr>
        <w:spacing w:after="0" w:line="146" w:lineRule="exact"/>
        <w:rPr>
          <w:sz w:val="20"/>
          <w:szCs w:val="20"/>
          <w:color w:val="auto"/>
        </w:rPr>
      </w:pPr>
    </w:p>
    <w:p>
      <w:pPr>
        <w:ind w:left="10" w:right="20"/>
        <w:spacing w:after="0" w:line="278" w:lineRule="auto"/>
        <w:rPr>
          <w:sz w:val="20"/>
          <w:szCs w:val="20"/>
          <w:color w:val="auto"/>
        </w:rPr>
      </w:pPr>
      <w:r>
        <w:rPr>
          <w:rFonts w:ascii="Times New Roman" w:cs="Times New Roman" w:eastAsia="Times New Roman" w:hAnsi="Times New Roman"/>
          <w:sz w:val="15"/>
          <w:szCs w:val="15"/>
          <w:color w:val="auto"/>
        </w:rPr>
        <w:t xml:space="preserve">In May 2017, the FASB issued ASU 2017-09, </w:t>
      </w:r>
      <w:r>
        <w:rPr>
          <w:rFonts w:ascii="Times New Roman" w:cs="Times New Roman" w:eastAsia="Times New Roman" w:hAnsi="Times New Roman"/>
          <w:sz w:val="15"/>
          <w:szCs w:val="15"/>
          <w:i w:val="1"/>
          <w:iCs w:val="1"/>
          <w:color w:val="auto"/>
        </w:rPr>
        <w:t>Compensation—Stock Compensation</w:t>
      </w:r>
      <w:r>
        <w:rPr>
          <w:rFonts w:ascii="Times New Roman" w:cs="Times New Roman" w:eastAsia="Times New Roman" w:hAnsi="Times New Roman"/>
          <w:sz w:val="15"/>
          <w:szCs w:val="15"/>
          <w:color w:val="auto"/>
        </w:rPr>
        <w:t xml:space="preserve"> (Topic 718). This ASU reduces the diversity in practice and cost and complexity when applying the guidance in Topic 718 to a change in terms or conditions of a share-based payment award. The Company’s adoption of ASU No. 2017-09 effective May 1, 2018 did not have a material impact on its consolidated financial statements.</w:t>
      </w:r>
    </w:p>
    <w:p>
      <w:pPr>
        <w:spacing w:after="0" w:line="140" w:lineRule="exact"/>
        <w:rPr>
          <w:sz w:val="20"/>
          <w:szCs w:val="20"/>
          <w:color w:val="auto"/>
        </w:rPr>
      </w:pPr>
    </w:p>
    <w:p>
      <w:pPr>
        <w:ind w:left="10" w:right="100"/>
        <w:spacing w:after="0" w:line="278" w:lineRule="auto"/>
        <w:rPr>
          <w:sz w:val="20"/>
          <w:szCs w:val="20"/>
          <w:color w:val="auto"/>
        </w:rPr>
      </w:pPr>
      <w:r>
        <w:rPr>
          <w:rFonts w:ascii="Times New Roman" w:cs="Times New Roman" w:eastAsia="Times New Roman" w:hAnsi="Times New Roman"/>
          <w:sz w:val="15"/>
          <w:szCs w:val="15"/>
          <w:color w:val="auto"/>
        </w:rPr>
        <w:t xml:space="preserve">In the first quarter of its fiscal 2019, the Company adopted ASU 2014-09,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(Topic 606), using the full retrospective method. Topic 606 requires revenue to be recognized when promised goods or services are transferred to customers in amounts that reflect the consideration to which the Company expects to be entitled in exchange for those goods or services.</w:t>
      </w:r>
    </w:p>
    <w:p>
      <w:pPr>
        <w:spacing w:after="0" w:line="144" w:lineRule="exact"/>
        <w:rPr>
          <w:sz w:val="20"/>
          <w:szCs w:val="20"/>
          <w:color w:val="auto"/>
        </w:rPr>
      </w:pPr>
    </w:p>
    <w:p>
      <w:pPr>
        <w:ind w:left="10" w:right="140"/>
        <w:spacing w:after="0" w:line="261" w:lineRule="auto"/>
        <w:rPr>
          <w:sz w:val="20"/>
          <w:szCs w:val="20"/>
          <w:color w:val="auto"/>
        </w:rPr>
      </w:pPr>
      <w:r>
        <w:rPr>
          <w:rFonts w:ascii="Times New Roman" w:cs="Times New Roman" w:eastAsia="Times New Roman" w:hAnsi="Times New Roman"/>
          <w:sz w:val="15"/>
          <w:szCs w:val="15"/>
          <w:color w:val="auto"/>
        </w:rPr>
        <w:t>Revenue for small UAS product contracts with both the U.S. government and foreign governments under the new standard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GAAP, revenue was generally recognized when deliveries of the related TMS products were made. The new standard accelerates the timing of when the revenue is recognized; however, it does not change the total amount of revenue recognized on these contracts. The new standard does not affect revenue recognition for the Company’s Customer-Funded Research and Development (“R&amp;D”) contracts. The Company continues to recognize revenue for these contracts over time as costs are incurred. The adoption of Topic 606 resulted in a cumulative adjustment to decrease retained earnings by $1,084,000 at May 1, 2018 relating to both the Company’s continuing and discontinued operations. For the Company’s continuing operations, the adoption of Topic 606 resulted in a cumulative adjustment to increase retained earnings by $1,063,000 at May 1, 2018.</w:t>
      </w:r>
    </w:p>
    <w:p>
      <w:pPr>
        <w:spacing w:after="0" w:line="161" w:lineRule="exact"/>
        <w:rPr>
          <w:sz w:val="20"/>
          <w:szCs w:val="20"/>
          <w:color w:val="auto"/>
        </w:rPr>
      </w:pPr>
    </w:p>
    <w:p>
      <w:pPr>
        <w:ind w:left="10"/>
        <w:spacing w:after="0" w:line="264" w:lineRule="auto"/>
        <w:rPr>
          <w:sz w:val="20"/>
          <w:szCs w:val="20"/>
          <w:color w:val="auto"/>
        </w:rPr>
      </w:pPr>
      <w:r>
        <w:rPr>
          <w:rFonts w:ascii="Times New Roman" w:cs="Times New Roman" w:eastAsia="Times New Roman" w:hAnsi="Times New Roman"/>
          <w:sz w:val="15"/>
          <w:szCs w:val="15"/>
          <w:color w:val="auto"/>
        </w:rPr>
        <w:t>The Company applied the standard’s practical expedient that permits the omission of prior-period information about the Company’s remaining performance obligations, the practical expedient that permits the Company to recognize the incremental costs of obtaining a contract as an expense when incurred if the amortization period of the asset the entity otherwise would have recognized is one year or less, and the practical expedient that permits the Company to not retrospectively restate contracts which were modified prior to the Company’s initial date of adoption, or May 1, 2016. Instead the Company reflected the aggregate effect of all modifications when identifying the satisfied and unsatisfied performance obligations, determining the transaction price, and allocating the transaction price. No other practical expedients were applied.</w:t>
      </w:r>
    </w:p>
    <w:p>
      <w:pPr>
        <w:spacing w:after="0" w:line="1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201" w:lineRule="exact"/>
        <w:rPr>
          <w:sz w:val="20"/>
          <w:szCs w:val="20"/>
          <w:color w:val="auto"/>
        </w:rPr>
      </w:pPr>
    </w:p>
    <w:p>
      <w:pPr>
        <w:ind w:left="10" w:right="20"/>
        <w:spacing w:after="0" w:line="269" w:lineRule="auto"/>
        <w:rPr>
          <w:sz w:val="20"/>
          <w:szCs w:val="20"/>
          <w:color w:val="auto"/>
        </w:rPr>
      </w:pPr>
      <w:r>
        <w:rPr>
          <w:rFonts w:ascii="Times New Roman" w:cs="Times New Roman" w:eastAsia="Times New Roman" w:hAnsi="Times New Roman"/>
          <w:sz w:val="15"/>
          <w:szCs w:val="15"/>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Performance Obligations</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 performance obligation is a promise in a contract to transfer distinct goods or services to a customer, and it is the unit of account in ASC Topic</w:t>
      </w:r>
    </w:p>
    <w:p>
      <w:pPr>
        <w:spacing w:after="0" w:line="27" w:lineRule="exact"/>
        <w:rPr>
          <w:sz w:val="20"/>
          <w:szCs w:val="20"/>
          <w:color w:val="auto"/>
        </w:rPr>
      </w:pPr>
    </w:p>
    <w:p>
      <w:pPr>
        <w:ind w:left="10" w:right="120" w:hanging="10"/>
        <w:spacing w:after="0" w:line="263" w:lineRule="auto"/>
        <w:tabs>
          <w:tab w:leader="none" w:pos="31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w:t>
      </w:r>
    </w:p>
    <w:p>
      <w:pPr>
        <w:spacing w:after="0" w:line="33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5768975" cy="22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50"/>
          </w:cols>
          <w:pgMar w:left="1410" w:top="125" w:right="1439" w:bottom="1440" w:gutter="0" w:footer="0" w:header="0"/>
        </w:sectPr>
      </w:pPr>
    </w:p>
    <w:bookmarkStart w:id="8" w:name="page9"/>
    <w:bookmarkEnd w:id="8"/>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15"/>
          <w:szCs w:val="15"/>
          <w:color w:val="auto"/>
        </w:rPr>
        <w:t>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51"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5"/>
          <w:szCs w:val="15"/>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3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5"/>
          <w:szCs w:val="15"/>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34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5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auto"/>
        </w:rPr>
        <w:t>On October 27, 2018, the Company had approximately $163,852,000 of remaining performance obligations under fully funded contracts with its customers, which the Company also refers to as funded backlog. The Company currently expects to recognize approximately 77% of the remaining performance obligations as revenue in fiscal 2019, an additional 17% in fiscal 2020, and the balance thereafter.</w:t>
      </w:r>
    </w:p>
    <w:p>
      <w:pPr>
        <w:spacing w:after="0" w:line="147"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5"/>
          <w:szCs w:val="15"/>
          <w:color w:val="auto"/>
        </w:rPr>
        <w:t>The Company collects sales, value add, and other taxes concurrent with revenue producing activities, which are excluded from revenue when they are both imposed on a specific transaction and collected from a customer.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Estimates</w:t>
      </w:r>
    </w:p>
    <w:p>
      <w:pPr>
        <w:spacing w:after="0" w:line="20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56"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5"/>
          <w:szCs w:val="15"/>
          <w:color w:val="auto"/>
        </w:rPr>
        <w:t>Contract estimates are based on various assumptions to project the outcome of future events that may span several years. These assumptions include labor productivity and availability, the complexity of the work to be performed, the cost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9" w:name="page10"/>
    <w:bookmarkEnd w:id="9"/>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availability of materials, the performance of subcontractors, and the availability and timing of funding from the customer.</w:t>
      </w:r>
    </w:p>
    <w:p>
      <w:pPr>
        <w:spacing w:after="0" w:line="19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5"/>
          <w:szCs w:val="15"/>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w:t>
      </w:r>
    </w:p>
    <w:p>
      <w:pPr>
        <w:spacing w:after="0" w:line="1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six month periods ended October 27, 2018 and October 28, 2017. No adjustment on any one contract was material to the Company’s unaudited consolidated financial statements for the three and six month periods ended October 27, 2018 and October 28, 2017.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by Category</w:t>
      </w:r>
    </w:p>
    <w:p>
      <w:pPr>
        <w:spacing w:after="0" w:line="20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auto"/>
        </w:rPr>
        <w:t>Revenue from products and services during the six months ended October 27, 2018 consisted of revenue derived from over 230 active contracts. The following tables present the Company’s revenue disaggregated by major product line, contract type, customer category and geographic location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6"/>
          </w:tcPr>
          <w:p>
            <w:pPr>
              <w:ind w:left="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7"/>
          </w:tcPr>
          <w:p>
            <w:pPr>
              <w:ind w:left="32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3"/>
        </w:trPr>
        <w:tc>
          <w:tcPr>
            <w:tcW w:w="35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 by major product line/program</w:t>
            </w: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October 28,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October 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6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2"/>
                <w:szCs w:val="12"/>
                <w:b w:val="1"/>
                <w:bCs w:val="1"/>
                <w:color w:val="auto"/>
              </w:rPr>
              <w:t>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Small UAS</w:t>
            </w:r>
          </w:p>
        </w:tc>
        <w:tc>
          <w:tcPr>
            <w:tcW w:w="1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42,199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47,021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83,415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67,082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TMS</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37,785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HAPS</w:t>
            </w:r>
          </w:p>
        </w:tc>
        <w:tc>
          <w:tcPr>
            <w:tcW w:w="1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12,832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24,395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19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5,427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4,527</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9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72,979</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65,801</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151,022</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100,162</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6"/>
          </w:tcPr>
          <w:p>
            <w:pPr>
              <w:ind w:left="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7"/>
          </w:tcPr>
          <w:p>
            <w:pPr>
              <w:ind w:left="32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3"/>
        </w:trPr>
        <w:tc>
          <w:tcPr>
            <w:tcW w:w="35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 by contract type</w:t>
            </w:r>
          </w:p>
        </w:tc>
        <w:tc>
          <w:tcPr>
            <w:tcW w:w="19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October 28,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2"/>
                <w:szCs w:val="12"/>
                <w:b w:val="1"/>
                <w:bCs w:val="1"/>
                <w:color w:val="auto"/>
                <w:w w:val="99"/>
              </w:rPr>
              <w:t>October 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6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9"/>
              </w:rPr>
              <w:t>2017</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2"/>
                <w:szCs w:val="12"/>
                <w:b w:val="1"/>
                <w:bCs w:val="1"/>
                <w:color w:val="auto"/>
                <w:w w:val="99"/>
              </w:rPr>
              <w:t>2017</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FFP</w:t>
            </w:r>
          </w:p>
        </w:tc>
        <w:tc>
          <w:tcPr>
            <w:tcW w:w="19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50,054</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56,761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108,057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CPFF</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22,870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42,853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T&amp;M</w:t>
            </w:r>
          </w:p>
        </w:tc>
        <w:tc>
          <w:tcPr>
            <w:tcW w:w="19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920" w:type="dxa"/>
            <w:vAlign w:val="bottom"/>
          </w:tcPr>
          <w:p>
            <w:pPr>
              <w:spacing w:after="0"/>
              <w:rPr>
                <w:sz w:val="15"/>
                <w:szCs w:val="15"/>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72,979</w:t>
            </w:r>
          </w:p>
        </w:tc>
        <w:tc>
          <w:tcPr>
            <w:tcW w:w="12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65,801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100,162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0"/>
        </w:trPr>
        <w:tc>
          <w:tcPr>
            <w:tcW w:w="3560" w:type="dxa"/>
            <w:vAlign w:val="bottom"/>
          </w:tcPr>
          <w:p>
            <w:pPr>
              <w:spacing w:after="0"/>
              <w:rPr>
                <w:sz w:val="24"/>
                <w:szCs w:val="24"/>
                <w:color w:val="auto"/>
              </w:rPr>
            </w:pPr>
          </w:p>
        </w:tc>
        <w:tc>
          <w:tcPr>
            <w:tcW w:w="1920" w:type="dxa"/>
            <w:vAlign w:val="bottom"/>
          </w:tcPr>
          <w:p>
            <w:pPr>
              <w:jc w:val="right"/>
              <w:ind w:right="783"/>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5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5" w:right="1399" w:bottom="1440" w:gutter="0" w:footer="0" w:header="0"/>
        </w:sectPr>
      </w:pPr>
    </w:p>
    <w:bookmarkStart w:id="10" w:name="page11"/>
    <w:bookmarkEnd w:id="10"/>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5"/>
          <w:szCs w:val="15"/>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3"/>
        </w:trPr>
        <w:tc>
          <w:tcPr>
            <w:tcW w:w="37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 by customer category</w:t>
            </w:r>
          </w:p>
        </w:tc>
        <w:tc>
          <w:tcPr>
            <w:tcW w:w="1720" w:type="dxa"/>
            <w:vAlign w:val="bottom"/>
          </w:tcPr>
          <w:p>
            <w:pPr>
              <w:spacing w:after="0"/>
              <w:rPr>
                <w:sz w:val="13"/>
                <w:szCs w:val="13"/>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October 28,</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October 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80" w:type="dxa"/>
            <w:vAlign w:val="bottom"/>
            <w:tcBorders>
              <w:bottom w:val="single" w:sz="8" w:color="CCEEFF"/>
            </w:tcBorders>
            <w:vMerge w:val="continue"/>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government:</w:t>
            </w: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46,941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40,578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82,849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63,471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Non-U.S. government</w:t>
            </w:r>
          </w:p>
        </w:tc>
        <w:tc>
          <w:tcPr>
            <w:tcW w:w="1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26,038</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25,223</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68,173</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36,691</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72,979</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65,801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151,022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100,162</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97"/>
        </w:trPr>
        <w:tc>
          <w:tcPr>
            <w:tcW w:w="3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3"/>
        </w:trPr>
        <w:tc>
          <w:tcPr>
            <w:tcW w:w="37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 by geographic location</w:t>
            </w:r>
          </w:p>
        </w:tc>
        <w:tc>
          <w:tcPr>
            <w:tcW w:w="1720" w:type="dxa"/>
            <w:vAlign w:val="bottom"/>
          </w:tcPr>
          <w:p>
            <w:pPr>
              <w:spacing w:after="0"/>
              <w:rPr>
                <w:sz w:val="13"/>
                <w:szCs w:val="13"/>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October 28,</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October 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80" w:type="dxa"/>
            <w:vAlign w:val="bottom"/>
            <w:tcBorders>
              <w:bottom w:val="single" w:sz="8" w:color="CCEEFF"/>
            </w:tcBorders>
            <w:vMerge w:val="continue"/>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Domestic</w:t>
            </w: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46,726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39,170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82,078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26,253</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26,631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68,944</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39,422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72,979</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65,801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151,022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100,162</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Balances</w:t>
      </w:r>
    </w:p>
    <w:p>
      <w:pPr>
        <w:spacing w:after="0" w:line="20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six-month period ended October 27, 2018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34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auto"/>
        </w:rPr>
        <w:t>Revenue recognized for the three month periods ended October 27, 2018 and October 28, 2017 that was included in contract liability balances at the beginning of each year were $6,000 and $0, respectively; and revenue recognized for the six month periods ended October 27, 2018 and October 28, 2017 that was included in contract liability balances at the beginning of each year were $1,554,000 and $764,000,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Segments</w:t>
      </w:r>
    </w:p>
    <w:p>
      <w:pPr>
        <w:spacing w:after="0" w:line="20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on a consolidated basis for the Company’s continuing operations. Accordingly, the Company operates its business as a single reportable segment.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investments are accounted for as held-to-maturity and reported at amortized cost and fair value,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1" w:name="page12"/>
    <w:bookmarkEnd w:id="11"/>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Values of Financial Instruments</w:t>
      </w:r>
    </w:p>
    <w:p>
      <w:pPr>
        <w:spacing w:after="0" w:line="190"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5"/>
          <w:szCs w:val="15"/>
          <w:color w:val="auto"/>
        </w:rPr>
        <w:t>Fair values of cash and cash equivalents, accounts receivable, unbilled receivables and retentions, and accounts payable approximate cost due to the short period of time to maturity.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Government Contracts</w:t>
      </w:r>
    </w:p>
    <w:p>
      <w:pPr>
        <w:spacing w:after="0" w:line="1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54"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15"/>
          <w:szCs w:val="15"/>
          <w:color w:val="auto"/>
        </w:rPr>
        <w:t>The Company’s revenue recognition policy calls for revenue recognized on all CPFF or T&amp;M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At October 27, 2018 and April 30, 2018, the Company had $179,000 and $77,000 reserved for incurred cost claim audits,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Earnings Per Share</w:t>
      </w:r>
    </w:p>
    <w:p>
      <w:pPr>
        <w:spacing w:after="0" w:line="190"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color w:val="auto"/>
        </w:rPr>
        <w:t>Basic earnings per share is computed using the weighted-average number of common shares outstanding, excluding shares of unvested restricted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reconciliation of basic to diluted shares is as follows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Income (loss) from</w:t>
            </w: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jc w:val="right"/>
              <w:ind w:right="48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jc w:val="right"/>
              <w:ind w:right="565"/>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October 27, 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October 28, 2017</w:t>
            </w:r>
          </w:p>
        </w:tc>
        <w:tc>
          <w:tcPr>
            <w:tcW w:w="10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October 27, 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October 28, 2017</w:t>
            </w:r>
          </w:p>
        </w:tc>
        <w:tc>
          <w:tcPr>
            <w:tcW w:w="0" w:type="dxa"/>
            <w:vAlign w:val="bottom"/>
          </w:tcPr>
          <w:p>
            <w:pPr>
              <w:spacing w:after="0"/>
              <w:rPr>
                <w:sz w:val="1"/>
                <w:szCs w:val="1"/>
                <w:color w:val="auto"/>
              </w:rPr>
            </w:pPr>
          </w:p>
        </w:tc>
      </w:tr>
      <w:tr>
        <w:trPr>
          <w:trHeight w:val="176"/>
        </w:trPr>
        <w:tc>
          <w:tcPr>
            <w:tcW w:w="4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Continuing operations attributable to AeroVironment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7,047</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7,756</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27,384</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Discontinued operations, net of tax</w:t>
            </w:r>
          </w:p>
        </w:tc>
        <w:tc>
          <w:tcPr>
            <w:tcW w:w="1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(1,521)</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attributable to AeroVironment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33,387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Denominator for basic earnings per share: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Weighted average common shares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23,667,400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23,477,914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23,621,720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23,407,500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0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Dilutive effect of employee stock options, restricted stock</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and restricted stock units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431,433</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355,045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437,674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308,497</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Denominator for diluted earnings per share</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24,098,833</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23,832,959</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24,059,394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23,715,997</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Potentially dilutive shares not included in the computation of diluted weighted-average common shares because their effect would have been anti-dilutive were 598 and 7,130 for the three and six months ended October 27, 2018, respectively. There were no potentially dilutive shares for the three months ended October 27, 2018. Potentially dilutive shares not included in the computation of diluted weighted average common shares because their effect would have been antidilutive were 14,820 for the six months ended October 28, 2017,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2" w:name="page13"/>
    <w:bookmarkEnd w:id="12"/>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Standards</w:t>
      </w:r>
    </w:p>
    <w:p>
      <w:pPr>
        <w:spacing w:after="0" w:line="19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color w:val="auto"/>
        </w:rPr>
        <w:t xml:space="preserve">In February 2016, the FASB issued ASU 2016-02,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(Topic 842). This ASU requires the lessee to recognize the assets and liabilities for the rights and obligations created by leases with terms of 12 months or more. The guidance is effective for fiscal years beginning after December 15, 2018 and interim periods therein, with early adoption permitted. The Company plans to adopt Topic 842 using the required modified retrospective approach with the election to recognize a cumulative-effect adjustment to the opening balance of retained earnings in the period of adoption. The Company currently does not hold a large number of leases that are classified as operating leases under the existing lease standard, with the only significant leases being the Company’s various property leases. The Company is evaluating the potential impact of this adoption on its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 February 2018, the FASB issued ASU 2018-02, </w:t>
      </w:r>
      <w:r>
        <w:rPr>
          <w:rFonts w:ascii="Times New Roman" w:cs="Times New Roman" w:eastAsia="Times New Roman" w:hAnsi="Times New Roman"/>
          <w:sz w:val="15"/>
          <w:szCs w:val="15"/>
          <w:i w:val="1"/>
          <w:iCs w:val="1"/>
          <w:color w:val="auto"/>
        </w:rPr>
        <w:t>Reclassification of Certain Tax Effects from Accumulated Other</w:t>
      </w:r>
    </w:p>
    <w:p>
      <w:pPr>
        <w:spacing w:after="0" w:line="3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Comprehensive Income. </w:t>
      </w:r>
      <w:r>
        <w:rPr>
          <w:rFonts w:ascii="Times New Roman" w:cs="Times New Roman" w:eastAsia="Times New Roman" w:hAnsi="Times New Roman"/>
          <w:sz w:val="15"/>
          <w:szCs w:val="15"/>
          <w:color w:val="auto"/>
        </w:rPr>
        <w:t>This ASU permits but does not require the Company to reclassify the disproportionate income tax effects of the Tax Cuts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Jobs Act of 2017 (the “Tax Act”) on items within AOCI to retained earnings. The guidance is effective for fiscal years beginning after December 15, 2018 and interim periods therein, with early adoption permitted. The Company is evaluating the potential impact of this adoption on its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Discontinued Operations</w:t>
      </w:r>
    </w:p>
    <w:p>
      <w:pPr>
        <w:spacing w:after="0" w:line="20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5"/>
          <w:szCs w:val="15"/>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which has been recorded in “Gain on sale of business, net of tax” in the consolidated statements of operations. During the three-months ended October 27, 2018, the Company recorded a reduction to the gain resulting from a working capital adjustment of $504,000. In addition, the Company is in the process of submitting a Webasto working capital dispute in the amount of $1,085,000 to an independent accounting firm for resolution pursuant to the terms of the Purchase Agreement. No amounts have been recorded in the consolidated financial statements related to the additional working capital dispute as Company has assessed the likelihood of a loss to be less than probable.</w:t>
      </w:r>
    </w:p>
    <w:p>
      <w:pPr>
        <w:spacing w:after="0" w:line="15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October 27, 2018. The Company’s satisfaction of the requirements for the payment of the Holdback is currently in dispute.</w:t>
      </w:r>
    </w:p>
    <w:p>
      <w:pPr>
        <w:spacing w:after="0" w:line="151" w:lineRule="exact"/>
        <w:rPr>
          <w:sz w:val="20"/>
          <w:szCs w:val="20"/>
          <w:color w:val="auto"/>
        </w:rPr>
      </w:pPr>
    </w:p>
    <w:p>
      <w:pPr>
        <w:jc w:val="both"/>
        <w:ind w:right="320"/>
        <w:spacing w:after="0" w:line="269" w:lineRule="auto"/>
        <w:rPr>
          <w:sz w:val="20"/>
          <w:szCs w:val="20"/>
          <w:color w:val="auto"/>
        </w:rPr>
      </w:pPr>
      <w:r>
        <w:rPr>
          <w:rFonts w:ascii="Times New Roman" w:cs="Times New Roman" w:eastAsia="Times New Roman" w:hAnsi="Times New Roman"/>
          <w:sz w:val="15"/>
          <w:szCs w:val="15"/>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w:t>
      </w:r>
    </w:p>
    <w:p>
      <w:pPr>
        <w:spacing w:after="0" w:line="1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Concurrent with the execution of the Purchase Agreement, the Company entered into a transition services agreement (the “TSA”) to provide certain general and administrative services to Webasto for a defined period. Income from performing services under the TSA income of $1,221,000 and $1,620,000 has been recorded in “Other income, net” in the consolidated statements of operations for three and six months ended October 27, 2018,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3" w:name="page14"/>
    <w:bookmarkEnd w:id="13"/>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The Company determined that the EES Business met the criteria for classification as an asset held for sale as of April 30, 2018 and represents a strategic shift in in the Company’s operations. Therefore, the assets and liabilities and the results of operations of the EES Business are reported as discontinued operations for all periods presented. The table below presents the statements of operations data for the EES Business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4"/>
          </w:tcPr>
          <w:p>
            <w:pPr>
              <w:jc w:val="right"/>
              <w:ind w:right="504"/>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ind w:left="58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19"/>
        </w:trPr>
        <w:tc>
          <w:tcPr>
            <w:tcW w:w="41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25"/>
              <w:spacing w:after="0" w:line="119" w:lineRule="exact"/>
              <w:rPr>
                <w:sz w:val="20"/>
                <w:szCs w:val="20"/>
                <w:color w:val="auto"/>
              </w:rPr>
            </w:pPr>
            <w:r>
              <w:rPr>
                <w:rFonts w:ascii="Times New Roman" w:cs="Times New Roman" w:eastAsia="Times New Roman" w:hAnsi="Times New Roman"/>
                <w:sz w:val="12"/>
                <w:szCs w:val="12"/>
                <w:b w:val="1"/>
                <w:bCs w:val="1"/>
                <w:color w:val="auto"/>
              </w:rPr>
              <w:t>October 27, 2018</w:t>
            </w: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4"/>
              <w:spacing w:after="0" w:line="119" w:lineRule="exact"/>
              <w:rPr>
                <w:sz w:val="20"/>
                <w:szCs w:val="20"/>
                <w:color w:val="auto"/>
              </w:rPr>
            </w:pPr>
            <w:r>
              <w:rPr>
                <w:rFonts w:ascii="Times New Roman" w:cs="Times New Roman" w:eastAsia="Times New Roman" w:hAnsi="Times New Roman"/>
                <w:sz w:val="12"/>
                <w:szCs w:val="12"/>
                <w:b w:val="1"/>
                <w:bCs w:val="1"/>
                <w:color w:val="auto"/>
              </w:rPr>
              <w:t>October 28, 2017</w:t>
            </w:r>
          </w:p>
        </w:tc>
        <w:tc>
          <w:tcPr>
            <w:tcW w:w="1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25"/>
              <w:spacing w:after="0" w:line="119" w:lineRule="exact"/>
              <w:rPr>
                <w:sz w:val="20"/>
                <w:szCs w:val="20"/>
                <w:color w:val="auto"/>
              </w:rPr>
            </w:pPr>
            <w:r>
              <w:rPr>
                <w:rFonts w:ascii="Times New Roman" w:cs="Times New Roman" w:eastAsia="Times New Roman" w:hAnsi="Times New Roman"/>
                <w:sz w:val="12"/>
                <w:szCs w:val="12"/>
                <w:b w:val="1"/>
                <w:bCs w:val="1"/>
                <w:color w:val="auto"/>
              </w:rPr>
              <w:t>October 27, 2018</w:t>
            </w: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2"/>
                <w:szCs w:val="12"/>
                <w:b w:val="1"/>
                <w:bCs w:val="1"/>
                <w:color w:val="auto"/>
              </w:rPr>
              <w:t>October 28, 2017</w:t>
            </w:r>
          </w:p>
        </w:tc>
        <w:tc>
          <w:tcPr>
            <w:tcW w:w="60" w:type="dxa"/>
            <w:vAlign w:val="bottom"/>
            <w:tcBorders>
              <w:bottom w:val="single" w:sz="8" w:color="CCEEFF"/>
            </w:tcBorders>
          </w:tcPr>
          <w:p>
            <w:pPr>
              <w:spacing w:after="0"/>
              <w:rPr>
                <w:sz w:val="10"/>
                <w:szCs w:val="10"/>
                <w:color w:val="auto"/>
              </w:rPr>
            </w:pPr>
          </w:p>
        </w:tc>
      </w:tr>
      <w:tr>
        <w:trPr>
          <w:trHeight w:val="17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17,575</w:t>
            </w:r>
          </w:p>
        </w:tc>
        <w:tc>
          <w:tcPr>
            <w:tcW w:w="60" w:type="dxa"/>
            <w:vAlign w:val="bottom"/>
            <w:shd w:val="clear" w:color="auto" w:fill="CCEEFF"/>
          </w:tcPr>
          <w:p>
            <w:pPr>
              <w:spacing w:after="0"/>
              <w:rPr>
                <w:sz w:val="15"/>
                <w:szCs w:val="15"/>
                <w:color w:val="auto"/>
              </w:rPr>
            </w:pPr>
          </w:p>
        </w:tc>
      </w:tr>
      <w:tr>
        <w:trPr>
          <w:trHeight w:val="185"/>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8,293</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5,026</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14,803</w:t>
            </w:r>
          </w:p>
        </w:tc>
        <w:tc>
          <w:tcPr>
            <w:tcW w:w="60" w:type="dxa"/>
            <w:vAlign w:val="bottom"/>
            <w:tcBorders>
              <w:bottom w:val="single" w:sz="8" w:color="CCEEFF"/>
            </w:tcBorders>
          </w:tcPr>
          <w:p>
            <w:pPr>
              <w:spacing w:after="0"/>
              <w:rPr>
                <w:sz w:val="16"/>
                <w:szCs w:val="16"/>
                <w:color w:val="auto"/>
              </w:rPr>
            </w:pPr>
          </w:p>
        </w:tc>
      </w:tr>
      <w:tr>
        <w:trPr>
          <w:trHeight w:val="17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2,772</w:t>
            </w:r>
          </w:p>
        </w:tc>
        <w:tc>
          <w:tcPr>
            <w:tcW w:w="60" w:type="dxa"/>
            <w:vAlign w:val="bottom"/>
            <w:shd w:val="clear" w:color="auto" w:fill="CCEEFF"/>
          </w:tcPr>
          <w:p>
            <w:pPr>
              <w:spacing w:after="0"/>
              <w:rPr>
                <w:sz w:val="15"/>
                <w:szCs w:val="15"/>
                <w:color w:val="auto"/>
              </w:rPr>
            </w:pPr>
          </w:p>
        </w:tc>
      </w:tr>
      <w:tr>
        <w:trPr>
          <w:trHeight w:val="185"/>
        </w:trPr>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3,740</w:t>
            </w:r>
          </w:p>
        </w:tc>
        <w:tc>
          <w:tcPr>
            <w:tcW w:w="60" w:type="dxa"/>
            <w:vAlign w:val="bottom"/>
          </w:tcPr>
          <w:p>
            <w:pPr>
              <w:spacing w:after="0"/>
              <w:rPr>
                <w:sz w:val="16"/>
                <w:szCs w:val="16"/>
                <w:color w:val="auto"/>
              </w:rPr>
            </w:pPr>
          </w:p>
        </w:tc>
      </w:tr>
      <w:tr>
        <w:trPr>
          <w:trHeight w:val="18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w:t>
            </w:r>
          </w:p>
        </w:tc>
        <w:tc>
          <w:tcPr>
            <w:tcW w:w="60" w:type="dxa"/>
            <w:vAlign w:val="bottom"/>
            <w:shd w:val="clear" w:color="auto" w:fill="CCEEFF"/>
          </w:tcPr>
          <w:p>
            <w:pPr>
              <w:spacing w:after="0"/>
              <w:rPr>
                <w:sz w:val="16"/>
                <w:szCs w:val="16"/>
                <w:color w:val="auto"/>
              </w:rPr>
            </w:pPr>
          </w:p>
        </w:tc>
      </w:tr>
      <w:tr>
        <w:trPr>
          <w:trHeight w:val="185"/>
        </w:trPr>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discontinued operations before income taxes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(3,312)</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Benefit for income taxes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60" w:type="dxa"/>
            <w:vAlign w:val="bottom"/>
            <w:tcBorders>
              <w:bottom w:val="single" w:sz="8" w:color="CCEEFF"/>
            </w:tcBorders>
          </w:tcPr>
          <w:p>
            <w:pPr>
              <w:spacing w:after="0"/>
              <w:rPr>
                <w:sz w:val="17"/>
                <w:szCs w:val="17"/>
                <w:color w:val="auto"/>
              </w:rPr>
            </w:pPr>
          </w:p>
        </w:tc>
      </w:tr>
      <w:tr>
        <w:trPr>
          <w:trHeight w:val="17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discontinued operations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w:t>
            </w:r>
          </w:p>
        </w:tc>
        <w:tc>
          <w:tcPr>
            <w:tcW w:w="60" w:type="dxa"/>
            <w:vAlign w:val="bottom"/>
            <w:shd w:val="clear" w:color="auto" w:fill="CCEEFF"/>
          </w:tcPr>
          <w:p>
            <w:pPr>
              <w:spacing w:after="0"/>
              <w:rPr>
                <w:sz w:val="15"/>
                <w:szCs w:val="15"/>
                <w:color w:val="auto"/>
              </w:rPr>
            </w:pPr>
          </w:p>
        </w:tc>
      </w:tr>
      <w:tr>
        <w:trPr>
          <w:trHeight w:val="170"/>
        </w:trPr>
        <w:tc>
          <w:tcPr>
            <w:tcW w:w="416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(Loss) gain on sale of business, net of tax (benefit) expense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$(114) and $2,463 for the three and six months ended October 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9"/>
        </w:trPr>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2018, respectively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from discontinued operations</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5"/>
          <w:szCs w:val="15"/>
          <w:color w:val="auto"/>
        </w:rPr>
        <w:t>The major classes of assets and liabilities included in discontinued operations related to the EES Business are presented in the table below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April 30,</w:t>
            </w:r>
          </w:p>
        </w:tc>
      </w:tr>
      <w:tr>
        <w:trPr>
          <w:trHeight w:val="149"/>
        </w:trPr>
        <w:tc>
          <w:tcPr>
            <w:tcW w:w="7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2018</w:t>
            </w:r>
          </w:p>
        </w:tc>
        <w:tc>
          <w:tcPr>
            <w:tcW w:w="240" w:type="dxa"/>
            <w:vAlign w:val="bottom"/>
            <w:tcBorders>
              <w:bottom w:val="single" w:sz="8" w:color="CCEEFF"/>
            </w:tcBorders>
          </w:tcPr>
          <w:p>
            <w:pPr>
              <w:spacing w:after="0"/>
              <w:rPr>
                <w:sz w:val="12"/>
                <w:szCs w:val="12"/>
                <w:color w:val="auto"/>
              </w:rPr>
            </w:pPr>
          </w:p>
        </w:tc>
      </w:tr>
      <w:tr>
        <w:trPr>
          <w:trHeight w:val="165"/>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Carrying amount of assets classified as discontinued operations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3"/>
        </w:trPr>
        <w:tc>
          <w:tcPr>
            <w:tcW w:w="79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$139 at April 30, 2018</w:t>
            </w:r>
          </w:p>
        </w:tc>
        <w:tc>
          <w:tcPr>
            <w:tcW w:w="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240" w:type="dxa"/>
            <w:vAlign w:val="bottom"/>
            <w:shd w:val="clear" w:color="auto" w:fill="CCEEFF"/>
          </w:tcPr>
          <w:p>
            <w:pPr>
              <w:spacing w:after="0"/>
              <w:rPr>
                <w:sz w:val="15"/>
                <w:szCs w:val="15"/>
                <w:color w:val="auto"/>
              </w:rPr>
            </w:pPr>
          </w:p>
        </w:tc>
      </w:tr>
      <w:tr>
        <w:trPr>
          <w:trHeight w:val="17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net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w:t>
            </w:r>
          </w:p>
        </w:tc>
        <w:tc>
          <w:tcPr>
            <w:tcW w:w="240" w:type="dxa"/>
            <w:vAlign w:val="bottom"/>
          </w:tcPr>
          <w:p>
            <w:pPr>
              <w:spacing w:after="0"/>
              <w:rPr>
                <w:sz w:val="15"/>
                <w:szCs w:val="15"/>
                <w:color w:val="auto"/>
              </w:rPr>
            </w:pPr>
          </w:p>
        </w:tc>
      </w:tr>
      <w:tr>
        <w:trPr>
          <w:trHeight w:val="17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40" w:type="dxa"/>
            <w:vAlign w:val="bottom"/>
            <w:shd w:val="clear" w:color="auto" w:fill="CCEEFF"/>
          </w:tcPr>
          <w:p>
            <w:pPr>
              <w:spacing w:after="0"/>
              <w:rPr>
                <w:sz w:val="15"/>
                <w:szCs w:val="15"/>
                <w:color w:val="auto"/>
              </w:rPr>
            </w:pPr>
          </w:p>
        </w:tc>
      </w:tr>
      <w:tr>
        <w:trPr>
          <w:trHeight w:val="173"/>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240" w:type="dxa"/>
            <w:vAlign w:val="bottom"/>
            <w:tcBorders>
              <w:bottom w:val="single" w:sz="8" w:color="CCEEFF"/>
            </w:tcBorders>
          </w:tcPr>
          <w:p>
            <w:pPr>
              <w:spacing w:after="0"/>
              <w:rPr>
                <w:sz w:val="15"/>
                <w:szCs w:val="15"/>
                <w:color w:val="auto"/>
              </w:rPr>
            </w:pPr>
          </w:p>
        </w:tc>
      </w:tr>
      <w:tr>
        <w:trPr>
          <w:trHeight w:val="165"/>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 classified as discontinued operations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25,668</w:t>
            </w:r>
          </w:p>
        </w:tc>
        <w:tc>
          <w:tcPr>
            <w:tcW w:w="240" w:type="dxa"/>
            <w:vAlign w:val="bottom"/>
            <w:shd w:val="clear" w:color="auto" w:fill="CCEEFF"/>
          </w:tcPr>
          <w:p>
            <w:pPr>
              <w:spacing w:after="0"/>
              <w:rPr>
                <w:sz w:val="14"/>
                <w:szCs w:val="14"/>
                <w:color w:val="auto"/>
              </w:rPr>
            </w:pPr>
          </w:p>
        </w:tc>
      </w:tr>
      <w:tr>
        <w:trPr>
          <w:trHeight w:val="168"/>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assets classified as discontinued operations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25,668</w:t>
            </w:r>
          </w:p>
        </w:tc>
        <w:tc>
          <w:tcPr>
            <w:tcW w:w="240" w:type="dxa"/>
            <w:vAlign w:val="bottom"/>
            <w:tcBorders>
              <w:bottom w:val="single" w:sz="8" w:color="CCEEFF"/>
            </w:tcBorders>
          </w:tcPr>
          <w:p>
            <w:pPr>
              <w:spacing w:after="0"/>
              <w:rPr>
                <w:sz w:val="14"/>
                <w:szCs w:val="14"/>
                <w:color w:val="auto"/>
              </w:rPr>
            </w:pPr>
          </w:p>
        </w:tc>
      </w:tr>
      <w:tr>
        <w:trPr>
          <w:trHeight w:val="17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Carrying amount of liabilities classified as discontinued operations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73"/>
        </w:trPr>
        <w:tc>
          <w:tcPr>
            <w:tcW w:w="79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240" w:type="dxa"/>
            <w:vAlign w:val="bottom"/>
            <w:shd w:val="clear" w:color="auto" w:fill="CCEEFF"/>
          </w:tcPr>
          <w:p>
            <w:pPr>
              <w:spacing w:after="0"/>
              <w:rPr>
                <w:sz w:val="15"/>
                <w:szCs w:val="15"/>
                <w:color w:val="auto"/>
              </w:rPr>
            </w:pPr>
          </w:p>
        </w:tc>
      </w:tr>
      <w:tr>
        <w:trPr>
          <w:trHeight w:val="17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Wages and related accruals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240" w:type="dxa"/>
            <w:vAlign w:val="bottom"/>
          </w:tcPr>
          <w:p>
            <w:pPr>
              <w:spacing w:after="0"/>
              <w:rPr>
                <w:sz w:val="15"/>
                <w:szCs w:val="15"/>
                <w:color w:val="auto"/>
              </w:rPr>
            </w:pPr>
          </w:p>
        </w:tc>
      </w:tr>
      <w:tr>
        <w:trPr>
          <w:trHeight w:val="17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advances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240" w:type="dxa"/>
            <w:vAlign w:val="bottom"/>
            <w:shd w:val="clear" w:color="auto" w:fill="CCEEFF"/>
          </w:tcPr>
          <w:p>
            <w:pPr>
              <w:spacing w:after="0"/>
              <w:rPr>
                <w:sz w:val="15"/>
                <w:szCs w:val="15"/>
                <w:color w:val="auto"/>
              </w:rPr>
            </w:pPr>
          </w:p>
        </w:tc>
      </w:tr>
      <w:tr>
        <w:trPr>
          <w:trHeight w:val="173"/>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240" w:type="dxa"/>
            <w:vAlign w:val="bottom"/>
            <w:tcBorders>
              <w:bottom w:val="single" w:sz="8" w:color="CCEEFF"/>
            </w:tcBorders>
          </w:tcPr>
          <w:p>
            <w:pPr>
              <w:spacing w:after="0"/>
              <w:rPr>
                <w:sz w:val="15"/>
                <w:szCs w:val="15"/>
                <w:color w:val="auto"/>
              </w:rPr>
            </w:pPr>
          </w:p>
        </w:tc>
      </w:tr>
      <w:tr>
        <w:trPr>
          <w:trHeight w:val="165"/>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240" w:type="dxa"/>
            <w:vAlign w:val="bottom"/>
            <w:shd w:val="clear" w:color="auto" w:fill="CCEEFF"/>
          </w:tcPr>
          <w:p>
            <w:pPr>
              <w:spacing w:after="0"/>
              <w:rPr>
                <w:sz w:val="14"/>
                <w:szCs w:val="14"/>
                <w:color w:val="auto"/>
              </w:rPr>
            </w:pPr>
          </w:p>
        </w:tc>
      </w:tr>
      <w:tr>
        <w:trPr>
          <w:trHeight w:val="168"/>
        </w:trPr>
        <w:tc>
          <w:tcPr>
            <w:tcW w:w="79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classified as discontinued operations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240" w:type="dxa"/>
            <w:vAlign w:val="bottom"/>
          </w:tcPr>
          <w:p>
            <w:pPr>
              <w:spacing w:after="0"/>
              <w:rPr>
                <w:sz w:val="14"/>
                <w:szCs w:val="14"/>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Investments consist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2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April 30,</w:t>
            </w:r>
          </w:p>
        </w:tc>
      </w:tr>
      <w:tr>
        <w:trPr>
          <w:trHeight w:val="149"/>
        </w:trPr>
        <w:tc>
          <w:tcPr>
            <w:tcW w:w="5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17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investments: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5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Held-to-maturity securities:</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Municipal securities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35,344</w:t>
            </w:r>
          </w:p>
        </w:tc>
        <w:tc>
          <w:tcPr>
            <w:tcW w:w="140" w:type="dxa"/>
            <w:vAlign w:val="bottom"/>
            <w:shd w:val="clear" w:color="auto" w:fill="CCEEFF"/>
          </w:tcPr>
          <w:p>
            <w:pPr>
              <w:spacing w:after="0"/>
              <w:rPr>
                <w:sz w:val="16"/>
                <w:szCs w:val="16"/>
                <w:color w:val="auto"/>
              </w:rPr>
            </w:pPr>
          </w:p>
        </w:tc>
      </w:tr>
      <w:tr>
        <w:trPr>
          <w:trHeight w:val="185"/>
        </w:trPr>
        <w:tc>
          <w:tcPr>
            <w:tcW w:w="5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U.S. government securities</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36,948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31,620</w:t>
            </w:r>
          </w:p>
        </w:tc>
        <w:tc>
          <w:tcPr>
            <w:tcW w:w="140" w:type="dxa"/>
            <w:vAlign w:val="bottom"/>
          </w:tcPr>
          <w:p>
            <w:pPr>
              <w:spacing w:after="0"/>
              <w:rPr>
                <w:sz w:val="16"/>
                <w:szCs w:val="16"/>
                <w:color w:val="auto"/>
              </w:rPr>
            </w:pPr>
          </w:p>
        </w:tc>
      </w:tr>
      <w:tr>
        <w:trPr>
          <w:trHeight w:val="185"/>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Corporate bonds</w:t>
            </w: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82,262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46,685</w:t>
            </w:r>
          </w:p>
        </w:tc>
        <w:tc>
          <w:tcPr>
            <w:tcW w:w="140" w:type="dxa"/>
            <w:vAlign w:val="bottom"/>
            <w:shd w:val="clear" w:color="auto" w:fill="CCEEFF"/>
          </w:tcPr>
          <w:p>
            <w:pPr>
              <w:spacing w:after="0"/>
              <w:rPr>
                <w:sz w:val="16"/>
                <w:szCs w:val="16"/>
                <w:color w:val="auto"/>
              </w:rPr>
            </w:pPr>
          </w:p>
        </w:tc>
      </w:tr>
      <w:tr>
        <w:trPr>
          <w:trHeight w:val="185"/>
        </w:trPr>
        <w:tc>
          <w:tcPr>
            <w:tcW w:w="5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Certificates of deposit</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held-to-maturity and short-term investments</w:t>
            </w: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138,536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518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Long-term investments:</w:t>
            </w: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Held-to-maturity securities:</w:t>
            </w: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5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Municipal securities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200" w:type="dxa"/>
            <w:vAlign w:val="bottom"/>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w:t>
            </w:r>
          </w:p>
        </w:tc>
        <w:tc>
          <w:tcPr>
            <w:tcW w:w="140" w:type="dxa"/>
            <w:vAlign w:val="bottom"/>
          </w:tcPr>
          <w:p>
            <w:pPr>
              <w:spacing w:after="0"/>
              <w:rPr>
                <w:sz w:val="16"/>
                <w:szCs w:val="16"/>
                <w:color w:val="auto"/>
              </w:rPr>
            </w:pPr>
          </w:p>
        </w:tc>
      </w:tr>
      <w:tr>
        <w:trPr>
          <w:trHeight w:val="185"/>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U.S. government securities</w:t>
            </w: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26,746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27,356</w:t>
            </w:r>
          </w:p>
        </w:tc>
        <w:tc>
          <w:tcPr>
            <w:tcW w:w="140" w:type="dxa"/>
            <w:vAlign w:val="bottom"/>
            <w:shd w:val="clear" w:color="auto" w:fill="CCEEFF"/>
          </w:tcPr>
          <w:p>
            <w:pPr>
              <w:spacing w:after="0"/>
              <w:rPr>
                <w:sz w:val="16"/>
                <w:szCs w:val="16"/>
                <w:color w:val="auto"/>
              </w:rPr>
            </w:pPr>
          </w:p>
        </w:tc>
      </w:tr>
      <w:tr>
        <w:trPr>
          <w:trHeight w:val="185"/>
        </w:trPr>
        <w:tc>
          <w:tcPr>
            <w:tcW w:w="5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Corporate bonds</w:t>
            </w:r>
          </w:p>
        </w:tc>
        <w:tc>
          <w:tcPr>
            <w:tcW w:w="17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2,720</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9,112</w:t>
            </w:r>
          </w:p>
        </w:tc>
        <w:tc>
          <w:tcPr>
            <w:tcW w:w="140" w:type="dxa"/>
            <w:vAlign w:val="bottom"/>
            <w:tcBorders>
              <w:bottom w:val="single" w:sz="8" w:color="CCEEFF"/>
            </w:tcBorders>
          </w:tcPr>
          <w:p>
            <w:pPr>
              <w:spacing w:after="0"/>
              <w:rPr>
                <w:sz w:val="16"/>
                <w:szCs w:val="16"/>
                <w:color w:val="auto"/>
              </w:rPr>
            </w:pPr>
          </w:p>
        </w:tc>
      </w:tr>
      <w:tr>
        <w:trPr>
          <w:trHeight w:val="17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held-to-maturity investments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30,459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38,514</w:t>
            </w:r>
          </w:p>
        </w:tc>
        <w:tc>
          <w:tcPr>
            <w:tcW w:w="140" w:type="dxa"/>
            <w:vAlign w:val="bottom"/>
            <w:shd w:val="clear" w:color="auto" w:fill="CCEEFF"/>
          </w:tcPr>
          <w:p>
            <w:pPr>
              <w:spacing w:after="0"/>
              <w:rPr>
                <w:sz w:val="15"/>
                <w:szCs w:val="15"/>
                <w:color w:val="auto"/>
              </w:rPr>
            </w:pPr>
          </w:p>
        </w:tc>
      </w:tr>
      <w:tr>
        <w:trPr>
          <w:trHeight w:val="185"/>
        </w:trPr>
        <w:tc>
          <w:tcPr>
            <w:tcW w:w="5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Available-for-sale securities:</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Auction rate securities</w:t>
            </w: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w:t>
            </w:r>
          </w:p>
        </w:tc>
        <w:tc>
          <w:tcPr>
            <w:tcW w:w="140" w:type="dxa"/>
            <w:vAlign w:val="bottom"/>
            <w:shd w:val="clear" w:color="auto" w:fill="CCEEFF"/>
          </w:tcPr>
          <w:p>
            <w:pPr>
              <w:spacing w:after="0"/>
              <w:rPr>
                <w:sz w:val="16"/>
                <w:szCs w:val="16"/>
                <w:color w:val="auto"/>
              </w:rPr>
            </w:pPr>
          </w:p>
        </w:tc>
      </w:tr>
      <w:tr>
        <w:trPr>
          <w:trHeight w:val="176"/>
        </w:trPr>
        <w:tc>
          <w:tcPr>
            <w:tcW w:w="5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available-for-sale investments</w:t>
            </w:r>
          </w:p>
        </w:tc>
        <w:tc>
          <w:tcPr>
            <w:tcW w:w="17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2,142</w:t>
            </w:r>
          </w:p>
        </w:tc>
        <w:tc>
          <w:tcPr>
            <w:tcW w:w="140" w:type="dxa"/>
            <w:vAlign w:val="bottom"/>
            <w:tcBorders>
              <w:bottom w:val="single" w:sz="8" w:color="CCEEFF"/>
            </w:tcBorders>
          </w:tcPr>
          <w:p>
            <w:pPr>
              <w:spacing w:after="0"/>
              <w:rPr>
                <w:sz w:val="15"/>
                <w:szCs w:val="15"/>
                <w:color w:val="auto"/>
              </w:rPr>
            </w:pPr>
          </w:p>
        </w:tc>
      </w:tr>
      <w:tr>
        <w:trPr>
          <w:trHeight w:val="180"/>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long-term investments</w:t>
            </w:r>
          </w:p>
        </w:tc>
        <w:tc>
          <w:tcPr>
            <w:tcW w:w="1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30,459</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40,656</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Held-To-Maturity Securities</w:t>
      </w:r>
    </w:p>
    <w:p>
      <w:pPr>
        <w:spacing w:after="0" w:line="201"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5"/>
          <w:szCs w:val="15"/>
          <w:color w:val="auto"/>
        </w:rPr>
        <w:t>As of October 27, 2018 and April 30, 2018, the balance of held-to-maturity securities consisted of state and local government municipal securities, U.S. treasury securities, U.S. government-guaranteed agency securities, U.S. government-sponsored agency debt securities, highly rated corporate bonds, and certificates of deposit. Interest earned from these investments is recorded in interest income.</w:t>
      </w:r>
    </w:p>
    <w:p>
      <w:pPr>
        <w:spacing w:after="0" w:line="147"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5"/>
          <w:szCs w:val="15"/>
          <w:color w:val="auto"/>
        </w:rPr>
        <w:t>The amortized cost, gross unrealized gains, gross unrealized losses, and estimated fair value of the held-to-maturity investments as of October 27, 2018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October 27, 2018</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7" w:lineRule="exact"/>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0" w:type="dxa"/>
            <w:vAlign w:val="bottom"/>
          </w:tcPr>
          <w:p>
            <w:pPr>
              <w:spacing w:after="0"/>
              <w:rPr>
                <w:sz w:val="1"/>
                <w:szCs w:val="1"/>
                <w:color w:val="auto"/>
              </w:rPr>
            </w:pPr>
          </w:p>
        </w:tc>
      </w:tr>
      <w:tr>
        <w:trPr>
          <w:trHeight w:val="176"/>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Municipal securities</w:t>
            </w:r>
          </w:p>
        </w:tc>
        <w:tc>
          <w:tcPr>
            <w:tcW w:w="1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15,319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15,307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U.S. government securities</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bonds</w:t>
            </w: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84,982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84,908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Certificates of deposit</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held-to-maturity investments</w:t>
            </w:r>
          </w:p>
        </w:tc>
        <w:tc>
          <w:tcPr>
            <w:tcW w:w="1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168,641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3300" w:type="dxa"/>
            <w:vAlign w:val="bottom"/>
          </w:tcPr>
          <w:p>
            <w:pPr>
              <w:spacing w:after="0"/>
              <w:rPr>
                <w:sz w:val="24"/>
                <w:szCs w:val="24"/>
                <w:color w:val="auto"/>
              </w:rPr>
            </w:pPr>
          </w:p>
        </w:tc>
        <w:tc>
          <w:tcPr>
            <w:tcW w:w="1960" w:type="dxa"/>
            <w:vAlign w:val="bottom"/>
          </w:tcPr>
          <w:p>
            <w:pPr>
              <w:jc w:val="right"/>
              <w:ind w:right="563"/>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30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5" w:right="1399" w:bottom="1440" w:gutter="0" w:footer="0" w:header="0"/>
        </w:sectPr>
      </w:pPr>
    </w:p>
    <w:bookmarkStart w:id="15" w:name="page16"/>
    <w:bookmarkEnd w:id="15"/>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5"/>
          <w:szCs w:val="15"/>
          <w:color w:val="auto"/>
        </w:rPr>
        <w:t>The amortized cost, gross unrealized gains, gross unrealized losses, and estimated fair value of the held-to-maturity investments as of April 30, 2018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April 30, 2018</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8"/>
                <w:szCs w:val="8"/>
                <w:color w:val="auto"/>
              </w:rPr>
            </w:pPr>
          </w:p>
        </w:tc>
        <w:tc>
          <w:tcPr>
            <w:tcW w:w="72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11"/>
                <w:szCs w:val="11"/>
                <w:b w:val="1"/>
                <w:bCs w:val="1"/>
                <w:color w:val="auto"/>
              </w:rPr>
              <w:t>Gross</w:t>
            </w:r>
          </w:p>
        </w:tc>
        <w:tc>
          <w:tcPr>
            <w:tcW w:w="180" w:type="dxa"/>
            <w:vAlign w:val="bottom"/>
          </w:tcPr>
          <w:p>
            <w:pPr>
              <w:spacing w:after="0"/>
              <w:rPr>
                <w:sz w:val="8"/>
                <w:szCs w:val="8"/>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84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76"/>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Municipal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37,390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37,363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U.S. government securities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58,976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(367)</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bonds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55,797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Certificates of deposit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held-to-maturity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152,163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151,700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amortized cost and fair value of the held-to-maturity securities by contractual maturity at October 27, 2018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47"/>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76"/>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Due within one year</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138,536</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138,270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Due after one year through five years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30,459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30,371</w:t>
            </w:r>
          </w:p>
        </w:tc>
        <w:tc>
          <w:tcPr>
            <w:tcW w:w="100" w:type="dxa"/>
            <w:vAlign w:val="bottom"/>
            <w:tcBorders>
              <w:bottom w:val="single" w:sz="8" w:color="CCEEFF"/>
            </w:tcBorders>
          </w:tcPr>
          <w:p>
            <w:pPr>
              <w:spacing w:after="0"/>
              <w:rPr>
                <w:sz w:val="16"/>
                <w:szCs w:val="16"/>
                <w:color w:val="auto"/>
              </w:rPr>
            </w:pPr>
          </w:p>
        </w:tc>
      </w:tr>
      <w:tr>
        <w:trPr>
          <w:trHeight w:val="18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168,995</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168,641</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b w:val="1"/>
          <w:bCs w:val="1"/>
          <w:color w:val="auto"/>
        </w:rPr>
        <w:t>Available-For-Sale Securities</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Auction Rate Securities</w:t>
      </w:r>
    </w:p>
    <w:p>
      <w:pPr>
        <w:spacing w:after="0" w:line="20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As of April 30, 2018, the balance of available-for-sale auction rate securities consisted of two investment grade auction rate municipal bonds with maturities ranging from 1 to 16 years. These investments have characteristics similar to short term investments, because at predetermined intervals, generally ranging from 30 to 35 days, there is a new auction process at which the interest rates for these securities are reset to current interest rates. At the end of such period, the Company chooses to roll 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three months ended July 28, 2018, the remaining investment grade auction rate municipal bonds were redeemed at par value.</w:t>
      </w:r>
    </w:p>
    <w:p>
      <w:pPr>
        <w:spacing w:after="0" w:line="197"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5"/>
          <w:szCs w:val="15"/>
          <w:color w:val="auto"/>
        </w:rPr>
        <w:t>The amortized cost, gross unrealized gains, gross unrealized losses, and estimated fair value of the auction rate securities as of April 30, 2018,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3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40" w:type="dxa"/>
            <w:vAlign w:val="bottom"/>
          </w:tcPr>
          <w:p>
            <w:pPr>
              <w:spacing w:after="0"/>
              <w:rPr>
                <w:sz w:val="12"/>
                <w:szCs w:val="12"/>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33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40" w:type="dxa"/>
            <w:vAlign w:val="bottom"/>
          </w:tcPr>
          <w:p>
            <w:pPr>
              <w:spacing w:after="0"/>
              <w:rPr>
                <w:sz w:val="13"/>
                <w:szCs w:val="13"/>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7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Auction rate securities</w:t>
            </w:r>
          </w:p>
        </w:tc>
        <w:tc>
          <w:tcPr>
            <w:tcW w:w="2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w:t>
            </w:r>
          </w:p>
        </w:tc>
        <w:tc>
          <w:tcPr>
            <w:tcW w:w="60" w:type="dxa"/>
            <w:vAlign w:val="bottom"/>
            <w:tcBorders>
              <w:top w:val="single" w:sz="8" w:color="CCEEFF"/>
            </w:tcBorders>
            <w:shd w:val="clear" w:color="auto" w:fill="CCEEFF"/>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Total available-for-sale investments</w:t>
            </w:r>
          </w:p>
        </w:tc>
        <w:tc>
          <w:tcPr>
            <w:tcW w:w="25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2,142</w:t>
            </w:r>
          </w:p>
        </w:tc>
        <w:tc>
          <w:tcPr>
            <w:tcW w:w="60" w:type="dxa"/>
            <w:vAlign w:val="bottom"/>
          </w:tcPr>
          <w:p>
            <w:pPr>
              <w:spacing w:after="0"/>
              <w:rPr>
                <w:sz w:val="15"/>
                <w:szCs w:val="15"/>
                <w:color w:val="auto"/>
              </w:rPr>
            </w:pPr>
          </w:p>
        </w:tc>
      </w:tr>
      <w:tr>
        <w:trPr>
          <w:trHeight w:val="936"/>
        </w:trPr>
        <w:tc>
          <w:tcPr>
            <w:tcW w:w="3320" w:type="dxa"/>
            <w:vAlign w:val="bottom"/>
          </w:tcPr>
          <w:p>
            <w:pPr>
              <w:spacing w:after="0"/>
              <w:rPr>
                <w:sz w:val="24"/>
                <w:szCs w:val="24"/>
                <w:color w:val="auto"/>
              </w:rPr>
            </w:pPr>
          </w:p>
        </w:tc>
        <w:tc>
          <w:tcPr>
            <w:tcW w:w="2520" w:type="dxa"/>
            <w:vAlign w:val="bottom"/>
          </w:tcPr>
          <w:p>
            <w:pPr>
              <w:jc w:val="right"/>
              <w:ind w:right="1143"/>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7"/>
        </w:trPr>
        <w:tc>
          <w:tcPr>
            <w:tcW w:w="33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bl>
    <w:p>
      <w:pPr>
        <w:sectPr>
          <w:pgSz w:w="11900" w:h="16838" w:orient="portrait"/>
          <w:cols w:equalWidth="0" w:num="1">
            <w:col w:w="9080"/>
          </w:cols>
          <w:pgMar w:left="1420" w:top="125" w:right="1399" w:bottom="1440" w:gutter="0" w:footer="0" w:header="0"/>
        </w:sectPr>
      </w:pPr>
    </w:p>
    <w:bookmarkStart w:id="16" w:name="page17"/>
    <w:bookmarkEnd w:id="16"/>
    <w:p>
      <w:pPr>
        <w:ind w:left="10"/>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4. Fair Value Measurements</w:t>
      </w:r>
    </w:p>
    <w:p>
      <w:pPr>
        <w:spacing w:after="0" w:line="201" w:lineRule="exact"/>
        <w:rPr>
          <w:sz w:val="20"/>
          <w:szCs w:val="20"/>
          <w:color w:val="auto"/>
        </w:rPr>
      </w:pPr>
    </w:p>
    <w:p>
      <w:pPr>
        <w:ind w:left="10" w:right="200"/>
        <w:spacing w:after="0" w:line="275" w:lineRule="auto"/>
        <w:rPr>
          <w:sz w:val="20"/>
          <w:szCs w:val="20"/>
          <w:color w:val="auto"/>
        </w:rPr>
      </w:pPr>
      <w:r>
        <w:rPr>
          <w:rFonts w:ascii="Times New Roman" w:cs="Times New Roman" w:eastAsia="Times New Roman" w:hAnsi="Times New Roman"/>
          <w:sz w:val="15"/>
          <w:szCs w:val="15"/>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47" w:lineRule="exact"/>
        <w:rPr>
          <w:sz w:val="20"/>
          <w:szCs w:val="20"/>
          <w:color w:val="auto"/>
        </w:rPr>
      </w:pPr>
    </w:p>
    <w:p>
      <w:pPr>
        <w:ind w:left="270" w:right="20" w:hanging="270"/>
        <w:spacing w:after="0" w:line="294" w:lineRule="auto"/>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1—Inputs to the valuation based upon quoted prices (unadjusted) for identical assets or liabilities in active markets that are accessible as of the measurement date.</w:t>
      </w:r>
    </w:p>
    <w:p>
      <w:pPr>
        <w:spacing w:after="0" w:line="132" w:lineRule="exact"/>
        <w:rPr>
          <w:rFonts w:ascii="Times New Roman" w:cs="Times New Roman" w:eastAsia="Times New Roman" w:hAnsi="Times New Roman"/>
          <w:sz w:val="15"/>
          <w:szCs w:val="15"/>
          <w:color w:val="auto"/>
        </w:rPr>
      </w:pPr>
    </w:p>
    <w:p>
      <w:pPr>
        <w:ind w:left="270" w:right="40" w:hanging="270"/>
        <w:spacing w:after="0" w:line="294" w:lineRule="auto"/>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32"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3—Inputs to the valuation that are unobservable inputs for the asset or liability.</w:t>
      </w:r>
    </w:p>
    <w:p>
      <w:pPr>
        <w:spacing w:after="0" w:line="197" w:lineRule="exact"/>
        <w:rPr>
          <w:sz w:val="20"/>
          <w:szCs w:val="20"/>
          <w:color w:val="auto"/>
        </w:rPr>
      </w:pPr>
    </w:p>
    <w:p>
      <w:pPr>
        <w:ind w:left="10" w:right="60"/>
        <w:spacing w:after="0" w:line="273" w:lineRule="auto"/>
        <w:rPr>
          <w:sz w:val="20"/>
          <w:szCs w:val="20"/>
          <w:color w:val="auto"/>
        </w:rPr>
      </w:pPr>
      <w:r>
        <w:rPr>
          <w:rFonts w:ascii="Times New Roman" w:cs="Times New Roman" w:eastAsia="Times New Roman" w:hAnsi="Times New Roman"/>
          <w:sz w:val="15"/>
          <w:szCs w:val="15"/>
          <w:color w:val="auto"/>
        </w:rPr>
        <w:t>The Company did not have any financial assets measured at fair value on a recurring basis at October 27, 2018 as the Company’s remaining auction rate securities were redeemed during the three months ended July 28, 2018 at par value. The following table provides a reconciliation between the beginning and ending balances of items measured at fair value on a recurring basis that used significant unobservable inputs (Level 3) (in thousands):</w:t>
      </w: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7"/>
        </w:trPr>
        <w:tc>
          <w:tcPr>
            <w:tcW w:w="7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rPr>
              <w:t>Measurements Using</w:t>
            </w:r>
          </w:p>
        </w:tc>
        <w:tc>
          <w:tcPr>
            <w:tcW w:w="0" w:type="dxa"/>
            <w:vAlign w:val="bottom"/>
          </w:tcPr>
          <w:p>
            <w:pPr>
              <w:spacing w:after="0"/>
              <w:rPr>
                <w:sz w:val="1"/>
                <w:szCs w:val="1"/>
                <w:color w:val="auto"/>
              </w:rPr>
            </w:pPr>
          </w:p>
        </w:tc>
      </w:tr>
      <w:tr>
        <w:trPr>
          <w:trHeight w:val="127"/>
        </w:trPr>
        <w:tc>
          <w:tcPr>
            <w:tcW w:w="7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0" w:type="dxa"/>
            <w:vAlign w:val="bottom"/>
          </w:tcPr>
          <w:p>
            <w:pPr>
              <w:spacing w:after="0"/>
              <w:rPr>
                <w:sz w:val="1"/>
                <w:szCs w:val="1"/>
                <w:color w:val="auto"/>
              </w:rPr>
            </w:pPr>
          </w:p>
        </w:tc>
      </w:tr>
      <w:tr>
        <w:trPr>
          <w:trHeight w:val="127"/>
        </w:trPr>
        <w:tc>
          <w:tcPr>
            <w:tcW w:w="72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rPr>
              <w:t>Unobservable Inputs</w:t>
            </w:r>
          </w:p>
        </w:tc>
        <w:tc>
          <w:tcPr>
            <w:tcW w:w="0" w:type="dxa"/>
            <w:vAlign w:val="bottom"/>
          </w:tcPr>
          <w:p>
            <w:pPr>
              <w:spacing w:after="0"/>
              <w:rPr>
                <w:sz w:val="1"/>
                <w:szCs w:val="1"/>
                <w:color w:val="auto"/>
              </w:rPr>
            </w:pPr>
          </w:p>
        </w:tc>
      </w:tr>
      <w:tr>
        <w:trPr>
          <w:trHeight w:val="149"/>
        </w:trPr>
        <w:tc>
          <w:tcPr>
            <w:tcW w:w="7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176"/>
        </w:trPr>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May 1, 2018</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Times New Roman" w:cs="Times New Roman" w:eastAsia="Times New Roman" w:hAnsi="Times New Roman"/>
                <w:sz w:val="15"/>
                <w:szCs w:val="15"/>
                <w:color w:val="auto"/>
              </w:rPr>
              <w:t>Transfers to Level 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gains (realized or unrealized)</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Included in earnings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Included in other comprehensive income</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Settlements</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October 27, 2018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line="142" w:lineRule="exact"/>
              <w:rPr>
                <w:sz w:val="20"/>
                <w:szCs w:val="20"/>
                <w:color w:val="auto"/>
              </w:rPr>
            </w:pPr>
            <w:r>
              <w:rPr>
                <w:rFonts w:ascii="Times New Roman" w:cs="Times New Roman" w:eastAsia="Times New Roman" w:hAnsi="Times New Roman"/>
                <w:sz w:val="15"/>
                <w:szCs w:val="15"/>
                <w:color w:val="auto"/>
              </w:rPr>
              <w:t>The amount of total gains or (losses) for the period included in earnings attributable to the change in unrealized gains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7260" w:type="dxa"/>
            <w:vAlign w:val="bottom"/>
          </w:tcPr>
          <w:p>
            <w:pPr>
              <w:spacing w:after="0"/>
              <w:rPr>
                <w:sz w:val="20"/>
                <w:szCs w:val="20"/>
                <w:color w:val="auto"/>
              </w:rPr>
            </w:pPr>
            <w:r>
              <w:rPr>
                <w:rFonts w:ascii="Times New Roman" w:cs="Times New Roman" w:eastAsia="Times New Roman" w:hAnsi="Times New Roman"/>
                <w:sz w:val="15"/>
                <w:szCs w:val="15"/>
                <w:color w:val="auto"/>
              </w:rPr>
              <w:t>or losses relating to assets still held at October 27, 2018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0" w:right="60"/>
        <w:spacing w:after="0" w:line="275" w:lineRule="auto"/>
        <w:rPr>
          <w:sz w:val="20"/>
          <w:szCs w:val="20"/>
          <w:color w:val="auto"/>
        </w:rPr>
      </w:pPr>
      <w:r>
        <w:rPr>
          <w:rFonts w:ascii="Times New Roman" w:cs="Times New Roman" w:eastAsia="Times New Roman" w:hAnsi="Times New Roman"/>
          <w:sz w:val="15"/>
          <w:szCs w:val="15"/>
          <w:color w:val="auto"/>
        </w:rPr>
        <w:t>The auction rate securities were valued using a discounted cash flow model. The analysis considered,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5. Inventories, net</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Inventories consist of the following (in thousands):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April 30,</w:t>
            </w:r>
          </w:p>
        </w:tc>
      </w:tr>
      <w:tr>
        <w:trPr>
          <w:trHeight w:val="149"/>
        </w:trPr>
        <w:tc>
          <w:tcPr>
            <w:tcW w:w="368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17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Raw materials</w:t>
            </w:r>
          </w:p>
        </w:tc>
        <w:tc>
          <w:tcPr>
            <w:tcW w:w="3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12,020</w:t>
            </w:r>
          </w:p>
        </w:tc>
        <w:tc>
          <w:tcPr>
            <w:tcW w:w="140" w:type="dxa"/>
            <w:vAlign w:val="bottom"/>
            <w:shd w:val="clear" w:color="auto" w:fill="CCEEFF"/>
          </w:tcPr>
          <w:p>
            <w:pPr>
              <w:spacing w:after="0"/>
              <w:rPr>
                <w:sz w:val="15"/>
                <w:szCs w:val="15"/>
                <w:color w:val="auto"/>
              </w:rPr>
            </w:pPr>
          </w:p>
        </w:tc>
      </w:tr>
      <w:tr>
        <w:trPr>
          <w:trHeight w:val="185"/>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Work in process</w:t>
            </w: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14,780</w:t>
            </w:r>
          </w:p>
        </w:tc>
        <w:tc>
          <w:tcPr>
            <w:tcW w:w="140" w:type="dxa"/>
            <w:vAlign w:val="bottom"/>
          </w:tcPr>
          <w:p>
            <w:pPr>
              <w:spacing w:after="0"/>
              <w:rPr>
                <w:sz w:val="16"/>
                <w:szCs w:val="16"/>
                <w:color w:val="auto"/>
              </w:rPr>
            </w:pPr>
          </w:p>
        </w:tc>
      </w:tr>
      <w:tr>
        <w:trPr>
          <w:trHeight w:val="18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3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14,578</w:t>
            </w:r>
          </w:p>
        </w:tc>
        <w:tc>
          <w:tcPr>
            <w:tcW w:w="140" w:type="dxa"/>
            <w:vAlign w:val="bottom"/>
            <w:shd w:val="clear" w:color="auto" w:fill="CCEEFF"/>
          </w:tcPr>
          <w:p>
            <w:pPr>
              <w:spacing w:after="0"/>
              <w:rPr>
                <w:sz w:val="16"/>
                <w:szCs w:val="16"/>
                <w:color w:val="auto"/>
              </w:rPr>
            </w:pPr>
          </w:p>
        </w:tc>
      </w:tr>
      <w:tr>
        <w:trPr>
          <w:trHeight w:val="17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Inventories, gross</w:t>
            </w: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41,378</w:t>
            </w:r>
          </w:p>
        </w:tc>
        <w:tc>
          <w:tcPr>
            <w:tcW w:w="140" w:type="dxa"/>
            <w:vAlign w:val="bottom"/>
          </w:tcPr>
          <w:p>
            <w:pPr>
              <w:spacing w:after="0"/>
              <w:rPr>
                <w:sz w:val="15"/>
                <w:szCs w:val="15"/>
                <w:color w:val="auto"/>
              </w:rPr>
            </w:pPr>
          </w:p>
        </w:tc>
      </w:tr>
      <w:tr>
        <w:trPr>
          <w:trHeight w:val="18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Reserve for inventory excess and obsolescence</w:t>
            </w:r>
          </w:p>
        </w:tc>
        <w:tc>
          <w:tcPr>
            <w:tcW w:w="3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(4,727)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(3,953)</w:t>
            </w:r>
          </w:p>
        </w:tc>
        <w:tc>
          <w:tcPr>
            <w:tcW w:w="140" w:type="dxa"/>
            <w:vAlign w:val="bottom"/>
            <w:shd w:val="clear" w:color="auto" w:fill="CCEEFF"/>
          </w:tcPr>
          <w:p>
            <w:pPr>
              <w:spacing w:after="0"/>
              <w:rPr>
                <w:sz w:val="16"/>
                <w:szCs w:val="16"/>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Inventories, net</w:t>
            </w:r>
          </w:p>
        </w:tc>
        <w:tc>
          <w:tcPr>
            <w:tcW w:w="33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37,425</w:t>
            </w:r>
          </w:p>
        </w:tc>
        <w:tc>
          <w:tcPr>
            <w:tcW w:w="140" w:type="dxa"/>
            <w:vAlign w:val="bottom"/>
          </w:tcPr>
          <w:p>
            <w:pPr>
              <w:spacing w:after="0"/>
              <w:rPr>
                <w:sz w:val="15"/>
                <w:szCs w:val="15"/>
                <w:color w:val="auto"/>
              </w:rPr>
            </w:pPr>
          </w:p>
        </w:tc>
      </w:tr>
      <w:tr>
        <w:trPr>
          <w:trHeight w:val="751"/>
        </w:trPr>
        <w:tc>
          <w:tcPr>
            <w:tcW w:w="3680" w:type="dxa"/>
            <w:vAlign w:val="bottom"/>
          </w:tcPr>
          <w:p>
            <w:pPr>
              <w:spacing w:after="0"/>
              <w:rPr>
                <w:sz w:val="24"/>
                <w:szCs w:val="24"/>
                <w:color w:val="auto"/>
              </w:rPr>
            </w:pPr>
          </w:p>
        </w:tc>
        <w:tc>
          <w:tcPr>
            <w:tcW w:w="3300" w:type="dxa"/>
            <w:vAlign w:val="bottom"/>
          </w:tcPr>
          <w:p>
            <w:pPr>
              <w:jc w:val="right"/>
              <w:ind w:right="2283"/>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7"/>
        </w:trPr>
        <w:tc>
          <w:tcPr>
            <w:tcW w:w="368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bl>
    <w:p>
      <w:pPr>
        <w:sectPr>
          <w:pgSz w:w="11900" w:h="16838" w:orient="portrait"/>
          <w:cols w:equalWidth="0" w:num="1">
            <w:col w:w="9090"/>
          </w:cols>
          <w:pgMar w:left="1410" w:top="125" w:right="1399" w:bottom="1440" w:gutter="0" w:footer="0" w:header="0"/>
        </w:sectPr>
      </w:pPr>
    </w:p>
    <w:bookmarkStart w:id="17" w:name="page18"/>
    <w:bookmarkEnd w:id="17"/>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Equity Method Investments</w:t>
      </w:r>
    </w:p>
    <w:p>
      <w:pPr>
        <w:spacing w:after="0" w:line="14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In December 2017, the Company and SoftBank formed a joint venture, HAPSMobile. HAPSMobile is a Japanese corporation that is 5% owned by the Company and 95% owned by SoftBank and is governed by a Joint Venture Agreement (the “JVA”). The Company purchased its 5% stake in HAPSMobile for 210,000,000 yen ($1,860,000) effective as of December 27, 2017 and 150,000,000 yen ($1,407,000) on April 17, 2018. Under the JVA, the Company committed to make an additional capital contribution of 209,500,000 yen (approximately $1,900,000) in or around January 2019 to maintain its 5% ownership stake. Additionally, under the JVA, the Company may purchase additional shares of HAPSMobile, at the same per share price for the purchase of its original 5% stake, to increase its ownership percentage of HAPSMobile up to 19% prior to the first flight test of the prototype aircraft produced under a design and development agreement between HAPSMobile and the Company.</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5"/>
          <w:szCs w:val="15"/>
          <w:color w:val="auto"/>
        </w:rPr>
        <w:t>As the Company has the ability to exercise significant influence over the operating and financial policies of HAPSMobile, the Company’s investment is accounted for as an equity method investment. For the three and six months ended October 27, 2018, the Company recorded 5% of the net loss of HAPSMobile, or $752,000 and $1,354,000, respectively, in “Equity method investment activity, net of tax” in the unaudited consolidated statement of operations. At October 27, 2018, the carrying value of the investment in HAPSMobile was $625,000 and was recorded in “Other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Warranty Reserves</w:t>
      </w:r>
    </w:p>
    <w:p>
      <w:pPr>
        <w:spacing w:after="0" w:line="144"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5"/>
          <w:szCs w:val="15"/>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 27, 2018 and October 28, 2017, respectively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6"/>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60" w:type="dxa"/>
            <w:vAlign w:val="bottom"/>
          </w:tcPr>
          <w:p>
            <w:pPr>
              <w:spacing w:after="0"/>
              <w:rPr>
                <w:sz w:val="12"/>
                <w:szCs w:val="12"/>
                <w:color w:val="auto"/>
              </w:rPr>
            </w:pPr>
          </w:p>
        </w:tc>
        <w:tc>
          <w:tcPr>
            <w:tcW w:w="158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97"/>
        </w:trPr>
        <w:tc>
          <w:tcPr>
            <w:tcW w:w="5480" w:type="dxa"/>
            <w:vAlign w:val="bottom"/>
          </w:tcPr>
          <w:p>
            <w:pPr>
              <w:spacing w:after="0"/>
              <w:rPr>
                <w:sz w:val="8"/>
                <w:szCs w:val="8"/>
                <w:color w:val="auto"/>
              </w:rPr>
            </w:pPr>
          </w:p>
        </w:tc>
        <w:tc>
          <w:tcPr>
            <w:tcW w:w="820" w:type="dxa"/>
            <w:vAlign w:val="bottom"/>
            <w:tcBorders>
              <w:top w:val="single" w:sz="8" w:color="auto"/>
            </w:tcBorders>
            <w:gridSpan w:val="3"/>
          </w:tcPr>
          <w:p>
            <w:pPr>
              <w:jc w:val="right"/>
              <w:ind w:right="14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40" w:type="dxa"/>
            <w:vAlign w:val="bottom"/>
          </w:tcPr>
          <w:p>
            <w:pPr>
              <w:spacing w:after="0"/>
              <w:rPr>
                <w:sz w:val="8"/>
                <w:szCs w:val="8"/>
                <w:color w:val="auto"/>
              </w:rPr>
            </w:pPr>
          </w:p>
        </w:tc>
        <w:tc>
          <w:tcPr>
            <w:tcW w:w="900" w:type="dxa"/>
            <w:vAlign w:val="bottom"/>
            <w:tcBorders>
              <w:top w:val="single" w:sz="8" w:color="auto"/>
            </w:tcBorders>
            <w:gridSpan w:val="3"/>
          </w:tcPr>
          <w:p>
            <w:pPr>
              <w:ind w:left="8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740" w:type="dxa"/>
            <w:vAlign w:val="bottom"/>
            <w:tcBorders>
              <w:top w:val="single" w:sz="8" w:color="auto"/>
            </w:tcBorders>
            <w:gridSpan w:val="2"/>
          </w:tcPr>
          <w:p>
            <w:pPr>
              <w:jc w:val="right"/>
              <w:ind w:right="6"/>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00" w:type="dxa"/>
            <w:vAlign w:val="bottom"/>
          </w:tcPr>
          <w:p>
            <w:pPr>
              <w:spacing w:after="0"/>
              <w:rPr>
                <w:sz w:val="8"/>
                <w:szCs w:val="8"/>
                <w:color w:val="auto"/>
              </w:rPr>
            </w:pPr>
          </w:p>
        </w:tc>
      </w:tr>
      <w:tr>
        <w:trPr>
          <w:trHeight w:val="149"/>
        </w:trPr>
        <w:tc>
          <w:tcPr>
            <w:tcW w:w="54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7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1,947</w:t>
            </w:r>
          </w:p>
        </w:tc>
        <w:tc>
          <w:tcPr>
            <w:tcW w:w="100" w:type="dxa"/>
            <w:vAlign w:val="bottom"/>
            <w:shd w:val="clear" w:color="auto" w:fill="CCEEFF"/>
          </w:tcPr>
          <w:p>
            <w:pPr>
              <w:spacing w:after="0"/>
              <w:rPr>
                <w:sz w:val="15"/>
                <w:szCs w:val="15"/>
                <w:color w:val="auto"/>
              </w:rPr>
            </w:pPr>
          </w:p>
        </w:tc>
      </w:tr>
      <w:tr>
        <w:trPr>
          <w:trHeight w:val="185"/>
        </w:trPr>
        <w:tc>
          <w:tcPr>
            <w:tcW w:w="5480" w:type="dxa"/>
            <w:vAlign w:val="bottom"/>
          </w:tcPr>
          <w:p>
            <w:pPr>
              <w:spacing w:after="0"/>
              <w:rPr>
                <w:sz w:val="20"/>
                <w:szCs w:val="20"/>
                <w:color w:val="auto"/>
              </w:rPr>
            </w:pPr>
            <w:r>
              <w:rPr>
                <w:rFonts w:ascii="Times New Roman" w:cs="Times New Roman" w:eastAsia="Times New Roman" w:hAnsi="Times New Roman"/>
                <w:sz w:val="15"/>
                <w:szCs w:val="15"/>
                <w:color w:val="auto"/>
              </w:rPr>
              <w:t>Warranty expense</w:t>
            </w: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(249)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w:t>
            </w:r>
          </w:p>
        </w:tc>
        <w:tc>
          <w:tcPr>
            <w:tcW w:w="100" w:type="dxa"/>
            <w:vAlign w:val="bottom"/>
          </w:tcPr>
          <w:p>
            <w:pPr>
              <w:spacing w:after="0"/>
              <w:rPr>
                <w:sz w:val="16"/>
                <w:szCs w:val="16"/>
                <w:color w:val="auto"/>
              </w:rPr>
            </w:pPr>
          </w:p>
        </w:tc>
      </w:tr>
      <w:tr>
        <w:trPr>
          <w:trHeight w:val="18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estimates related to pre-existing warranties</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480" w:type="dxa"/>
            <w:vAlign w:val="bottom"/>
          </w:tcPr>
          <w:p>
            <w:pPr>
              <w:spacing w:after="0"/>
              <w:rPr>
                <w:sz w:val="20"/>
                <w:szCs w:val="20"/>
                <w:color w:val="auto"/>
              </w:rPr>
            </w:pPr>
            <w:r>
              <w:rPr>
                <w:rFonts w:ascii="Times New Roman" w:cs="Times New Roman" w:eastAsia="Times New Roman" w:hAnsi="Times New Roman"/>
                <w:sz w:val="15"/>
                <w:szCs w:val="15"/>
                <w:color w:val="auto"/>
              </w:rPr>
              <w:t>Warranty costs settled</w:t>
            </w: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(239)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(326)</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(513)</w:t>
            </w: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(928)</w:t>
            </w:r>
          </w:p>
        </w:tc>
      </w:tr>
      <w:tr>
        <w:trPr>
          <w:trHeight w:val="18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During the six months ended October 27, 2018, the Company revised its estimates based on the results of additional engineering studies and recorded incremental warranty reserve charges totaling $519,000 related to the estimated costs to repair a component of certain small UAS that were delivered in prior periods. At October 27, 2018, the total remaining warranty reserve related to the estimated costs to repair the impacted UAS was $493,000. As of October 27, 2018 a total of $26,000 of costs related to this warranty have been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Intangibles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Intangibles are included in other assets on the consolidated balance sheets. The components of intangibles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October 27,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April 30,</w:t>
            </w:r>
          </w:p>
        </w:tc>
      </w:tr>
      <w:tr>
        <w:trPr>
          <w:trHeight w:val="149"/>
        </w:trPr>
        <w:tc>
          <w:tcPr>
            <w:tcW w:w="31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2"/>
                <w:szCs w:val="12"/>
                <w:color w:val="auto"/>
              </w:rPr>
            </w:pPr>
          </w:p>
        </w:tc>
      </w:tr>
      <w:tr>
        <w:trPr>
          <w:trHeight w:val="119"/>
        </w:trPr>
        <w:tc>
          <w:tcPr>
            <w:tcW w:w="31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4"/>
          </w:tcPr>
          <w:p>
            <w:pPr>
              <w:jc w:val="right"/>
              <w:ind w:right="546"/>
              <w:spacing w:after="0" w:line="119"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00" w:type="dxa"/>
            <w:vAlign w:val="bottom"/>
          </w:tcPr>
          <w:p>
            <w:pPr>
              <w:spacing w:after="0"/>
              <w:rPr>
                <w:sz w:val="10"/>
                <w:szCs w:val="10"/>
                <w:color w:val="auto"/>
              </w:rPr>
            </w:pPr>
          </w:p>
        </w:tc>
      </w:tr>
      <w:tr>
        <w:trPr>
          <w:trHeight w:val="18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100" w:type="dxa"/>
            <w:vAlign w:val="bottom"/>
            <w:shd w:val="clear" w:color="auto" w:fill="CCEEFF"/>
          </w:tcPr>
          <w:p>
            <w:pPr>
              <w:spacing w:after="0"/>
              <w:rPr>
                <w:sz w:val="16"/>
                <w:szCs w:val="16"/>
                <w:color w:val="auto"/>
              </w:rPr>
            </w:pPr>
          </w:p>
        </w:tc>
      </w:tr>
      <w:tr>
        <w:trPr>
          <w:trHeight w:val="185"/>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100" w:type="dxa"/>
            <w:vAlign w:val="bottom"/>
          </w:tcPr>
          <w:p>
            <w:pPr>
              <w:spacing w:after="0"/>
              <w:rPr>
                <w:sz w:val="16"/>
                <w:szCs w:val="16"/>
                <w:color w:val="auto"/>
              </w:rPr>
            </w:pPr>
          </w:p>
        </w:tc>
      </w:tr>
      <w:tr>
        <w:trPr>
          <w:trHeight w:val="18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 and tradenames</w:t>
            </w:r>
          </w:p>
        </w:tc>
        <w:tc>
          <w:tcPr>
            <w:tcW w:w="3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6"/>
                <w:szCs w:val="16"/>
                <w:color w:val="auto"/>
              </w:rPr>
            </w:pPr>
          </w:p>
        </w:tc>
      </w:tr>
      <w:tr>
        <w:trPr>
          <w:trHeight w:val="185"/>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38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tcPr>
          <w:p>
            <w:pPr>
              <w:spacing w:after="0"/>
              <w:rPr>
                <w:sz w:val="16"/>
                <w:szCs w:val="16"/>
                <w:color w:val="auto"/>
              </w:rPr>
            </w:pPr>
          </w:p>
        </w:tc>
      </w:tr>
      <w:tr>
        <w:trPr>
          <w:trHeight w:val="17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Intangibles, gross</w:t>
            </w:r>
          </w:p>
        </w:tc>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100" w:type="dxa"/>
            <w:vAlign w:val="bottom"/>
            <w:shd w:val="clear" w:color="auto" w:fill="CCEEFF"/>
          </w:tcPr>
          <w:p>
            <w:pPr>
              <w:spacing w:after="0"/>
              <w:rPr>
                <w:sz w:val="15"/>
                <w:szCs w:val="15"/>
                <w:color w:val="auto"/>
              </w:rPr>
            </w:pPr>
          </w:p>
        </w:tc>
      </w:tr>
      <w:tr>
        <w:trPr>
          <w:trHeight w:val="185"/>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accumulated amortization</w:t>
            </w:r>
          </w:p>
        </w:tc>
        <w:tc>
          <w:tcPr>
            <w:tcW w:w="38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100" w:type="dxa"/>
            <w:vAlign w:val="bottom"/>
            <w:tcBorders>
              <w:bottom w:val="single" w:sz="8" w:color="CCEEFF"/>
            </w:tcBorders>
          </w:tcPr>
          <w:p>
            <w:pPr>
              <w:spacing w:after="0"/>
              <w:rPr>
                <w:sz w:val="16"/>
                <w:szCs w:val="16"/>
                <w:color w:val="auto"/>
              </w:rPr>
            </w:pPr>
          </w:p>
        </w:tc>
      </w:tr>
      <w:tr>
        <w:trPr>
          <w:trHeight w:val="196"/>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Intangibles, net</w:t>
            </w:r>
          </w:p>
        </w:tc>
        <w:tc>
          <w:tcPr>
            <w:tcW w:w="3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723"/>
        </w:trPr>
        <w:tc>
          <w:tcPr>
            <w:tcW w:w="3180" w:type="dxa"/>
            <w:vAlign w:val="bottom"/>
          </w:tcPr>
          <w:p>
            <w:pPr>
              <w:spacing w:after="0"/>
              <w:rPr>
                <w:sz w:val="24"/>
                <w:szCs w:val="24"/>
                <w:color w:val="auto"/>
              </w:rPr>
            </w:pPr>
          </w:p>
        </w:tc>
        <w:tc>
          <w:tcPr>
            <w:tcW w:w="3800" w:type="dxa"/>
            <w:vAlign w:val="bottom"/>
          </w:tcPr>
          <w:p>
            <w:pPr>
              <w:jc w:val="right"/>
              <w:ind w:right="2283"/>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7"/>
        </w:trPr>
        <w:tc>
          <w:tcPr>
            <w:tcW w:w="318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9080"/>
          </w:cols>
          <w:pgMar w:left="1420" w:top="125" w:right="1399" w:bottom="1440" w:gutter="0" w:footer="0" w:header="0"/>
        </w:sectPr>
      </w:pPr>
    </w:p>
    <w:bookmarkStart w:id="18" w:name="page19"/>
    <w:bookmarkEnd w:id="18"/>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5"/>
          <w:szCs w:val="15"/>
          <w:color w:val="auto"/>
        </w:rPr>
        <w:t>The customer relationships, trademarks and tradenames, and other intangible assets were recognized in conjunction with the Company’s acquisition of a controlling interest in Altoy on February 1, 2017.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 Accumulated Other Comprehensive Income (Loss) and Reclassifications Adjustments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components of accumulated other comprehensive loss and adjustments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Available-for-Sale</w:t>
            </w:r>
          </w:p>
        </w:tc>
        <w:tc>
          <w:tcPr>
            <w:tcW w:w="100" w:type="dxa"/>
            <w:vAlign w:val="bottom"/>
          </w:tcPr>
          <w:p>
            <w:pPr>
              <w:spacing w:after="0"/>
              <w:rPr>
                <w:sz w:val="12"/>
                <w:szCs w:val="12"/>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 Other</w:t>
            </w:r>
          </w:p>
        </w:tc>
      </w:tr>
      <w:tr>
        <w:trPr>
          <w:trHeight w:val="149"/>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0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Translation Adjustments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r>
      <w:tr>
        <w:trPr>
          <w:trHeight w:val="17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net of $76 of taxes, as of April 30,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60" w:type="dxa"/>
            <w:vAlign w:val="bottom"/>
            <w:tcBorders>
              <w:top w:val="single" w:sz="8" w:color="CCEEFF"/>
            </w:tcBorders>
            <w:shd w:val="clear" w:color="auto" w:fill="CCEEFF"/>
          </w:tcPr>
          <w:p>
            <w:pPr>
              <w:spacing w:after="0"/>
              <w:rPr>
                <w:sz w:val="15"/>
                <w:szCs w:val="15"/>
                <w:color w:val="auto"/>
              </w:rPr>
            </w:pPr>
          </w:p>
        </w:tc>
      </w:tr>
      <w:tr>
        <w:trPr>
          <w:trHeight w:val="170"/>
        </w:trPr>
        <w:tc>
          <w:tcPr>
            <w:tcW w:w="404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Reclassifications out of accumulated other comprehensive</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9"/>
        </w:trPr>
        <w:tc>
          <w:tcPr>
            <w:tcW w:w="4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loss, net of taxes</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0"/>
        </w:trPr>
        <w:tc>
          <w:tcPr>
            <w:tcW w:w="404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Change in foreign currency translation adjustments, net of</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$0 taxes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(31)</w:t>
            </w: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Unrealized gains, net of $51 of taxes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60" w:type="dxa"/>
            <w:vAlign w:val="bottom"/>
          </w:tcPr>
          <w:p>
            <w:pPr>
              <w:spacing w:after="0"/>
              <w:rPr>
                <w:sz w:val="16"/>
                <w:szCs w:val="16"/>
                <w:color w:val="auto"/>
              </w:rPr>
            </w:pPr>
          </w:p>
        </w:tc>
      </w:tr>
      <w:tr>
        <w:trPr>
          <w:trHeight w:val="18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net of $0 of taxes, as of October 27,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Customer-Funded Research &amp; Development</w:t>
      </w:r>
    </w:p>
    <w:p>
      <w:pPr>
        <w:spacing w:after="0" w:line="19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5"/>
          <w:szCs w:val="15"/>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$18,790,000 and $35,907,000 for the three and six months ended October 27, 2018, respectively. Revenue from customer-funded R&amp;D was approximately $11,864,000 and $20,662,000 for the three and six months ended October 28, 2017,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Long-Term Incentive Awards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During the three months ended July 28, 2018, the Company granted awards under its amended and restated 2006 Equity Incentive Plan (the “Restated 2006 Plan”) to key employees (“Fiscal 2019 LTIP”). Awards under the Fiscal 2019 LTIP consist of: (i) time-based restricted stock awards which vest in equal tranches in July 2019, July 2020 and July 2021, and (ii) performance-based restricted stock units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October 27, 2018, the Company recorded $255,000 of compensation expense related to the Fiscal 2019 LTIP. At October 27, 2018, the maximum compensation expense that may be recorded for the performance-based portion of the Fiscal 2019 LTIP is $3,733,000.</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During the three months ended July 29, 2017, the Company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October 27, 2018, the Company recorded $603,000 of compensation expense related to the Fiscal 2018 LTIP. At October 27, 2018, the maximum compensation expense that may be recorded for the performance-based portion of the Fiscal 2018 LTIP is $2,850,000.</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9" w:name="page20"/>
    <w:bookmarkEnd w:id="19"/>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October 27, 2018, the Company recorded $289,000 of compensation expense related to the Fiscal 2017 LTIP. At October 27, 2018, the maximum compensation expense that may be recorded for the performance-based portion of the Fiscal 2017 LTIP is $2,630,000.</w:t>
      </w:r>
    </w:p>
    <w:p>
      <w:pPr>
        <w:spacing w:after="0" w:line="15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Income Taxes</w:t>
      </w:r>
    </w:p>
    <w:p>
      <w:pPr>
        <w:spacing w:after="0" w:line="19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On December 22, 2017, the Tax Act was signed into law, which resulted in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 deduction for certain Foreign Derived Intangible Income (“FDII”), and limitation on the deductibility of certain executive compensation.</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 xml:space="preserve">In accordance with ASC 740,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the Company is required to record the effects of tax law changes in the period enacted. As the Company has an April 30 fiscal year end, its U.S. federal corporate income tax rate was blended in fiscal 2018, resulting in a statutory federal rate of approximately 30.4% (8 months at 35% and 4 months at 21%), and 21% for subsequent fiscal years. The Company remeasured its existing deferred tax assets and liabilities at the rate the Company expects to be in effect when those deferred taxes will be realized and recorded a one-time deferred tax expense of approximately $3,300,000 during the fiscal year ended April 30, 2018.</w:t>
      </w:r>
    </w:p>
    <w:p>
      <w:pPr>
        <w:spacing w:after="0" w:line="15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The Company followed the guidance in SEC Staff Accounting Bulletin 118 (“SAB 118”), which provides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1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color w:val="auto"/>
        </w:rPr>
        <w:t>The $3,300,000 expense for the one-time deferred tax remeasurement is a provisional estimate of the impact of the Tax Act. In addition, for the year ending April 30, 2019 the Company has estimated that the FDII deduction will benefit the Company’s full year estimated effective tax rate by approximately 2% and that it will not have an income tax payable as a result of the one-time deemed repatriation transition tax on unrepatriated foreign earnings. These amounts are considered provisional because they use estimates for which final tax computations or returns have not been completed and because estimated amounts may be impacted by future regulatory and accounting guidance if and when issued.</w:t>
      </w:r>
    </w:p>
    <w:p>
      <w:pPr>
        <w:spacing w:after="0" w:line="15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The Company’s financial statements do not reflect the impact of certain aspects of the Tax Act as the Company did not have the necessary information available, prepared, or analyzed (including computations), or because sufficient guidance has not been issued in order to determine an actual or provisional amount for the tax effects of the Act. To date, these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aspects include the new compensation related provisions under section 162(m) and the state income tax conformity to the Tax Act.</w:t>
      </w:r>
    </w:p>
    <w:p>
      <w:pPr>
        <w:spacing w:after="0" w:line="19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For the three and six months ended October 27, 2018, the Company recorded a provision for income taxes of $1,211,000 and $3,778,000, respectively, yielding effective tax rates of 13.5% and 11.6%, respectively. For the three and six months ended October 28, 2017, the Company recorded a provision for income taxes of $3,358,000 and $137,000, respectively, yielding effective tax rates of 30.8% and 4.2%, respectively. The variance from statutory rates for the three and six months ended October 27, 2018 was primarily due to federal R&amp;D credits and the recording of discrete excess tax benefits of $357,000 and $1,507,000, respectively, resulting from the vesting of restricted stock awards and exercises of stock options. The variance from statutory rates for the three and six months ended October 28, 2017 was primarily due to federal R&amp;D credits and the recording of discrete excess tax benefits of $376,000 and $1,401,000 resulting from the vesting of restricted stock awards and exercises of stock options.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Share Repurchase</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auto"/>
        </w:rPr>
        <w:t>In September 2015, the Company’s Board of Directors authorized a program to repurchase up to $25,000,000 of the Company’s common stock with no specified termination date for the program. No shares were repurchased under the program during the three and six months ended October 27, 2018. As of October 27, 2018 and April 30, 2018, approximately $21.2 million remained authorized for future repurchases under this program.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14. Related Party Transactions</w:t>
      </w:r>
    </w:p>
    <w:p>
      <w:pPr>
        <w:spacing w:after="0" w:line="20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the Company will use its best efforts, up to a maximum net value of $76,589,000, to design and build prototype solar powered high altitude aircraft and ground control stations for HAPSMobile and conduct low altitude and high altitude flight tests of the prototype aircraft.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recorded revenue under the DDA and preliminary design agreements between the Company and SoftBank of $12,832,000 and</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5"/>
          <w:szCs w:val="15"/>
          <w:color w:val="auto"/>
        </w:rPr>
        <w:t>$24,395,000 for the three and six months ended October 27, 2018, respectively. The Company recorded revenue under the DDA and preliminary design agreements between the Company and SoftBank of $7,071,000 and $9,622,000 for the three and six months ended October 28, 2017, respectively. At October 27, 2018 and April 30, 2018, the Company had unbilled related party receivables from HAPSMobile of $7,764,000 and $3,145,000 recorded in “Unbilled receivables and retentions” on the consolidated balance sheets, respectively. During the year ended April 30, 2018, the Company purchased a 5% stake in accordance with the JVA. Refer to Note 6—Equity Method Investments for further details.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15. Legal Settlements</w:t>
      </w:r>
    </w:p>
    <w:p>
      <w:pPr>
        <w:spacing w:after="0" w:line="20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5"/>
          <w:szCs w:val="15"/>
          <w:color w:val="auto"/>
        </w:rPr>
        <w:t>In May 2018, the Company entered into a settlement agreement to dismiss its claims against MicaSense Inc. and former AeroVironment employees, Gabriel Torres, Justin McAllister, and Jeff McBride. The terms and amount of the settlement agreement are confidential. The proceeds of the settlement were received during the three months ended July 28, 2018 and have been recorded in “Other income, net” on the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16. Impact of Adoption of New Accounting Standards</w:t>
      </w:r>
    </w:p>
    <w:p>
      <w:pPr>
        <w:spacing w:after="0" w:line="197"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5"/>
          <w:szCs w:val="15"/>
          <w:color w:val="auto"/>
        </w:rPr>
        <w:t xml:space="preserve">During the three months ended July 28, 2018, the Company adopted ASU No. 2014-09,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(Topic 606). The impact to the Company’s unaudited balance sheet as a result of adopting the standard was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April 30, 2018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Effect of the</w:t>
            </w:r>
          </w:p>
        </w:tc>
        <w:tc>
          <w:tcPr>
            <w:tcW w:w="8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April 30, 2018</w:t>
            </w: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Adoption of</w:t>
            </w: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ASC Topic 606</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Adjusted</w:t>
            </w:r>
          </w:p>
        </w:tc>
        <w:tc>
          <w:tcPr>
            <w:tcW w:w="0" w:type="dxa"/>
            <w:vAlign w:val="bottom"/>
          </w:tcPr>
          <w:p>
            <w:pPr>
              <w:spacing w:after="0"/>
              <w:rPr>
                <w:sz w:val="1"/>
                <w:szCs w:val="1"/>
                <w:color w:val="auto"/>
              </w:rPr>
            </w:pPr>
          </w:p>
        </w:tc>
      </w:tr>
      <w:tr>
        <w:trPr>
          <w:trHeight w:val="165"/>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143,517</w:t>
            </w:r>
          </w:p>
        </w:tc>
        <w:tc>
          <w:tcPr>
            <w:tcW w:w="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$1,080 at April 30, 2018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Unbilled receivables and retentions (inclusive of related party unbilled receivables of $3,145 at April</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30, 2018)</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 net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(2,681)</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399,147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399,047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472,911</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473,418</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21,340</w:t>
            </w: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Wages and related accruals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advances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$0.0001 par value:</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Authorized shares—10,000,000; none issued or outstanding at April 30, 2018</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Authorized shares—100,000,000</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Issued and outstanding shares—23,908,736 at April 30, 2018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170,139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3"/>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239,997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AeroVironment stockholders’ equity</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410,117</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409,033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410,140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472,911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2" w:name="page23"/>
    <w:bookmarkEnd w:id="22"/>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5"/>
          <w:szCs w:val="15"/>
          <w:color w:val="auto"/>
        </w:rPr>
        <w:t>The tables below presents the impact of adoption on the Company’s unaudited statement of operations for the three and six months ended October 27, 2018 (in thousands except share and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Effect of the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27"/>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11"/>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1"/>
              <w:spacing w:after="0" w:line="128" w:lineRule="exact"/>
              <w:rPr>
                <w:sz w:val="20"/>
                <w:szCs w:val="20"/>
                <w:color w:val="auto"/>
              </w:rPr>
            </w:pPr>
            <w:r>
              <w:rPr>
                <w:rFonts w:ascii="Times New Roman" w:cs="Times New Roman" w:eastAsia="Times New Roman" w:hAnsi="Times New Roman"/>
                <w:sz w:val="12"/>
                <w:szCs w:val="12"/>
                <w:b w:val="1"/>
                <w:bCs w:val="1"/>
                <w:color w:val="auto"/>
              </w:rPr>
              <w:t>Adoption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r>
      <w:tr>
        <w:trPr>
          <w:trHeight w:val="149"/>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rPr>
              <w:t>ASC Topic 606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As Adjusted</w:t>
            </w:r>
          </w:p>
        </w:tc>
      </w:tr>
      <w:tr>
        <w:trPr>
          <w:trHeight w:val="165"/>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3"/>
        </w:trPr>
        <w:tc>
          <w:tcPr>
            <w:tcW w:w="5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48,420</w:t>
            </w:r>
          </w:p>
        </w:tc>
        <w:tc>
          <w:tcPr>
            <w:tcW w:w="40" w:type="dxa"/>
            <w:vAlign w:val="bottom"/>
          </w:tcPr>
          <w:p>
            <w:pPr>
              <w:spacing w:after="0"/>
              <w:rPr>
                <w:sz w:val="15"/>
                <w:szCs w:val="15"/>
                <w:color w:val="auto"/>
              </w:rPr>
            </w:pPr>
          </w:p>
        </w:tc>
      </w:tr>
      <w:tr>
        <w:trPr>
          <w:trHeight w:val="161"/>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 (inclusive of related party revenue of $7,071 for the three months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ended October 28, 2017, respectively)</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20,313</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17,381</w:t>
            </w:r>
          </w:p>
        </w:tc>
        <w:tc>
          <w:tcPr>
            <w:tcW w:w="40" w:type="dxa"/>
            <w:vAlign w:val="bottom"/>
            <w:shd w:val="clear" w:color="auto" w:fill="CCEEFF"/>
          </w:tcPr>
          <w:p>
            <w:pPr>
              <w:spacing w:after="0"/>
              <w:rPr>
                <w:sz w:val="15"/>
                <w:szCs w:val="15"/>
                <w:color w:val="auto"/>
              </w:rPr>
            </w:pPr>
          </w:p>
        </w:tc>
      </w:tr>
      <w:tr>
        <w:trPr>
          <w:trHeight w:val="167"/>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65,801</w:t>
            </w:r>
          </w:p>
        </w:tc>
        <w:tc>
          <w:tcPr>
            <w:tcW w:w="40" w:type="dxa"/>
            <w:vAlign w:val="bottom"/>
          </w:tcPr>
          <w:p>
            <w:pPr>
              <w:spacing w:after="0"/>
              <w:rPr>
                <w:sz w:val="14"/>
                <w:szCs w:val="14"/>
                <w:color w:val="auto"/>
              </w:rPr>
            </w:pPr>
          </w:p>
        </w:tc>
      </w:tr>
      <w:tr>
        <w:trPr>
          <w:trHeight w:val="17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25,196</w:t>
            </w:r>
          </w:p>
        </w:tc>
        <w:tc>
          <w:tcPr>
            <w:tcW w:w="40" w:type="dxa"/>
            <w:vAlign w:val="bottom"/>
          </w:tcPr>
          <w:p>
            <w:pPr>
              <w:spacing w:after="0"/>
              <w:rPr>
                <w:sz w:val="15"/>
                <w:szCs w:val="15"/>
                <w:color w:val="auto"/>
              </w:rPr>
            </w:pPr>
          </w:p>
        </w:tc>
      </w:tr>
      <w:tr>
        <w:trPr>
          <w:trHeight w:val="17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12,101</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w:t>
            </w:r>
          </w:p>
        </w:tc>
        <w:tc>
          <w:tcPr>
            <w:tcW w:w="40" w:type="dxa"/>
            <w:vAlign w:val="bottom"/>
            <w:shd w:val="clear" w:color="auto" w:fill="CCEEFF"/>
          </w:tcPr>
          <w:p>
            <w:pPr>
              <w:spacing w:after="0"/>
              <w:rPr>
                <w:sz w:val="15"/>
                <w:szCs w:val="15"/>
                <w:color w:val="auto"/>
              </w:rPr>
            </w:pPr>
          </w:p>
        </w:tc>
      </w:tr>
      <w:tr>
        <w:trPr>
          <w:trHeight w:val="165"/>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35,658</w:t>
            </w:r>
          </w:p>
        </w:tc>
        <w:tc>
          <w:tcPr>
            <w:tcW w:w="40" w:type="dxa"/>
            <w:vAlign w:val="bottom"/>
          </w:tcPr>
          <w:p>
            <w:pPr>
              <w:spacing w:after="0"/>
              <w:rPr>
                <w:sz w:val="14"/>
                <w:szCs w:val="14"/>
                <w:color w:val="auto"/>
              </w:rPr>
            </w:pPr>
          </w:p>
        </w:tc>
      </w:tr>
      <w:tr>
        <w:trPr>
          <w:trHeight w:val="17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23,224</w:t>
            </w:r>
          </w:p>
        </w:tc>
        <w:tc>
          <w:tcPr>
            <w:tcW w:w="40" w:type="dxa"/>
            <w:vAlign w:val="bottom"/>
          </w:tcPr>
          <w:p>
            <w:pPr>
              <w:spacing w:after="0"/>
              <w:rPr>
                <w:sz w:val="15"/>
                <w:szCs w:val="15"/>
                <w:color w:val="auto"/>
              </w:rPr>
            </w:pPr>
          </w:p>
        </w:tc>
      </w:tr>
      <w:tr>
        <w:trPr>
          <w:trHeight w:val="17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8,212</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40" w:type="dxa"/>
            <w:vAlign w:val="bottom"/>
            <w:shd w:val="clear" w:color="auto" w:fill="CCEEFF"/>
          </w:tcPr>
          <w:p>
            <w:pPr>
              <w:spacing w:after="0"/>
              <w:rPr>
                <w:sz w:val="15"/>
                <w:szCs w:val="15"/>
                <w:color w:val="auto"/>
              </w:rPr>
            </w:pPr>
          </w:p>
        </w:tc>
      </w:tr>
      <w:tr>
        <w:trPr>
          <w:trHeight w:val="165"/>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30,143</w:t>
            </w:r>
          </w:p>
        </w:tc>
        <w:tc>
          <w:tcPr>
            <w:tcW w:w="40" w:type="dxa"/>
            <w:vAlign w:val="bottom"/>
          </w:tcPr>
          <w:p>
            <w:pPr>
              <w:spacing w:after="0"/>
              <w:rPr>
                <w:sz w:val="14"/>
                <w:szCs w:val="14"/>
                <w:color w:val="auto"/>
              </w:rPr>
            </w:pPr>
          </w:p>
        </w:tc>
      </w:tr>
      <w:tr>
        <w:trPr>
          <w:trHeight w:val="17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12,768</w:t>
            </w:r>
          </w:p>
        </w:tc>
        <w:tc>
          <w:tcPr>
            <w:tcW w:w="40" w:type="dxa"/>
            <w:vAlign w:val="bottom"/>
            <w:shd w:val="clear" w:color="auto" w:fill="CCEEFF"/>
          </w:tcPr>
          <w:p>
            <w:pPr>
              <w:spacing w:after="0"/>
              <w:rPr>
                <w:sz w:val="15"/>
                <w:szCs w:val="15"/>
                <w:color w:val="auto"/>
              </w:rPr>
            </w:pPr>
          </w:p>
        </w:tc>
      </w:tr>
      <w:tr>
        <w:trPr>
          <w:trHeight w:val="17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6,844</w:t>
            </w:r>
          </w:p>
        </w:tc>
        <w:tc>
          <w:tcPr>
            <w:tcW w:w="40" w:type="dxa"/>
            <w:vAlign w:val="bottom"/>
            <w:tcBorders>
              <w:bottom w:val="single" w:sz="8" w:color="CCEEFF"/>
            </w:tcBorders>
          </w:tcPr>
          <w:p>
            <w:pPr>
              <w:spacing w:after="0"/>
              <w:rPr>
                <w:sz w:val="15"/>
                <w:szCs w:val="15"/>
                <w:color w:val="auto"/>
              </w:rPr>
            </w:pPr>
          </w:p>
        </w:tc>
      </w:tr>
      <w:tr>
        <w:trPr>
          <w:trHeight w:val="16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10,531</w:t>
            </w:r>
          </w:p>
        </w:tc>
        <w:tc>
          <w:tcPr>
            <w:tcW w:w="40" w:type="dxa"/>
            <w:vAlign w:val="bottom"/>
            <w:shd w:val="clear" w:color="auto" w:fill="CCEEFF"/>
          </w:tcPr>
          <w:p>
            <w:pPr>
              <w:spacing w:after="0"/>
              <w:rPr>
                <w:sz w:val="14"/>
                <w:szCs w:val="14"/>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net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5"/>
                <w:szCs w:val="15"/>
                <w:color w:val="auto"/>
              </w:rPr>
            </w:pPr>
          </w:p>
        </w:tc>
      </w:tr>
      <w:tr>
        <w:trPr>
          <w:trHeight w:val="17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40" w:type="dxa"/>
            <w:vAlign w:val="bottom"/>
          </w:tcPr>
          <w:p>
            <w:pPr>
              <w:spacing w:after="0"/>
              <w:rPr>
                <w:sz w:val="15"/>
                <w:szCs w:val="15"/>
                <w:color w:val="auto"/>
              </w:rPr>
            </w:pPr>
          </w:p>
        </w:tc>
      </w:tr>
      <w:tr>
        <w:trPr>
          <w:trHeight w:val="17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method investment activity, net of tax</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40" w:type="dxa"/>
            <w:vAlign w:val="bottom"/>
          </w:tcPr>
          <w:p>
            <w:pPr>
              <w:spacing w:after="0"/>
              <w:rPr>
                <w:sz w:val="14"/>
                <w:szCs w:val="14"/>
                <w:color w:val="auto"/>
              </w:rPr>
            </w:pPr>
          </w:p>
        </w:tc>
      </w:tr>
      <w:tr>
        <w:trPr>
          <w:trHeight w:val="17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61"/>
        </w:trPr>
        <w:tc>
          <w:tcPr>
            <w:tcW w:w="5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business, net of tax expense of $0 for the three months ended October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5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28, 2017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shd w:val="clear" w:color="auto" w:fill="CCEEFF"/>
          </w:tcPr>
          <w:p>
            <w:pPr>
              <w:spacing w:after="0"/>
              <w:rPr>
                <w:sz w:val="15"/>
                <w:szCs w:val="15"/>
                <w:color w:val="auto"/>
              </w:rPr>
            </w:pPr>
          </w:p>
        </w:tc>
      </w:tr>
      <w:tr>
        <w:trPr>
          <w:trHeight w:val="165"/>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(loss) from discontinued operations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Borders>
              <w:bottom w:val="single" w:sz="8" w:color="CCEEFF"/>
            </w:tcBorders>
          </w:tcPr>
          <w:p>
            <w:pPr>
              <w:spacing w:after="0"/>
              <w:rPr>
                <w:sz w:val="14"/>
                <w:szCs w:val="14"/>
                <w:color w:val="auto"/>
              </w:rPr>
            </w:pPr>
          </w:p>
        </w:tc>
      </w:tr>
      <w:tr>
        <w:trPr>
          <w:trHeight w:val="16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40" w:type="dxa"/>
            <w:vAlign w:val="bottom"/>
            <w:shd w:val="clear" w:color="auto" w:fill="CCEEFF"/>
          </w:tcPr>
          <w:p>
            <w:pPr>
              <w:spacing w:after="0"/>
              <w:rPr>
                <w:sz w:val="14"/>
                <w:szCs w:val="14"/>
                <w:color w:val="auto"/>
              </w:rPr>
            </w:pPr>
          </w:p>
        </w:tc>
      </w:tr>
      <w:tr>
        <w:trPr>
          <w:trHeight w:val="17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40" w:type="dxa"/>
            <w:vAlign w:val="bottom"/>
            <w:tcBorders>
              <w:bottom w:val="single" w:sz="8" w:color="CCEEFF"/>
            </w:tcBorders>
          </w:tcPr>
          <w:p>
            <w:pPr>
              <w:spacing w:after="0"/>
              <w:rPr>
                <w:sz w:val="15"/>
                <w:szCs w:val="15"/>
                <w:color w:val="auto"/>
              </w:rPr>
            </w:pPr>
          </w:p>
        </w:tc>
      </w:tr>
      <w:tr>
        <w:trPr>
          <w:trHeight w:val="185"/>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AeroVironment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55"/>
        </w:trPr>
        <w:tc>
          <w:tcPr>
            <w:tcW w:w="50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per share attributable to AeroVironment—Basic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per share attributable to AeroVironment—Basic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share attributable to AeroVironment—Diluted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per share attributable to AeroVironment—Diluted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40" w:type="dxa"/>
            <w:vAlign w:val="bottom"/>
            <w:shd w:val="clear" w:color="auto" w:fill="CCEEFF"/>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23,477,914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23,477,914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23,477,914</w:t>
            </w:r>
          </w:p>
        </w:tc>
        <w:tc>
          <w:tcPr>
            <w:tcW w:w="40" w:type="dxa"/>
            <w:vAlign w:val="bottom"/>
            <w:shd w:val="clear" w:color="auto" w:fill="CCEEFF"/>
          </w:tcPr>
          <w:p>
            <w:pPr>
              <w:spacing w:after="0"/>
              <w:rPr>
                <w:sz w:val="15"/>
                <w:szCs w:val="15"/>
                <w:color w:val="auto"/>
              </w:rPr>
            </w:pPr>
          </w:p>
        </w:tc>
      </w:tr>
      <w:tr>
        <w:trPr>
          <w:trHeight w:val="182"/>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23,832,959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23,832,959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23,832,959</w:t>
            </w:r>
          </w:p>
        </w:tc>
        <w:tc>
          <w:tcPr>
            <w:tcW w:w="40" w:type="dxa"/>
            <w:vAlign w:val="bottom"/>
          </w:tcPr>
          <w:p>
            <w:pPr>
              <w:spacing w:after="0"/>
              <w:rPr>
                <w:sz w:val="15"/>
                <w:szCs w:val="15"/>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3" w:name="page24"/>
    <w:bookmarkEnd w:id="23"/>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Effect of the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27"/>
        </w:trPr>
        <w:tc>
          <w:tcPr>
            <w:tcW w:w="5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11"/>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1"/>
              <w:spacing w:after="0" w:line="128" w:lineRule="exact"/>
              <w:rPr>
                <w:sz w:val="20"/>
                <w:szCs w:val="20"/>
                <w:color w:val="auto"/>
              </w:rPr>
            </w:pPr>
            <w:r>
              <w:rPr>
                <w:rFonts w:ascii="Times New Roman" w:cs="Times New Roman" w:eastAsia="Times New Roman" w:hAnsi="Times New Roman"/>
                <w:sz w:val="12"/>
                <w:szCs w:val="12"/>
                <w:b w:val="1"/>
                <w:bCs w:val="1"/>
                <w:color w:val="auto"/>
              </w:rPr>
              <w:t>Adoption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ASC Topic 606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As Adjusted</w:t>
            </w:r>
          </w:p>
        </w:tc>
      </w:tr>
      <w:tr>
        <w:trPr>
          <w:trHeight w:val="16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173"/>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67,200</w:t>
            </w:r>
          </w:p>
        </w:tc>
        <w:tc>
          <w:tcPr>
            <w:tcW w:w="160" w:type="dxa"/>
            <w:vAlign w:val="bottom"/>
          </w:tcPr>
          <w:p>
            <w:pPr>
              <w:spacing w:after="0"/>
              <w:rPr>
                <w:sz w:val="15"/>
                <w:szCs w:val="15"/>
                <w:color w:val="auto"/>
              </w:rPr>
            </w:pPr>
          </w:p>
        </w:tc>
      </w:tr>
      <w:tr>
        <w:trPr>
          <w:trHeight w:val="161"/>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 (inclusive of related party revenue of $9,622 for the six months ended</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October 28, 2017, respectively)</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32,465</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32,962</w:t>
            </w:r>
          </w:p>
        </w:tc>
        <w:tc>
          <w:tcPr>
            <w:tcW w:w="160" w:type="dxa"/>
            <w:vAlign w:val="bottom"/>
            <w:shd w:val="clear" w:color="auto" w:fill="CCEEFF"/>
          </w:tcPr>
          <w:p>
            <w:pPr>
              <w:spacing w:after="0"/>
              <w:rPr>
                <w:sz w:val="15"/>
                <w:szCs w:val="15"/>
                <w:color w:val="auto"/>
              </w:rPr>
            </w:pPr>
          </w:p>
        </w:tc>
      </w:tr>
      <w:tr>
        <w:trPr>
          <w:trHeight w:val="167"/>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100,162</w:t>
            </w:r>
          </w:p>
        </w:tc>
        <w:tc>
          <w:tcPr>
            <w:tcW w:w="160" w:type="dxa"/>
            <w:vAlign w:val="bottom"/>
          </w:tcPr>
          <w:p>
            <w:pPr>
              <w:spacing w:after="0"/>
              <w:rPr>
                <w:sz w:val="14"/>
                <w:szCs w:val="14"/>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41,168</w:t>
            </w: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19,472</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20,153</w:t>
            </w:r>
          </w:p>
        </w:tc>
        <w:tc>
          <w:tcPr>
            <w:tcW w:w="160" w:type="dxa"/>
            <w:vAlign w:val="bottom"/>
            <w:shd w:val="clear" w:color="auto" w:fill="CCEEFF"/>
          </w:tcPr>
          <w:p>
            <w:pPr>
              <w:spacing w:after="0"/>
              <w:rPr>
                <w:sz w:val="15"/>
                <w:szCs w:val="15"/>
                <w:color w:val="auto"/>
              </w:rPr>
            </w:pPr>
          </w:p>
        </w:tc>
      </w:tr>
      <w:tr>
        <w:trPr>
          <w:trHeight w:val="165"/>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61,321</w:t>
            </w:r>
          </w:p>
        </w:tc>
        <w:tc>
          <w:tcPr>
            <w:tcW w:w="160" w:type="dxa"/>
            <w:vAlign w:val="bottom"/>
          </w:tcPr>
          <w:p>
            <w:pPr>
              <w:spacing w:after="0"/>
              <w:rPr>
                <w:sz w:val="14"/>
                <w:szCs w:val="14"/>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26,032</w:t>
            </w: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services</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12,993</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12,809</w:t>
            </w:r>
          </w:p>
        </w:tc>
        <w:tc>
          <w:tcPr>
            <w:tcW w:w="160" w:type="dxa"/>
            <w:vAlign w:val="bottom"/>
            <w:shd w:val="clear" w:color="auto" w:fill="CCEEFF"/>
          </w:tcPr>
          <w:p>
            <w:pPr>
              <w:spacing w:after="0"/>
              <w:rPr>
                <w:sz w:val="15"/>
                <w:szCs w:val="15"/>
                <w:color w:val="auto"/>
              </w:rPr>
            </w:pPr>
          </w:p>
        </w:tc>
      </w:tr>
      <w:tr>
        <w:trPr>
          <w:trHeight w:val="165"/>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38,841</w:t>
            </w:r>
          </w:p>
        </w:tc>
        <w:tc>
          <w:tcPr>
            <w:tcW w:w="160" w:type="dxa"/>
            <w:vAlign w:val="bottom"/>
          </w:tcPr>
          <w:p>
            <w:pPr>
              <w:spacing w:after="0"/>
              <w:rPr>
                <w:sz w:val="14"/>
                <w:szCs w:val="14"/>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24,055</w:t>
            </w: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12,386</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12,386</w:t>
            </w:r>
          </w:p>
        </w:tc>
        <w:tc>
          <w:tcPr>
            <w:tcW w:w="160" w:type="dxa"/>
            <w:vAlign w:val="bottom"/>
            <w:tcBorders>
              <w:bottom w:val="single" w:sz="8" w:color="CCEEFF"/>
            </w:tcBorders>
          </w:tcPr>
          <w:p>
            <w:pPr>
              <w:spacing w:after="0"/>
              <w:rPr>
                <w:sz w:val="15"/>
                <w:szCs w:val="15"/>
                <w:color w:val="auto"/>
              </w:rPr>
            </w:pPr>
          </w:p>
        </w:tc>
      </w:tr>
      <w:tr>
        <w:trPr>
          <w:trHeight w:val="16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60" w:type="dxa"/>
            <w:vAlign w:val="bottom"/>
            <w:shd w:val="clear" w:color="auto" w:fill="CCEEFF"/>
          </w:tcPr>
          <w:p>
            <w:pPr>
              <w:spacing w:after="0"/>
              <w:rPr>
                <w:sz w:val="14"/>
                <w:szCs w:val="14"/>
                <w:color w:val="auto"/>
              </w:rPr>
            </w:pPr>
          </w:p>
        </w:tc>
      </w:t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net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method investment activity, net of tax</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60" w:type="dxa"/>
            <w:vAlign w:val="bottom"/>
          </w:tcPr>
          <w:p>
            <w:pPr>
              <w:spacing w:after="0"/>
              <w:rPr>
                <w:sz w:val="14"/>
                <w:szCs w:val="14"/>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Discontinued operations: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61"/>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business, net of tax expense of $0 for the six months ended October 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4"/>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60" w:type="dxa"/>
            <w:vAlign w:val="bottom"/>
            <w:shd w:val="clear" w:color="auto" w:fill="CCEEFF"/>
          </w:tcPr>
          <w:p>
            <w:pPr>
              <w:spacing w:after="0"/>
              <w:rPr>
                <w:sz w:val="15"/>
                <w:szCs w:val="15"/>
                <w:color w:val="auto"/>
              </w:rPr>
            </w:pPr>
          </w:p>
        </w:tc>
      </w:tr>
      <w:tr>
        <w:trPr>
          <w:trHeight w:val="165"/>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 from discontinued operations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60" w:type="dxa"/>
            <w:vAlign w:val="bottom"/>
            <w:tcBorders>
              <w:bottom w:val="single" w:sz="8" w:color="CCEEFF"/>
            </w:tcBorders>
          </w:tcPr>
          <w:p>
            <w:pPr>
              <w:spacing w:after="0"/>
              <w:rPr>
                <w:sz w:val="14"/>
                <w:szCs w:val="14"/>
                <w:color w:val="auto"/>
              </w:rPr>
            </w:pPr>
          </w:p>
        </w:tc>
      </w:tr>
      <w:tr>
        <w:trPr>
          <w:trHeight w:val="16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60" w:type="dxa"/>
            <w:vAlign w:val="bottom"/>
            <w:shd w:val="clear" w:color="auto" w:fill="CCEEFF"/>
          </w:tcPr>
          <w:p>
            <w:pPr>
              <w:spacing w:after="0"/>
              <w:rPr>
                <w:sz w:val="14"/>
                <w:szCs w:val="14"/>
                <w:color w:val="auto"/>
              </w:rPr>
            </w:pPr>
          </w:p>
        </w:tc>
      </w:tr>
      <w:tr>
        <w:trPr>
          <w:trHeight w:val="173"/>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60" w:type="dxa"/>
            <w:vAlign w:val="bottom"/>
            <w:tcBorders>
              <w:bottom w:val="single" w:sz="8" w:color="CCEEFF"/>
            </w:tcBorders>
          </w:tcPr>
          <w:p>
            <w:pPr>
              <w:spacing w:after="0"/>
              <w:rPr>
                <w:sz w:val="15"/>
                <w:szCs w:val="15"/>
                <w:color w:val="auto"/>
              </w:rPr>
            </w:pPr>
          </w:p>
        </w:tc>
      </w:tr>
      <w:tr>
        <w:trPr>
          <w:trHeight w:val="185"/>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AeroVironment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55"/>
        </w:trPr>
        <w:tc>
          <w:tcPr>
            <w:tcW w:w="51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per share attributable to AeroVironment—Basic</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5"/>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(loss) per share attributable to AeroVironment—Basic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share attributable to AeroVironment—Diluted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(loss) per share attributable to AeroVironment—Diluted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shd w:val="clear" w:color="auto" w:fill="CCEEFF"/>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23,407,500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23,407,500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23,407,500</w:t>
            </w:r>
          </w:p>
        </w:tc>
        <w:tc>
          <w:tcPr>
            <w:tcW w:w="160" w:type="dxa"/>
            <w:vAlign w:val="bottom"/>
            <w:shd w:val="clear" w:color="auto" w:fill="CCEEFF"/>
          </w:tcPr>
          <w:p>
            <w:pPr>
              <w:spacing w:after="0"/>
              <w:rPr>
                <w:sz w:val="15"/>
                <w:szCs w:val="15"/>
                <w:color w:val="auto"/>
              </w:rPr>
            </w:pPr>
          </w:p>
        </w:tc>
      </w:tr>
      <w:tr>
        <w:trPr>
          <w:trHeight w:val="182"/>
        </w:trPr>
        <w:tc>
          <w:tcPr>
            <w:tcW w:w="5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23,715,997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23,715,997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23,715,997</w:t>
            </w:r>
          </w:p>
        </w:tc>
        <w:tc>
          <w:tcPr>
            <w:tcW w:w="160" w:type="dxa"/>
            <w:vAlign w:val="bottom"/>
          </w:tcPr>
          <w:p>
            <w:pPr>
              <w:spacing w:after="0"/>
              <w:rPr>
                <w:sz w:val="15"/>
                <w:szCs w:val="15"/>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4" w:name="page25"/>
    <w:bookmarkEnd w:id="24"/>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5"/>
          <w:szCs w:val="15"/>
          <w:color w:val="auto"/>
        </w:rPr>
        <w:t>The tables below presents the impact of adoption on the Company’s unaudited statement of comprehensive loss for the three and six months October 28, 2017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Effect of the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27"/>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Adoption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ASC Topic 606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As Adjusted</w:t>
            </w:r>
          </w:p>
        </w:tc>
      </w:tr>
      <w:tr>
        <w:trPr>
          <w:trHeight w:val="176"/>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6,812</w:t>
            </w: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7,517</w:t>
            </w: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 in foreign currency translation adjustments</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r>
      <w:tr>
        <w:trPr>
          <w:trHeight w:val="170"/>
        </w:trPr>
        <w:tc>
          <w:tcPr>
            <w:tcW w:w="472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Unrealized gain on investments, net of deferred tax expense of $17 for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9"/>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the three months ended October 28, 2017, respectively</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6,838</w:t>
            </w: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7,543</w:t>
            </w: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attributable to AeroVironment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7,044</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302"/>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Effect of the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27"/>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Adoption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ASC Topic 606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As Adjusted</w:t>
            </w:r>
          </w:p>
        </w:tc>
      </w:tr>
      <w:tr>
        <w:trPr>
          <w:trHeight w:val="176"/>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2,346</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196"/>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 in foreign currency translation adjustments</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r>
      <w:tr>
        <w:trPr>
          <w:trHeight w:val="170"/>
        </w:trPr>
        <w:tc>
          <w:tcPr>
            <w:tcW w:w="472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Unrealized gain on investments, net of deferred tax expense of $19 for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9"/>
        </w:trPr>
        <w:tc>
          <w:tcPr>
            <w:tcW w:w="4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the six months ended October 28, 2017, respectively</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17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2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9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196"/>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attributable to AeroVironment</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2,604</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1,893</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723"/>
        </w:trPr>
        <w:tc>
          <w:tcPr>
            <w:tcW w:w="4720" w:type="dxa"/>
            <w:vAlign w:val="bottom"/>
          </w:tcPr>
          <w:p>
            <w:pPr>
              <w:ind w:left="4460"/>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7"/>
        </w:trPr>
        <w:tc>
          <w:tcPr>
            <w:tcW w:w="4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bl>
    <w:p>
      <w:pPr>
        <w:sectPr>
          <w:pgSz w:w="11900" w:h="16838" w:orient="portrait"/>
          <w:cols w:equalWidth="0" w:num="1">
            <w:col w:w="9080"/>
          </w:cols>
          <w:pgMar w:left="1420" w:top="125" w:right="1399" w:bottom="1440" w:gutter="0" w:footer="0" w:header="0"/>
        </w:sectPr>
      </w:pPr>
    </w:p>
    <w:bookmarkStart w:id="25" w:name="page26"/>
    <w:bookmarkEnd w:id="25"/>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presents the impact of adoption on the Company’s unaudited statement of cash flows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Effect of the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27"/>
        </w:trPr>
        <w:tc>
          <w:tcPr>
            <w:tcW w:w="4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11"/>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Adoption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October 28, 2017</w:t>
            </w:r>
          </w:p>
        </w:tc>
      </w:tr>
      <w:tr>
        <w:trPr>
          <w:trHeight w:val="149"/>
        </w:trPr>
        <w:tc>
          <w:tcPr>
            <w:tcW w:w="4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ASC Topic 606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Adjusted</w:t>
            </w:r>
          </w:p>
        </w:tc>
      </w:tr>
      <w:tr>
        <w:trPr>
          <w:trHeight w:val="165"/>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business, net of tax</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40" w:type="dxa"/>
            <w:vAlign w:val="bottom"/>
            <w:tcBorders>
              <w:bottom w:val="single" w:sz="8" w:color="CCEEFF"/>
            </w:tcBorders>
          </w:tcPr>
          <w:p>
            <w:pPr>
              <w:spacing w:after="0"/>
              <w:rPr>
                <w:sz w:val="15"/>
                <w:szCs w:val="15"/>
                <w:color w:val="auto"/>
              </w:rPr>
            </w:pPr>
          </w:p>
        </w:tc>
      </w:tr>
      <w:tr>
        <w:trPr>
          <w:trHeight w:val="16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40" w:type="dxa"/>
            <w:vAlign w:val="bottom"/>
            <w:shd w:val="clear" w:color="auto" w:fill="CCEEFF"/>
          </w:tcPr>
          <w:p>
            <w:pPr>
              <w:spacing w:after="0"/>
              <w:rPr>
                <w:sz w:val="14"/>
                <w:szCs w:val="14"/>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cash provided by operating activities: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intangible assets and goodwill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Gains on foreign currency transactions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disposition of property and equipment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held-to-maturity investments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39,861</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Unbilled receivables and retentions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(13,772)</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receivable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(4,348)</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40" w:type="dxa"/>
            <w:vAlign w:val="bottom"/>
            <w:tcBorders>
              <w:bottom w:val="single" w:sz="8" w:color="CCEEFF"/>
            </w:tcBorders>
          </w:tcPr>
          <w:p>
            <w:pPr>
              <w:spacing w:after="0"/>
              <w:rPr>
                <w:sz w:val="15"/>
                <w:szCs w:val="15"/>
                <w:color w:val="auto"/>
              </w:rPr>
            </w:pPr>
          </w:p>
        </w:tc>
      </w:tr>
      <w:tr>
        <w:trPr>
          <w:trHeight w:val="16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 of continuing operations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29,994</w:t>
            </w:r>
          </w:p>
        </w:tc>
        <w:tc>
          <w:tcPr>
            <w:tcW w:w="40" w:type="dxa"/>
            <w:vAlign w:val="bottom"/>
            <w:shd w:val="clear" w:color="auto" w:fill="CCEEFF"/>
          </w:tcPr>
          <w:p>
            <w:pPr>
              <w:spacing w:after="0"/>
              <w:rPr>
                <w:sz w:val="14"/>
                <w:szCs w:val="14"/>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business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Redemptions of held-to-maturity investments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105,758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105,758</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held-to-maturity investments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(88,763)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(88,763)</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Redemptions of available-for-sale investments</w:t>
            </w:r>
          </w:p>
        </w:tc>
        <w:tc>
          <w:tcPr>
            <w:tcW w:w="6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40" w:type="dxa"/>
            <w:vAlign w:val="bottom"/>
            <w:shd w:val="clear" w:color="auto" w:fill="CCEEFF"/>
          </w:tcPr>
          <w:p>
            <w:pPr>
              <w:spacing w:after="0"/>
              <w:rPr>
                <w:sz w:val="15"/>
                <w:szCs w:val="15"/>
                <w:color w:val="auto"/>
              </w:rPr>
            </w:pPr>
          </w:p>
        </w:tc>
      </w:tr>
      <w:tr>
        <w:trPr>
          <w:trHeight w:val="165"/>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investing activities from continuing operations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11,990</w:t>
            </w:r>
          </w:p>
        </w:tc>
        <w:tc>
          <w:tcPr>
            <w:tcW w:w="40" w:type="dxa"/>
            <w:vAlign w:val="bottom"/>
          </w:tcPr>
          <w:p>
            <w:pPr>
              <w:spacing w:after="0"/>
              <w:rPr>
                <w:sz w:val="14"/>
                <w:szCs w:val="14"/>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of capital lease obligations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40" w:type="dxa"/>
            <w:vAlign w:val="bottom"/>
            <w:tcBorders>
              <w:bottom w:val="single" w:sz="8" w:color="CCEEFF"/>
            </w:tcBorders>
          </w:tcPr>
          <w:p>
            <w:pPr>
              <w:spacing w:after="0"/>
              <w:rPr>
                <w:sz w:val="15"/>
                <w:szCs w:val="15"/>
                <w:color w:val="auto"/>
              </w:rPr>
            </w:pPr>
          </w:p>
        </w:tc>
      </w:tr>
      <w:tr>
        <w:trPr>
          <w:trHeight w:val="16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 from continuing operations</w:t>
            </w:r>
          </w:p>
        </w:tc>
        <w:tc>
          <w:tcPr>
            <w:tcW w:w="6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40" w:type="dxa"/>
            <w:vAlign w:val="bottom"/>
            <w:shd w:val="clear" w:color="auto" w:fill="CCEEFF"/>
          </w:tcPr>
          <w:p>
            <w:pPr>
              <w:spacing w:after="0"/>
              <w:rPr>
                <w:sz w:val="14"/>
                <w:szCs w:val="14"/>
                <w:color w:val="auto"/>
              </w:rPr>
            </w:pPr>
          </w:p>
        </w:tc>
      </w:tr>
      <w:tr>
        <w:trPr>
          <w:trHeight w:val="164"/>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 of discontinued operations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(5,875)</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 of discontinued operations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 of discontinued operations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in discontinued operations</w:t>
            </w:r>
          </w:p>
        </w:tc>
        <w:tc>
          <w:tcPr>
            <w:tcW w:w="6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40" w:type="dxa"/>
            <w:vAlign w:val="bottom"/>
            <w:tcBorders>
              <w:bottom w:val="single" w:sz="8" w:color="CCEEFF"/>
            </w:tcBorders>
          </w:tcPr>
          <w:p>
            <w:pPr>
              <w:spacing w:after="0"/>
              <w:rPr>
                <w:sz w:val="14"/>
                <w:szCs w:val="14"/>
                <w:color w:val="auto"/>
              </w:rPr>
            </w:pPr>
          </w:p>
        </w:tc>
      </w:tr>
      <w:tr>
        <w:trPr>
          <w:trHeight w:val="16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37,205</w:t>
            </w:r>
          </w:p>
        </w:tc>
        <w:tc>
          <w:tcPr>
            <w:tcW w:w="40" w:type="dxa"/>
            <w:vAlign w:val="bottom"/>
            <w:shd w:val="clear" w:color="auto" w:fill="CCEEFF"/>
          </w:tcPr>
          <w:p>
            <w:pPr>
              <w:spacing w:after="0"/>
              <w:rPr>
                <w:sz w:val="14"/>
                <w:szCs w:val="14"/>
                <w:color w:val="auto"/>
              </w:rPr>
            </w:pPr>
          </w:p>
        </w:tc>
      </w:tr>
      <w:tr>
        <w:trPr>
          <w:trHeight w:val="173"/>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79,904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79,904</w:t>
            </w:r>
          </w:p>
        </w:tc>
        <w:tc>
          <w:tcPr>
            <w:tcW w:w="40" w:type="dxa"/>
            <w:vAlign w:val="bottom"/>
            <w:tcBorders>
              <w:bottom w:val="single" w:sz="8" w:color="CCEEFF"/>
            </w:tcBorders>
          </w:tcPr>
          <w:p>
            <w:pPr>
              <w:spacing w:after="0"/>
              <w:rPr>
                <w:sz w:val="15"/>
                <w:szCs w:val="15"/>
                <w:color w:val="auto"/>
              </w:rPr>
            </w:pPr>
          </w:p>
        </w:tc>
      </w:tr>
      <w:tr>
        <w:trPr>
          <w:trHeight w:val="18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117,109</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117,109</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55"/>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net during the period for:</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activities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investments, net of deferred tax expense of $19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5"/>
                <w:szCs w:val="15"/>
                <w:color w:val="auto"/>
              </w:rPr>
            </w:pP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from share-based liability compensation to equity</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40" w:type="dxa"/>
            <w:vAlign w:val="bottom"/>
            <w:shd w:val="clear" w:color="auto" w:fill="CCEEFF"/>
          </w:tcPr>
          <w:p>
            <w:pPr>
              <w:spacing w:after="0"/>
              <w:rPr>
                <w:sz w:val="15"/>
                <w:szCs w:val="15"/>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40" w:type="dxa"/>
            <w:vAlign w:val="bottom"/>
            <w:shd w:val="clear" w:color="auto" w:fill="CCEEFF"/>
          </w:tcPr>
          <w:p>
            <w:pPr>
              <w:spacing w:after="0"/>
              <w:rPr>
                <w:sz w:val="15"/>
                <w:szCs w:val="15"/>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6" w:name="page27"/>
    <w:bookmarkEnd w:id="26"/>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2018, as updated by our subsequent filings under the Securities and Exchange Act of 1934, as amended (“the Exchange Act”).</w:t>
      </w:r>
    </w:p>
    <w:p>
      <w:pPr>
        <w:spacing w:after="0" w:line="158"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5"/>
          <w:szCs w:val="15"/>
          <w:color w:val="auto"/>
        </w:rPr>
        <w:t>Unless required by law, we expressly disclaim any obligation to update publicly any forward-looking statements, whether as result of new information, future events or otherwise.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201"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5"/>
          <w:szCs w:val="15"/>
          <w:color w:val="auto"/>
        </w:rPr>
        <w:t>The following should be read in conjunction with the critical accounting estimates presented in our Annual Report on Form 10-K for the fiscal year ended April 30, 2018.</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warranty liabilities,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5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auto"/>
        </w:rPr>
        <w:t xml:space="preserve">In the first quarter of our fiscal 2019, we adopted ASU 2014-09,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(Topic 606), using the full retrospective method. Topic 606 requires revenue to be recognized when promised goods or services are transferred to customers in amounts that reflect the consideration to which we expect to be entitled in exchange for those goods or services.</w:t>
      </w:r>
    </w:p>
    <w:p>
      <w:pPr>
        <w:spacing w:after="0" w:line="14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5"/>
          <w:szCs w:val="15"/>
          <w:color w:val="auto"/>
        </w:rPr>
        <w:t>Revenue for small unmanned aircraft systems (“UAS”) product contracts with both the U.S. government and foreign government’s under the new standard revenue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generally accepted accounting principles (U.S. GAAP), revenue was generally recognized when deliveries of the related products were made. The new standard accelerates the timing of when the revenue is recognized, however, it does not change the total amount of revenue recognized on these contracts. The new standard does not affect revenue recognition for our Customer-Funded Research and Development (“R&amp;D”) contracts. We continue to recognize revenue for these contracts over time as costs are incurred.</w:t>
      </w:r>
    </w:p>
    <w:p>
      <w:pPr>
        <w:spacing w:after="0" w:line="15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5"/>
          <w:szCs w:val="15"/>
          <w:color w:val="auto"/>
        </w:rPr>
        <w:t>We review cost performance and estimates-to-complete at least quarterly and in many cases more frequently. Adjustments to original estimates for a contract’s revenue, estimated costs at completion and estimated profit or loss are</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six months ended October 27, 2018 and October 28, 2017, changes in accounting estimates on contracts recognized over time are presented below.</w:t>
      </w:r>
    </w:p>
    <w:p>
      <w:pPr>
        <w:spacing w:after="0" w:line="151"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5"/>
          <w:szCs w:val="15"/>
          <w:color w:val="auto"/>
        </w:rPr>
        <w:t>For the three months ended October 27, 2018 and October 28, 2017, favorable and unfavorable cumulative catch-up adjustments included in revenue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October 27,</w:t>
            </w: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89"/>
              <w:spacing w:after="0" w:line="109" w:lineRule="exact"/>
              <w:rPr>
                <w:sz w:val="20"/>
                <w:szCs w:val="20"/>
                <w:color w:val="auto"/>
              </w:rPr>
            </w:pPr>
            <w:r>
              <w:rPr>
                <w:rFonts w:ascii="Times New Roman" w:cs="Times New Roman" w:eastAsia="Times New Roman" w:hAnsi="Times New Roman"/>
                <w:sz w:val="12"/>
                <w:szCs w:val="12"/>
                <w:b w:val="1"/>
                <w:bCs w:val="1"/>
                <w:color w:val="auto"/>
              </w:rPr>
              <w:t>October 28,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3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favorable adjustments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Gross unfavorable adjustments</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(1,686)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favorable adjustments</w:t>
            </w:r>
          </w:p>
        </w:tc>
        <w:tc>
          <w:tcPr>
            <w:tcW w:w="2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5"/>
          <w:szCs w:val="15"/>
          <w:color w:val="auto"/>
        </w:rPr>
        <w:t>For the three months ended October 27, 2018, favorable cumulative catch-up adjustments of $0.4 million were primarily due to final cost adjustments on 16 contracts, which individually were not material. For the same period, unfavorable cumulative catch-up adjustments of $0.3 million were primarily related to higher than expected costs on 24 contracts, which individually were not material.</w:t>
      </w:r>
    </w:p>
    <w:p>
      <w:pPr>
        <w:spacing w:after="0" w:line="14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auto"/>
        </w:rPr>
        <w:t>For the three months ended October 28, 2017, favorable cumulative catch-up adjustments of $2.0 million were primarily due to final cost adjustments on three contracts, which individually were not material. For the same period, unfavorable cumulative catch-up adjustments of $1.7 million were primarily related to higher than expected costs on five contracts, which individually were not material.</w:t>
      </w:r>
    </w:p>
    <w:p>
      <w:pPr>
        <w:spacing w:after="0" w:line="147"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5"/>
          <w:szCs w:val="15"/>
          <w:color w:val="auto"/>
        </w:rPr>
        <w:t>For the six months ended October 28, 2017 and October 28, 2017, favorable and unfavorable cumulative catch-up adjustments included in cost of sales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92"/>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110"/>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3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favorable adjustments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Gross unfavorable adjustments</w:t>
            </w:r>
          </w:p>
        </w:tc>
        <w:tc>
          <w:tcPr>
            <w:tcW w:w="24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(1,498)</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favorable adjustments</w:t>
            </w:r>
          </w:p>
        </w:tc>
        <w:tc>
          <w:tcPr>
            <w:tcW w:w="2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auto"/>
        </w:rPr>
        <w:t>For the six months ended October 27, 2018, favorable cumulative catch-up adjustments of $0.6 million were primarily due to final cost adjustments on nine contracts, which individually were not material. For the same period, unfavorable cumulative catch-up adjustments of $0.5 million were primarily related to higher than expected costs on 18 contracts, which individually were not material.</w:t>
      </w:r>
    </w:p>
    <w:p>
      <w:pPr>
        <w:spacing w:after="0" w:line="14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auto"/>
        </w:rPr>
        <w:t>For the six months ended October 28, 2017, favorable cumulative catch-up adjustments of $0.7 million were primarily due to final cost adjustments on seven contracts, which individually were not material. For the same period, unfavorable cumulative catch-up adjustments of $1.5 million were primarily related to higher than expected costs on six contracts, which individually were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Fiscal Periods</w:t>
      </w:r>
    </w:p>
    <w:p>
      <w:pPr>
        <w:spacing w:after="0" w:line="201" w:lineRule="exact"/>
        <w:rPr>
          <w:sz w:val="20"/>
          <w:szCs w:val="20"/>
          <w:color w:val="auto"/>
        </w:rPr>
      </w:pPr>
    </w:p>
    <w:p>
      <w:pPr>
        <w:jc w:val="both"/>
        <w:ind w:right="240"/>
        <w:spacing w:after="0" w:line="275" w:lineRule="auto"/>
        <w:rPr>
          <w:sz w:val="20"/>
          <w:szCs w:val="20"/>
          <w:color w:val="auto"/>
        </w:rPr>
      </w:pPr>
      <w:r>
        <w:rPr>
          <w:rFonts w:ascii="Times New Roman" w:cs="Times New Roman" w:eastAsia="Times New Roman" w:hAnsi="Times New Roman"/>
          <w:sz w:val="15"/>
          <w:szCs w:val="15"/>
          <w:color w:val="auto"/>
        </w:rPr>
        <w:t>Due to our fixed year end date of April 30, our first and fourth quarters each consist of approximately 13 weeks. The second and third quarters each consist of exactly 13 weeks. Our first three quarters end on a Saturday. Our 2019 fiscal year ends on April 30, 2019 and our fiscal quarters end on July 28, 2018, October 27, 2018 and January 26, 2019,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8" w:name="page29"/>
    <w:bookmarkEnd w:id="28"/>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our revenue and gross margin generated for the periods indicated (in thousands):</w:t>
      </w:r>
    </w:p>
    <w:p>
      <w:pPr>
        <w:spacing w:after="0" w:line="1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b w:val="1"/>
          <w:bCs w:val="1"/>
          <w:i w:val="1"/>
          <w:iCs w:val="1"/>
          <w:color w:val="auto"/>
        </w:rPr>
        <w:t>Three Months Ended October 27, 2018 Compared to Three Months Ended October 28, 2017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2"/>
          </w:tcPr>
          <w:p>
            <w:pPr>
              <w:ind w:left="40"/>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106"/>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72,979</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44,580</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35,658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28,399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8,109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income, net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expense, net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from continuing operations before income taxes</w:t>
            </w: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9,003</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method investment activity, net of tax</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(752)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7,040</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Revenue. </w:t>
      </w:r>
      <w:r>
        <w:rPr>
          <w:rFonts w:ascii="Times New Roman" w:cs="Times New Roman" w:eastAsia="Times New Roman" w:hAnsi="Times New Roman"/>
          <w:sz w:val="15"/>
          <w:szCs w:val="15"/>
          <w:color w:val="auto"/>
        </w:rPr>
        <w:t>Revenue for the three months ended October 27, 2018 was $73.0 million, as compared to $65.8 million for the three months ended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October 28, 2017, representing an increase of $7.2 million, or 11%. The increase in revenue was due to an increase in service revenue of $8.5 million, partially offset by a decrease in product deliveries of $1.3 million. The increase in service revenue was primarily due to an increase in customer-funded R&amp;D primarily associated with the HAPSMobile design and development agreement (“DDA”) and an increase in services for TMS and TMS variant programs. The decrease in product deliveries was primarily due to a decrease in product deliveries of small UAS, partially offset by an increase in product deliveries of TMS.</w:t>
      </w:r>
    </w:p>
    <w:p>
      <w:pPr>
        <w:spacing w:after="0" w:line="1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Cost of Sales. </w:t>
      </w:r>
      <w:r>
        <w:rPr>
          <w:rFonts w:ascii="Times New Roman" w:cs="Times New Roman" w:eastAsia="Times New Roman" w:hAnsi="Times New Roman"/>
          <w:sz w:val="15"/>
          <w:szCs w:val="15"/>
          <w:color w:val="auto"/>
        </w:rPr>
        <w:t>Cost of sales for the three months ended October 27, 2018 was $44.6 million, as compared to $35.7 million for the three months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ended October 28, 2017, representing an increase of $8.9 million, or 25%. The increase in cost of sales was a result of an increase in service costs of sales of $7.5 million and an increase in product cost of sales of $1.4 million. The increase in service costs of sales was primarily due to the increase in service revenue and unfavorable mix. The increase in product costs was primarily due to an unfavorable product mix. As a percentage of revenue, cost of sales increased from 54% to 61%, primarily due to an increase in the proportion of service revenue to total revenue and an unfavorable mix.</w:t>
      </w:r>
    </w:p>
    <w:p>
      <w:pPr>
        <w:spacing w:after="0" w:line="33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Gross Margin. </w:t>
      </w:r>
      <w:r>
        <w:rPr>
          <w:rFonts w:ascii="Times New Roman" w:cs="Times New Roman" w:eastAsia="Times New Roman" w:hAnsi="Times New Roman"/>
          <w:sz w:val="15"/>
          <w:szCs w:val="15"/>
          <w:color w:val="auto"/>
        </w:rPr>
        <w:t>Gross margin for the three months ended October 27, 2018 was $28.4 million, as compared to $30.1 million for the three months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ended October 28, 2017, representing a decrease of $1.7 million, or 6%. The decrease in gross margin was primarily due to a decrease in product margin of $2.7 million, partially offset by an increase in service margin of $1.0 million. The decrease in product margin was primarily due to an unfavorable product mix and a decrease in product deliveries. The increase in service margin was primarily due to an increase in service revenue, partially offset by an unfavorable mix. As a percentage of revenue, gross margin decreased from 46% to 39%, primarily due to an increase in the proportion of service deliveries to total revenue and an unfavorable mix.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Selling, general and administrative (“SG&amp;A”) expense for the three months ended October 27, 2018 was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$13.6 million, or 19% of revenue, compared to SG&amp;A expense of $12.8 million, or 19% of revenue, for the three months ended October 28, 2017.</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increase in SG&amp;A expense was primarily due to an increase in a number of miscellaneous expenses that were not individually significant.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9" w:name="page30"/>
    <w:bookmarkEnd w:id="29"/>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Research and Development. </w:t>
      </w:r>
      <w:r>
        <w:rPr>
          <w:rFonts w:ascii="Times New Roman" w:cs="Times New Roman" w:eastAsia="Times New Roman" w:hAnsi="Times New Roman"/>
          <w:sz w:val="15"/>
          <w:szCs w:val="15"/>
          <w:color w:val="auto"/>
        </w:rPr>
        <w:t>R&amp;D expense for the three months ended October 27, 2018 was $8.1 million, or 11% of revenue, compared to R&amp;D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expense of $6.8 million, or 10% of revenue, for the three months ended October 28, 2017. R&amp;D expense increased by $1.3 million, or 18%, for the three months ended October 27, 2018, primarily due to an increase in development activities for certain strategic initiatives.</w:t>
      </w:r>
    </w:p>
    <w:p>
      <w:pPr>
        <w:spacing w:after="0" w:line="140"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Interest Income, net. </w:t>
      </w:r>
      <w:r>
        <w:rPr>
          <w:rFonts w:ascii="Times New Roman" w:cs="Times New Roman" w:eastAsia="Times New Roman" w:hAnsi="Times New Roman"/>
          <w:sz w:val="15"/>
          <w:szCs w:val="15"/>
          <w:color w:val="auto"/>
        </w:rPr>
        <w:t>Interest income, net for the three months ended October 27, 2018 was $1.1 million compared to interest income, net of $0.4</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million for the three months ended October 28, 2017. The increase in interest income was primarily due to an increase in the interest rates earned on our investment portfolio.</w:t>
      </w:r>
    </w:p>
    <w:p>
      <w:pPr>
        <w:spacing w:after="0" w:line="140" w:lineRule="exact"/>
        <w:rPr>
          <w:sz w:val="20"/>
          <w:szCs w:val="20"/>
          <w:color w:val="auto"/>
        </w:rPr>
      </w:pPr>
    </w:p>
    <w:p>
      <w:pPr>
        <w:jc w:val="both"/>
        <w:ind w:right="34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Other Income, net. </w:t>
      </w:r>
      <w:r>
        <w:rPr>
          <w:rFonts w:ascii="Times New Roman" w:cs="Times New Roman" w:eastAsia="Times New Roman" w:hAnsi="Times New Roman"/>
          <w:sz w:val="15"/>
          <w:szCs w:val="15"/>
          <w:color w:val="auto"/>
        </w:rPr>
        <w:t>Other income, net, for the three months ended October 27, 2018 was $1.3 million compared to other expense, net of $0.1</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million for the three months ended October 28, 2017. The increase in other income, net was primarily due to income earned under a transition services agreement with the buyer of our former efficient energy systems business segment (“EES Business”).</w:t>
      </w:r>
    </w:p>
    <w:p>
      <w:pPr>
        <w:spacing w:after="0" w:line="14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Provision for Income Taxes. </w:t>
      </w:r>
      <w:r>
        <w:rPr>
          <w:rFonts w:ascii="Times New Roman" w:cs="Times New Roman" w:eastAsia="Times New Roman" w:hAnsi="Times New Roman"/>
          <w:sz w:val="15"/>
          <w:szCs w:val="15"/>
          <w:color w:val="auto"/>
        </w:rPr>
        <w:t>Our effective income tax rate was 13.5% for the three months ended October 27, 2018, as compared to 30.8% for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three months ended October 28, 2017. The decrease in effective income tax rate was primarily due to the reduction in the fiscal 2019 federal statutory rate from 35% to 21% resulting from the Tax Cuts and Jobs Act of 2017 (the “Tax Act”).</w:t>
      </w:r>
    </w:p>
    <w:p>
      <w:pPr>
        <w:spacing w:after="0" w:line="14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Equity Method Investment Activity, net of tax. </w:t>
      </w:r>
      <w:r>
        <w:rPr>
          <w:rFonts w:ascii="Times New Roman" w:cs="Times New Roman" w:eastAsia="Times New Roman" w:hAnsi="Times New Roman"/>
          <w:sz w:val="15"/>
          <w:szCs w:val="15"/>
          <w:color w:val="auto"/>
        </w:rPr>
        <w:t>Equity method investment activity, net of tax for the three months ended October 27, 2018 was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loss of $0.8 million compared to no equity method investment activity, net of tax activity for the three months ended October 28, 2017. The increase was due to the equity method loss associated with our investment in the HAPSMobile joint venture formed in December 2017.</w:t>
      </w:r>
    </w:p>
    <w:p>
      <w:pPr>
        <w:spacing w:after="0" w:line="14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5"/>
          <w:szCs w:val="15"/>
          <w:b w:val="1"/>
          <w:bCs w:val="1"/>
          <w:i w:val="1"/>
          <w:iCs w:val="1"/>
          <w:color w:val="auto"/>
        </w:rPr>
        <w:t>Six Months Ended October 27, 2018 Compared to Six Months Ended October 28, 2017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86"/>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106"/>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7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90,034</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60,988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25,602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14,544</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12,386</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20,842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income, net</w:t>
            </w:r>
          </w:p>
        </w:tc>
        <w:tc>
          <w:tcPr>
            <w:tcW w:w="1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Other expense, net</w:t>
            </w:r>
          </w:p>
        </w:tc>
        <w:tc>
          <w:tcPr>
            <w:tcW w:w="1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from continuing operations before income taxes</w:t>
            </w: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method investment activity, net of tax</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from continuing operations</w:t>
            </w:r>
          </w:p>
        </w:tc>
        <w:tc>
          <w:tcPr>
            <w:tcW w:w="17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27,363</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Revenue. </w:t>
      </w:r>
      <w:r>
        <w:rPr>
          <w:rFonts w:ascii="Times New Roman" w:cs="Times New Roman" w:eastAsia="Times New Roman" w:hAnsi="Times New Roman"/>
          <w:sz w:val="15"/>
          <w:szCs w:val="15"/>
          <w:color w:val="auto"/>
        </w:rPr>
        <w:t>Revenue for the six months ended October 27, 2018 was $151.0 million, as compared to $100.2 million for the six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2017, representing an increase of $50.8 million, or 51%. The increase in revenue was due an increase in product deliveries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$35.1 million and an increase in service revenue of $15.7 million. The increase in product deliveries was primarily due to an increase in product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deliveries of small UAS and an increase in product deliveries of TMS. During the six months ended October 27, 2018, we continued to experience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expansion in small UAS product deliveries to international customers. The increase in service revenue was primarily due to an increase 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customer-funded R&amp;D primarily associated with the HAPSMobile DDA and services for TMS and TMS variant programs, partially offset by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decreases in sustainment activities in support of small UAS.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0" w:name="page31"/>
    <w:bookmarkEnd w:id="30"/>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Cost of Sales. </w:t>
      </w:r>
      <w:r>
        <w:rPr>
          <w:rFonts w:ascii="Times New Roman" w:cs="Times New Roman" w:eastAsia="Times New Roman" w:hAnsi="Times New Roman"/>
          <w:sz w:val="15"/>
          <w:szCs w:val="15"/>
          <w:color w:val="auto"/>
        </w:rPr>
        <w:t>Cost of sales for the six months ended October 27, 2018 was $90.0 million, as compared to $61.3 million for the six months ended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October 28, 2017, representing an increase of $28.7 million, or 47%. The increase in cost of sales was a result of an increase in product cost of sales of $15.2 million and an increase in service costs of sales of $13.5 million. The increase in product costs was primarily due to the increase in product deliveries. The increase in service costs of sales was primarily due to the increase in service revenue and unfavorable mix. As a percentage of revenue, cost of sales decreased from 61% to 60%, primarily due to an increase in sales volume, which resulted in an decrease in the per unit fixed manufacturing and engineering overhead support cost.</w:t>
      </w:r>
    </w:p>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Gross Margin. </w:t>
      </w:r>
      <w:r>
        <w:rPr>
          <w:rFonts w:ascii="Times New Roman" w:cs="Times New Roman" w:eastAsia="Times New Roman" w:hAnsi="Times New Roman"/>
          <w:sz w:val="15"/>
          <w:szCs w:val="15"/>
          <w:color w:val="auto"/>
        </w:rPr>
        <w:t>Gross margin for the six months ended October 27, 2018 was $61.0 million, as compared to $38.8 million for the six months ended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October 28, 2017, representing an increase of $22.2 million, or 57%. The increase in gross margin was primarily due to an increase in product margin of $20.0 million and an increase in service margin of $2.2 million. The increase in product margin was primarily due to an increase in product deliveries. The increase in service margin was primarily due to an increase in service revenue, partially offset by unfavorable mix. As a percentage of revenue, gross margin increased from 39% to 40%, primarily due to an increase in sales volume, which resulted in an decrease in the per unit fixed manufacturing and engineering overhead support cost.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Selling, general and administrative (“SG&amp;A”) expense for the six months ended October 27, 2018 was</w:t>
      </w:r>
    </w:p>
    <w:p>
      <w:pPr>
        <w:spacing w:after="0" w:line="3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$25.6 million, or 17% of revenue, compared to SG&amp;A expense of $24.1 million, or 24% of revenue, for the six months ended October 28, 2017. The increase in SG&amp;A expense was primarily due to an increase in corporate development expenses primarily related to the sale of our EES business and an increase in employee related costs, partially offset by a decrease in litigation-related expenses and a decrease in bad debt expense.</w:t>
      </w:r>
    </w:p>
    <w:p>
      <w:pPr>
        <w:spacing w:after="0" w:line="15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Research and Development. </w:t>
      </w:r>
      <w:r>
        <w:rPr>
          <w:rFonts w:ascii="Times New Roman" w:cs="Times New Roman" w:eastAsia="Times New Roman" w:hAnsi="Times New Roman"/>
          <w:sz w:val="15"/>
          <w:szCs w:val="15"/>
          <w:color w:val="auto"/>
        </w:rPr>
        <w:t>R&amp;D expense for the six months ended October 27, 2018 was $14.5 million, or 10% of revenue, compared to R&amp;D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expense of $12.4 million, or 12% of revenue, for the six months ended October 28, 2017. R&amp;D expense increased by $2.2 million, or 17%, for the six months ended October 27, 2018, primarily due to an increase in development activities for certain strategic initiatives.</w:t>
      </w:r>
    </w:p>
    <w:p>
      <w:pPr>
        <w:spacing w:after="0" w:line="14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Interest Income, net. </w:t>
      </w:r>
      <w:r>
        <w:rPr>
          <w:rFonts w:ascii="Times New Roman" w:cs="Times New Roman" w:eastAsia="Times New Roman" w:hAnsi="Times New Roman"/>
          <w:sz w:val="15"/>
          <w:szCs w:val="15"/>
          <w:color w:val="auto"/>
        </w:rPr>
        <w:t>Interest income, net for the six months ended October 27, 2018 was $2.0 million compared to interest income, net of $0.9</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million for the six months ended October 28, 2017. The increase in interest income was primarily due to an increase in the interest rates earned on our investment portfolio.</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Other Income, net. </w:t>
      </w:r>
      <w:r>
        <w:rPr>
          <w:rFonts w:ascii="Times New Roman" w:cs="Times New Roman" w:eastAsia="Times New Roman" w:hAnsi="Times New Roman"/>
          <w:sz w:val="15"/>
          <w:szCs w:val="15"/>
          <w:color w:val="auto"/>
        </w:rPr>
        <w:t>Other income, net, for the six months ended October 27, 2018 was $9.7 million compared to other expense, net of $0.1 million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the six months ended October 28, 2017. The increase in other income, net was primarily due to a litigation settlement and income earned under a transition services agreement with the buyer of our former EES Business.</w:t>
      </w:r>
    </w:p>
    <w:p>
      <w:pPr>
        <w:spacing w:after="0" w:line="14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Provision for Income Taxes. </w:t>
      </w:r>
      <w:r>
        <w:rPr>
          <w:rFonts w:ascii="Times New Roman" w:cs="Times New Roman" w:eastAsia="Times New Roman" w:hAnsi="Times New Roman"/>
          <w:sz w:val="15"/>
          <w:szCs w:val="15"/>
          <w:color w:val="auto"/>
        </w:rPr>
        <w:t>Our effective income tax rate was 11.6% for the six months ended October 27, 2018, as compared to 4.2% for the six</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months ended October 28, 2017. The increase in effective income tax rate was primarily due to an increase in income before income taxes, partially offset by the reduction in the fiscal 2019 federal statutory rate from 35% to 21% resulting from the Tax Act.</w:t>
      </w:r>
    </w:p>
    <w:p>
      <w:pPr>
        <w:spacing w:after="0" w:line="14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Equity Method Investment Activity, net of tax. </w:t>
      </w:r>
      <w:r>
        <w:rPr>
          <w:rFonts w:ascii="Times New Roman" w:cs="Times New Roman" w:eastAsia="Times New Roman" w:hAnsi="Times New Roman"/>
          <w:sz w:val="15"/>
          <w:szCs w:val="15"/>
          <w:color w:val="auto"/>
        </w:rPr>
        <w:t>Equity method investment activity, net of tax for the six months ended October 27, 2018 was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loss of $1.4 million compared to no equity method investment activity, net of tax activity for the six months ended October 28, 2017. The increase was due to the equity method loss associated with our investment in the HAPSMobile joint venture formed in December 2017.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Backlog</w:t>
      </w:r>
    </w:p>
    <w:p>
      <w:pPr>
        <w:spacing w:after="0" w:line="201"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5"/>
          <w:szCs w:val="15"/>
          <w:color w:val="auto"/>
        </w:rPr>
        <w:t>We define funded backlog as remaining performance obligations under firm orders for which funding is currently appropriated to us under a customer contract. As of October 27, 2018, our funded backlog was approximately $163.9 million.</w:t>
      </w:r>
    </w:p>
    <w:p>
      <w:pPr>
        <w:spacing w:after="0" w:line="132"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5"/>
          <w:szCs w:val="15"/>
          <w:color w:val="auto"/>
        </w:rPr>
        <w:t>In addition to our funded backlog, we also had unfunded backlog of $51.9 million as of October 27, 2018. Unfunded backlog does not meet the definition of a performance obligation under ASC Topic 606. We define unfunded backlog as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1" w:name="page32"/>
    <w:bookmarkEnd w:id="31"/>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seven companies in 2018, including AeroVironment, and we cannot be certain that we will receive task orders issued against the contract.</w:t>
      </w:r>
    </w:p>
    <w:p>
      <w:pPr>
        <w:spacing w:after="0" w:line="1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2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5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5"/>
          <w:szCs w:val="15"/>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and commercial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our cash flow data for the six months ended October 27, 2018 and October 28, 2017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4"/>
          </w:tcPr>
          <w:p>
            <w:pPr>
              <w:ind w:left="62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97"/>
        </w:trPr>
        <w:tc>
          <w:tcPr>
            <w:tcW w:w="64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333"/>
              <w:spacing w:after="0" w:line="97" w:lineRule="exact"/>
              <w:rPr>
                <w:sz w:val="20"/>
                <w:szCs w:val="20"/>
                <w:color w:val="auto"/>
              </w:rPr>
            </w:pPr>
            <w:r>
              <w:rPr>
                <w:rFonts w:ascii="Times New Roman" w:cs="Times New Roman" w:eastAsia="Times New Roman" w:hAnsi="Times New Roman"/>
                <w:sz w:val="11"/>
                <w:szCs w:val="11"/>
                <w:b w:val="1"/>
                <w:bCs w:val="1"/>
                <w:color w:val="auto"/>
              </w:rPr>
              <w:t>October 27,</w:t>
            </w:r>
          </w:p>
        </w:tc>
        <w:tc>
          <w:tcPr>
            <w:tcW w:w="3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190"/>
              <w:spacing w:after="0" w:line="97" w:lineRule="exact"/>
              <w:rPr>
                <w:sz w:val="20"/>
                <w:szCs w:val="20"/>
                <w:color w:val="auto"/>
              </w:rPr>
            </w:pPr>
            <w:r>
              <w:rPr>
                <w:rFonts w:ascii="Times New Roman" w:cs="Times New Roman" w:eastAsia="Times New Roman" w:hAnsi="Times New Roman"/>
                <w:sz w:val="11"/>
                <w:szCs w:val="11"/>
                <w:b w:val="1"/>
                <w:bCs w:val="1"/>
                <w:color w:val="auto"/>
              </w:rPr>
              <w:t>October 28,</w:t>
            </w:r>
          </w:p>
        </w:tc>
        <w:tc>
          <w:tcPr>
            <w:tcW w:w="80" w:type="dxa"/>
            <w:vAlign w:val="bottom"/>
          </w:tcPr>
          <w:p>
            <w:pPr>
              <w:spacing w:after="0"/>
              <w:rPr>
                <w:sz w:val="8"/>
                <w:szCs w:val="8"/>
                <w:color w:val="auto"/>
              </w:rPr>
            </w:pPr>
          </w:p>
        </w:tc>
      </w:tr>
      <w:tr>
        <w:trPr>
          <w:trHeight w:val="149"/>
        </w:trPr>
        <w:tc>
          <w:tcPr>
            <w:tcW w:w="6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2"/>
                <w:szCs w:val="12"/>
                <w:b w:val="1"/>
                <w:bCs w:val="1"/>
                <w:color w:val="auto"/>
              </w:rPr>
              <w:t>2018</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2"/>
                <w:szCs w:val="12"/>
                <w:color w:val="auto"/>
              </w:rPr>
            </w:pPr>
          </w:p>
        </w:tc>
      </w:tr>
      <w:tr>
        <w:trPr>
          <w:trHeight w:val="119"/>
        </w:trPr>
        <w:tc>
          <w:tcPr>
            <w:tcW w:w="6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5"/>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5"/>
                <w:szCs w:val="15"/>
                <w:color w:val="auto"/>
              </w:rPr>
              <w:t>2,657</w:t>
            </w: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29,994</w:t>
            </w:r>
          </w:p>
        </w:tc>
        <w:tc>
          <w:tcPr>
            <w:tcW w:w="80" w:type="dxa"/>
            <w:vAlign w:val="bottom"/>
            <w:shd w:val="clear" w:color="auto" w:fill="CCEEFF"/>
          </w:tcPr>
          <w:p>
            <w:pPr>
              <w:spacing w:after="0"/>
              <w:rPr>
                <w:sz w:val="16"/>
                <w:szCs w:val="16"/>
                <w:color w:val="auto"/>
              </w:rPr>
            </w:pPr>
          </w:p>
        </w:tc>
      </w:tr>
      <w:tr>
        <w:trPr>
          <w:trHeight w:val="185"/>
        </w:trPr>
        <w:tc>
          <w:tcPr>
            <w:tcW w:w="646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investing activities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5"/>
                <w:szCs w:val="15"/>
                <w:color w:val="auto"/>
              </w:rPr>
              <w:t>13,736</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11,990</w:t>
            </w:r>
          </w:p>
        </w:tc>
        <w:tc>
          <w:tcPr>
            <w:tcW w:w="80" w:type="dxa"/>
            <w:vAlign w:val="bottom"/>
          </w:tcPr>
          <w:p>
            <w:pPr>
              <w:spacing w:after="0"/>
              <w:rPr>
                <w:sz w:val="16"/>
                <w:szCs w:val="16"/>
                <w:color w:val="auto"/>
              </w:rPr>
            </w:pPr>
          </w:p>
        </w:tc>
      </w:tr>
      <w:tr>
        <w:trPr>
          <w:trHeight w:val="185"/>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5"/>
                <w:szCs w:val="15"/>
                <w:color w:val="auto"/>
              </w:rPr>
              <w:t>(1,015)</w:t>
            </w: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1,678</w:t>
            </w:r>
          </w:p>
        </w:tc>
        <w:tc>
          <w:tcPr>
            <w:tcW w:w="80" w:type="dxa"/>
            <w:vAlign w:val="bottom"/>
            <w:shd w:val="clear" w:color="auto" w:fill="CCEEFF"/>
          </w:tcPr>
          <w:p>
            <w:pPr>
              <w:spacing w:after="0"/>
              <w:rPr>
                <w:sz w:val="16"/>
                <w:szCs w:val="16"/>
                <w:color w:val="auto"/>
              </w:rPr>
            </w:pPr>
          </w:p>
        </w:tc>
      </w:tr>
    </w:tbl>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Cash Provided by Operating Activities. </w:t>
      </w:r>
      <w:r>
        <w:rPr>
          <w:rFonts w:ascii="Times New Roman" w:cs="Times New Roman" w:eastAsia="Times New Roman" w:hAnsi="Times New Roman"/>
          <w:sz w:val="15"/>
          <w:szCs w:val="15"/>
          <w:color w:val="auto"/>
        </w:rPr>
        <w:t>Net cash provided by operating activities for the six months ended October 27, 2018 decreased by $27.3</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million to $2.7 million, compared to net cash provided by operating activities of $30.0 million for the six months ended October 28, 2017. The decrease in net cash provided by operating activities was primarily due to a decrease in cash as a result of changes in operating assets and liabilities of $50.6 million, largely resulting from increases in unbilled receivables and retentions primarily due to the timing of revenue recognition and billings, partially offset by an increase in net income from continuing operations of $24.2 million.</w:t>
      </w:r>
    </w:p>
    <w:p>
      <w:pPr>
        <w:spacing w:after="0" w:line="14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Cash Provided by Investing Activities. </w:t>
      </w:r>
      <w:r>
        <w:rPr>
          <w:rFonts w:ascii="Times New Roman" w:cs="Times New Roman" w:eastAsia="Times New Roman" w:hAnsi="Times New Roman"/>
          <w:sz w:val="15"/>
          <w:szCs w:val="15"/>
          <w:color w:val="auto"/>
        </w:rPr>
        <w:t>Net cash provided by investing activities increased by $1.7 million to $13.7 million for the six months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ended October 27, 2018, compared to net cash provided by investing activities of $12.0 million for the six months ended October 28, 2017. The increase in net cash provided by investing activities was primarily due to proceeds from the sale of our EES Business of $32.0 million and an increase in redemptions of available-for-sale investments of $1.8 million, partially offset by a decrease in net redemptions and purchases of investments of $33.4 million.</w:t>
      </w:r>
    </w:p>
    <w:p>
      <w:pPr>
        <w:spacing w:after="0" w:line="14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 xml:space="preserve">Cash (Used in) Provided by Financing Activities. </w:t>
      </w:r>
      <w:r>
        <w:rPr>
          <w:rFonts w:ascii="Times New Roman" w:cs="Times New Roman" w:eastAsia="Times New Roman" w:hAnsi="Times New Roman"/>
          <w:sz w:val="15"/>
          <w:szCs w:val="15"/>
          <w:color w:val="auto"/>
        </w:rPr>
        <w:t>Net cash used in financing activities increased by $2.7 million to $1.0 million for the six months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ended October 27, 2018, compared to net cash provided by financing activities of $1.7 million for the six months ended October 28, 2017. The increase in cash used in financing activities was primarily due to a decrease in cash provided from the exercise of employee stock options of $2.1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201"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5"/>
          <w:szCs w:val="15"/>
          <w:color w:val="auto"/>
        </w:rPr>
        <w:t>During the three and six months ended October 27, 2018, there were no material changes in our contractual obligations and commercial commitments from those disclosed in our Annual Report on Form 10-K for the fiscal year ended April 30, 2018.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76"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As of October 27, 2018, we had no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balance sheet arrangements as defined in Item 303(a)(4) of the SEC’s Regulation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Inflation</w:t>
      </w:r>
    </w:p>
    <w:p>
      <w:pPr>
        <w:spacing w:after="0" w:line="201"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5"/>
          <w:szCs w:val="15"/>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Accounting Standards</w:t>
      </w:r>
    </w:p>
    <w:p>
      <w:pPr>
        <w:spacing w:after="0" w:line="201"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5"/>
          <w:szCs w:val="15"/>
          <w:color w:val="auto"/>
        </w:rPr>
        <w:t>Please refer to Note 1 “Organization and Significant Accounting Policies” to our unaudited consolidated financial statements in Part I, Item 1 of this Quarterly Report on Form 10-Q for a discussion of new accounting pronouncements and accounting pronouncements adopted during the six months ended October 27, 2018.</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3" w:name="page34"/>
    <w:bookmarkEnd w:id="33"/>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201" w:lineRule="exact"/>
        <w:rPr>
          <w:sz w:val="20"/>
          <w:szCs w:val="20"/>
          <w:color w:val="auto"/>
        </w:rPr>
      </w:pPr>
    </w:p>
    <w:p>
      <w:pPr>
        <w:ind w:right="459"/>
        <w:spacing w:after="0" w:line="294" w:lineRule="auto"/>
        <w:rPr>
          <w:sz w:val="20"/>
          <w:szCs w:val="20"/>
          <w:color w:val="auto"/>
        </w:rPr>
      </w:pPr>
      <w:r>
        <w:rPr>
          <w:rFonts w:ascii="Times New Roman" w:cs="Times New Roman" w:eastAsia="Times New Roman" w:hAnsi="Times New Roman"/>
          <w:sz w:val="15"/>
          <w:szCs w:val="15"/>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 is our policy not to enter into interest rate derivative financial instruments. We do not currently have any significant interest rate exposure.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Rate Risk</w:t>
      </w:r>
    </w:p>
    <w:p>
      <w:pPr>
        <w:spacing w:after="0" w:line="201" w:lineRule="exact"/>
        <w:rPr>
          <w:sz w:val="20"/>
          <w:szCs w:val="20"/>
          <w:color w:val="auto"/>
        </w:rPr>
      </w:pPr>
    </w:p>
    <w:p>
      <w:pPr>
        <w:jc w:val="both"/>
        <w:ind w:right="59"/>
        <w:spacing w:after="0" w:line="275" w:lineRule="auto"/>
        <w:rPr>
          <w:sz w:val="20"/>
          <w:szCs w:val="20"/>
          <w:color w:val="auto"/>
        </w:rPr>
      </w:pPr>
      <w:r>
        <w:rPr>
          <w:rFonts w:ascii="Times New Roman" w:cs="Times New Roman" w:eastAsia="Times New Roman" w:hAnsi="Times New Roman"/>
          <w:sz w:val="15"/>
          <w:szCs w:val="15"/>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Controls and Procedures</w:t>
      </w:r>
    </w:p>
    <w:p>
      <w:pPr>
        <w:spacing w:after="0" w:line="201" w:lineRule="exact"/>
        <w:rPr>
          <w:sz w:val="20"/>
          <w:szCs w:val="20"/>
          <w:color w:val="auto"/>
        </w:rPr>
      </w:pPr>
    </w:p>
    <w:p>
      <w:pPr>
        <w:ind w:right="39"/>
        <w:spacing w:after="0" w:line="269" w:lineRule="auto"/>
        <w:rPr>
          <w:sz w:val="20"/>
          <w:szCs w:val="20"/>
          <w:color w:val="auto"/>
        </w:rPr>
      </w:pPr>
      <w:r>
        <w:rPr>
          <w:rFonts w:ascii="Times New Roman" w:cs="Times New Roman" w:eastAsia="Times New Roman" w:hAnsi="Times New Roman"/>
          <w:sz w:val="15"/>
          <w:szCs w:val="15"/>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1" w:lineRule="exact"/>
        <w:rPr>
          <w:sz w:val="20"/>
          <w:szCs w:val="20"/>
          <w:color w:val="auto"/>
        </w:rPr>
      </w:pPr>
    </w:p>
    <w:p>
      <w:pPr>
        <w:jc w:val="both"/>
        <w:ind w:right="39"/>
        <w:spacing w:after="0" w:line="275" w:lineRule="auto"/>
        <w:rPr>
          <w:sz w:val="20"/>
          <w:szCs w:val="20"/>
          <w:color w:val="auto"/>
        </w:rPr>
      </w:pPr>
      <w:r>
        <w:rPr>
          <w:rFonts w:ascii="Times New Roman" w:cs="Times New Roman" w:eastAsia="Times New Roman" w:hAnsi="Times New Roman"/>
          <w:sz w:val="15"/>
          <w:szCs w:val="15"/>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7" w:lineRule="exact"/>
        <w:rPr>
          <w:sz w:val="20"/>
          <w:szCs w:val="20"/>
          <w:color w:val="auto"/>
        </w:rPr>
      </w:pPr>
    </w:p>
    <w:p>
      <w:pPr>
        <w:ind w:right="59"/>
        <w:spacing w:after="0" w:line="275" w:lineRule="auto"/>
        <w:rPr>
          <w:sz w:val="20"/>
          <w:szCs w:val="20"/>
          <w:color w:val="auto"/>
        </w:rPr>
      </w:pPr>
      <w:r>
        <w:rPr>
          <w:rFonts w:ascii="Times New Roman" w:cs="Times New Roman" w:eastAsia="Times New Roman" w:hAnsi="Times New Roman"/>
          <w:sz w:val="15"/>
          <w:szCs w:val="15"/>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October 27, 2018, the end of the period covered by this Quarterly Report on Form 10-Q.</w:t>
      </w:r>
    </w:p>
    <w:p>
      <w:pPr>
        <w:spacing w:after="0" w:line="147" w:lineRule="exact"/>
        <w:rPr>
          <w:sz w:val="20"/>
          <w:szCs w:val="20"/>
          <w:color w:val="auto"/>
        </w:rPr>
      </w:pPr>
    </w:p>
    <w:p>
      <w:pPr>
        <w:ind w:right="299"/>
        <w:spacing w:after="0" w:line="275" w:lineRule="auto"/>
        <w:rPr>
          <w:sz w:val="20"/>
          <w:szCs w:val="20"/>
          <w:color w:val="auto"/>
        </w:rPr>
      </w:pPr>
      <w:r>
        <w:rPr>
          <w:rFonts w:ascii="Times New Roman" w:cs="Times New Roman" w:eastAsia="Times New Roman" w:hAnsi="Times New Roman"/>
          <w:sz w:val="15"/>
          <w:szCs w:val="15"/>
          <w:color w:val="auto"/>
        </w:rPr>
        <w:t>Based on the foregoing, our Chief Executive Officer and Chief Financial Officer concluded that, as of October 27, 2018, the end of the period covered by this Quarterly Report on Form 10-Q, our disclosure controls and procedures were effective and were operating at a reasonable assurance level.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201" w:lineRule="exact"/>
        <w:rPr>
          <w:sz w:val="20"/>
          <w:szCs w:val="20"/>
          <w:color w:val="auto"/>
        </w:rPr>
      </w:pPr>
    </w:p>
    <w:p>
      <w:pPr>
        <w:ind w:right="139"/>
        <w:spacing w:after="0" w:line="269" w:lineRule="auto"/>
        <w:rPr>
          <w:sz w:val="20"/>
          <w:szCs w:val="20"/>
          <w:color w:val="auto"/>
        </w:rPr>
      </w:pPr>
      <w:r>
        <w:rPr>
          <w:rFonts w:ascii="Times New Roman" w:cs="Times New Roman" w:eastAsia="Times New Roman" w:hAnsi="Times New Roman"/>
          <w:sz w:val="15"/>
          <w:szCs w:val="15"/>
          <w:color w:val="auto"/>
        </w:rPr>
        <w:t>There were no changes in our internal control over financial reporting or in other factors identified in connection with the evaluation required by paragraph (d) of Rules 13a-15 or 15d-15 under the Exchange Act that occurred during the quarter ended October 27, 2018 that have materially affected, or are reasonably likely to materially affect, our internal control over financial reporting (as defined in Rules 13a-15(f) and 15d-15(f) under the Exchange Act).</w:t>
      </w: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2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5"/>
          <w:szCs w:val="15"/>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Nawabi was subsequently dismissed as an individual defendant for the racial discrimination and wrongful terminations claims. On August 2, 2018, the defendants filed their answer to the complaint and a demurrer seeking dismissal of the whistle blower retaliation claim against Mr. Nawabi. The defendants filed a supplemental brief in support of the demurrer on October 23, 2018 and a supplemental reply in support of the demurrer on November 20, 2018. A hearing is scheduled for December 11, 2018 regarding the demurrer. Mr. Anderson is seeking special damages, general damages, punitive damages, attorneys’ fees and other relief the court deems just and proper. We believe the complaint contains legal claims that are without merit and will defend ourselves vigorously.</w:t>
      </w:r>
    </w:p>
    <w:p>
      <w:pPr>
        <w:spacing w:after="0" w:line="16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20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auto"/>
        </w:rPr>
        <w:t>Except as set forth below, there have been no material changes to the risk factors disclosed under Part I, Item 1A, “Risk Factors,” of our Annual Report on Form 10-K for the fiscal year ended April 30, 2018.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acquisition of the assets associated with our EES Business by Webasto may disrupt our business.</w:t>
      </w:r>
    </w:p>
    <w:p>
      <w:pPr>
        <w:spacing w:after="0" w:line="20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On June 1, 2018, we entered into an Asset Purchase Agreement (the “Purchase Agreement”) with Webasto Charging Systems, Inc. (“Webasto”), pursuant to which Webasto agreed to acquire certain properties, assets and rights used or previously held for use in connection with our EES Business. On June 29, 2018, we and Webasto entered into a Side Letter Agreement related to the Purchase Agreement (the “Letter Agreement”), pursuant to which we and Webasto agreed that the purchase price to be paid by Webasto to us at the closing of the transactions contemplated by the Purchase Agreement would be reduced by $6.5 million (the “Holdback Amount”) at closing, with such balance payable when we tendered certain consents of specified EES Business customers to Webasto. On June 29, 2018, we closed our disposition of the EES Business pursuant to the Purchase Agreement. As of November 21, 2018, we had not yet received the Holdback Amount from Webasto.</w:t>
      </w:r>
    </w:p>
    <w:p>
      <w:pPr>
        <w:spacing w:after="0" w:line="15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While we continue to provide transition services and other support to Webasto in connection with its acquisition of our EES Business, our post-closing activities and obligations under the Purchase Agreement and related transaction agreements may disrupt our sales and marketing or other business activities, including our relationships with customers, suppliers and other third parties, and divert management’s and our employees’ attention from our day-to-day operations, which may have an adverse impact on our financial performance. Further, in the event that we do not receive the Holdback Amount from Webasto or otherwise incur any further liabilities pursuant to the terms of the Purchase Agreement, our financial condition and results of operations may be negatively affected and the price per share of our common stock could decline.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could be the subject of future product liability suits or product recalls, which could harm our business.</w:t>
      </w:r>
    </w:p>
    <w:p>
      <w:pPr>
        <w:spacing w:after="0" w:line="20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 We also remain responsible for non-warranty costs of any recall of products we manufactured, sold 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auto"/>
        </w:rPr>
        <w:t>serviced prior to closing of our transaction with Webasto. In particular, on August 24, 2018, Webasto filed a recall report with the National Highway Traffic Safety Administration that named us as a brand of the affected equipment. To the extent we are obligated under the terms of the Purchase Agreement with Webasto or pursuant to applicable law for all or any portion of the costs incurred in connection with such recall, or any other such recall, our results of operations may be negatively affected.</w:t>
      </w:r>
    </w:p>
    <w:p>
      <w:pPr>
        <w:spacing w:after="0" w:line="1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While we maintain insurance coverage for product liability claims, our insurance may be inadequate to cover any such claims. Any successful claim could significantly harm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p>
    <w:p>
      <w:pPr>
        <w:spacing w:after="0" w:line="20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No shares were repurchased in the six months ended October 27, 2018. As of October 27, 2018, approximately $21.2 million remained authorized for future repurchases under this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ind w:left="10"/>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60" w:type="dxa"/>
            <w:vAlign w:val="bottom"/>
            <w:gridSpan w:val="8"/>
          </w:tcPr>
          <w:p>
            <w:pPr>
              <w:ind w:left="74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5"/>
                <w:szCs w:val="15"/>
                <w:color w:val="auto"/>
                <w:w w:val="99"/>
              </w:rPr>
              <w:t>3.1(1)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60" w:type="dxa"/>
            <w:vAlign w:val="bottom"/>
            <w:tcBorders>
              <w:top w:val="single" w:sz="8" w:color="auto"/>
            </w:tcBorders>
            <w:gridSpan w:val="10"/>
          </w:tcPr>
          <w:p>
            <w:pPr>
              <w:spacing w:after="0" w:line="142" w:lineRule="exact"/>
              <w:rPr>
                <w:rFonts w:ascii="Times New Roman" w:cs="Times New Roman" w:eastAsia="Times New Roman" w:hAnsi="Times New Roman"/>
                <w:sz w:val="15"/>
                <w:szCs w:val="15"/>
                <w:color w:val="0000EE"/>
              </w:rPr>
            </w:pPr>
            <w:hyperlink r:id="rId44">
              <w:r>
                <w:rPr>
                  <w:rFonts w:ascii="Times New Roman" w:cs="Times New Roman" w:eastAsia="Times New Roman" w:hAnsi="Times New Roman"/>
                  <w:sz w:val="15"/>
                  <w:szCs w:val="15"/>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153"/>
        </w:trPr>
        <w:tc>
          <w:tcPr>
            <w:tcW w:w="82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5"/>
                <w:szCs w:val="15"/>
                <w:color w:val="auto"/>
                <w:w w:val="99"/>
              </w:rPr>
              <w:t>3.2(2)</w:t>
            </w:r>
          </w:p>
        </w:tc>
        <w:tc>
          <w:tcPr>
            <w:tcW w:w="180" w:type="dxa"/>
            <w:vAlign w:val="bottom"/>
          </w:tcPr>
          <w:p>
            <w:pPr>
              <w:spacing w:after="0"/>
              <w:rPr>
                <w:sz w:val="13"/>
                <w:szCs w:val="13"/>
                <w:color w:val="auto"/>
              </w:rPr>
            </w:pPr>
          </w:p>
        </w:tc>
        <w:tc>
          <w:tcPr>
            <w:tcW w:w="4660" w:type="dxa"/>
            <w:vAlign w:val="bottom"/>
            <w:tcBorders>
              <w:top w:val="single" w:sz="8" w:color="0000EE"/>
            </w:tcBorders>
            <w:gridSpan w:val="6"/>
          </w:tcPr>
          <w:p>
            <w:pPr>
              <w:spacing w:after="0" w:line="154" w:lineRule="exact"/>
              <w:rPr>
                <w:rFonts w:ascii="Times New Roman" w:cs="Times New Roman" w:eastAsia="Times New Roman" w:hAnsi="Times New Roman"/>
                <w:sz w:val="15"/>
                <w:szCs w:val="15"/>
                <w:color w:val="0000EE"/>
              </w:rPr>
            </w:pPr>
            <w:hyperlink r:id="rId45">
              <w:r>
                <w:rPr>
                  <w:rFonts w:ascii="Times New Roman" w:cs="Times New Roman" w:eastAsia="Times New Roman" w:hAnsi="Times New Roman"/>
                  <w:sz w:val="15"/>
                  <w:szCs w:val="15"/>
                  <w:color w:val="0000EE"/>
                </w:rPr>
                <w:t>Third Amended and Restated Bylaws of AeroVironment, Inc.</w:t>
              </w:r>
            </w:hyperlink>
          </w:p>
        </w:tc>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5"/>
                <w:szCs w:val="15"/>
                <w:color w:val="auto"/>
              </w:rPr>
              <w:t>10.1</w:t>
            </w:r>
          </w:p>
        </w:tc>
        <w:tc>
          <w:tcPr>
            <w:tcW w:w="180" w:type="dxa"/>
            <w:vAlign w:val="bottom"/>
          </w:tcPr>
          <w:p>
            <w:pPr>
              <w:spacing w:after="0"/>
              <w:rPr>
                <w:sz w:val="13"/>
                <w:szCs w:val="13"/>
                <w:color w:val="auto"/>
              </w:rPr>
            </w:pPr>
          </w:p>
        </w:tc>
        <w:tc>
          <w:tcPr>
            <w:tcW w:w="3800" w:type="dxa"/>
            <w:vAlign w:val="bottom"/>
            <w:tcBorders>
              <w:top w:val="single" w:sz="8" w:color="0000EE"/>
            </w:tcBorders>
            <w:gridSpan w:val="4"/>
          </w:tcPr>
          <w:p>
            <w:pPr>
              <w:spacing w:after="0" w:line="154" w:lineRule="exact"/>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First Amendment to Lease dated October 26, 2018 between</w:t>
              </w:r>
            </w:hyperlink>
          </w:p>
        </w:tc>
        <w:tc>
          <w:tcPr>
            <w:tcW w:w="4280" w:type="dxa"/>
            <w:vAlign w:val="bottom"/>
            <w:gridSpan w:val="7"/>
          </w:tcPr>
          <w:p>
            <w:pPr>
              <w:spacing w:after="0" w:line="154" w:lineRule="exact"/>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AeroVironment, Inc. and Princeton Avenue Holdings, LLC for</w:t>
              </w:r>
            </w:hyperlink>
          </w:p>
        </w:tc>
        <w:tc>
          <w:tcPr>
            <w:tcW w:w="0" w:type="dxa"/>
            <w:vAlign w:val="bottom"/>
          </w:tcPr>
          <w:p>
            <w:pPr>
              <w:spacing w:after="0"/>
              <w:rPr>
                <w:sz w:val="1"/>
                <w:szCs w:val="1"/>
                <w:color w:val="auto"/>
              </w:rPr>
            </w:pPr>
          </w:p>
        </w:tc>
      </w:tr>
      <w:tr>
        <w:trPr>
          <w:trHeight w:val="153"/>
        </w:trPr>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rPr>
              <w:t>31.1</w:t>
            </w:r>
          </w:p>
        </w:tc>
        <w:tc>
          <w:tcPr>
            <w:tcW w:w="180" w:type="dxa"/>
            <w:vAlign w:val="bottom"/>
          </w:tcPr>
          <w:p>
            <w:pPr>
              <w:spacing w:after="0"/>
              <w:rPr>
                <w:sz w:val="13"/>
                <w:szCs w:val="13"/>
                <w:color w:val="auto"/>
              </w:rPr>
            </w:pPr>
          </w:p>
        </w:tc>
        <w:tc>
          <w:tcPr>
            <w:tcW w:w="7580" w:type="dxa"/>
            <w:vAlign w:val="bottom"/>
            <w:tcBorders>
              <w:top w:val="single" w:sz="8" w:color="0000EE"/>
            </w:tcBorders>
            <w:gridSpan w:val="7"/>
          </w:tcPr>
          <w:p>
            <w:pPr>
              <w:spacing w:after="0" w:line="154" w:lineRule="exact"/>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property located at 14501 Princeton Avenue, Moorpark, California</w:t>
              </w:r>
            </w:hyperlink>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120" w:type="dxa"/>
            <w:vAlign w:val="bottom"/>
            <w:tcBorders>
              <w:top w:val="single" w:sz="8" w:color="0000EE"/>
            </w:tcBorders>
            <w:gridSpan w:val="5"/>
          </w:tcPr>
          <w:p>
            <w:pPr>
              <w:spacing w:after="0" w:line="154" w:lineRule="exact"/>
              <w:rPr>
                <w:rFonts w:ascii="Times New Roman" w:cs="Times New Roman" w:eastAsia="Times New Roman" w:hAnsi="Times New Roman"/>
                <w:sz w:val="15"/>
                <w:szCs w:val="15"/>
                <w:color w:val="0000EE"/>
              </w:rPr>
            </w:pPr>
            <w:hyperlink w:anchor="page59">
              <w:r>
                <w:rPr>
                  <w:rFonts w:ascii="Times New Roman" w:cs="Times New Roman" w:eastAsia="Times New Roman" w:hAnsi="Times New Roman"/>
                  <w:sz w:val="15"/>
                  <w:szCs w:val="15"/>
                  <w:color w:val="0000EE"/>
                </w:rPr>
                <w:t>Certification of Chief Executive Officer pursuant to Rule 13a-14(a)</w:t>
              </w:r>
            </w:hyperlink>
          </w:p>
        </w:tc>
        <w:tc>
          <w:tcPr>
            <w:tcW w:w="3960" w:type="dxa"/>
            <w:vAlign w:val="bottom"/>
            <w:gridSpan w:val="6"/>
          </w:tcPr>
          <w:p>
            <w:pPr>
              <w:ind w:left="80"/>
              <w:spacing w:after="0" w:line="154" w:lineRule="exact"/>
              <w:rPr>
                <w:rFonts w:ascii="Times New Roman" w:cs="Times New Roman" w:eastAsia="Times New Roman" w:hAnsi="Times New Roman"/>
                <w:sz w:val="15"/>
                <w:szCs w:val="15"/>
                <w:color w:val="0000EE"/>
              </w:rPr>
            </w:pPr>
            <w:hyperlink w:anchor="page59">
              <w:r>
                <w:rPr>
                  <w:rFonts w:ascii="Times New Roman" w:cs="Times New Roman" w:eastAsia="Times New Roman" w:hAnsi="Times New Roman"/>
                  <w:sz w:val="15"/>
                  <w:szCs w:val="15"/>
                  <w:color w:val="0000EE"/>
                </w:rPr>
                <w:t>and Rule 15d-14(a) of the Securities Exchange Act of 1934, as</w:t>
              </w:r>
            </w:hyperlink>
          </w:p>
        </w:tc>
        <w:tc>
          <w:tcPr>
            <w:tcW w:w="0" w:type="dxa"/>
            <w:vAlign w:val="bottom"/>
          </w:tcPr>
          <w:p>
            <w:pPr>
              <w:spacing w:after="0"/>
              <w:rPr>
                <w:sz w:val="1"/>
                <w:szCs w:val="1"/>
                <w:color w:val="auto"/>
              </w:rPr>
            </w:pPr>
          </w:p>
        </w:tc>
      </w:tr>
      <w:tr>
        <w:trPr>
          <w:trHeight w:val="153"/>
        </w:trPr>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rPr>
              <w:t>31.2</w:t>
            </w:r>
          </w:p>
        </w:tc>
        <w:tc>
          <w:tcPr>
            <w:tcW w:w="180" w:type="dxa"/>
            <w:vAlign w:val="bottom"/>
          </w:tcPr>
          <w:p>
            <w:pPr>
              <w:spacing w:after="0"/>
              <w:rPr>
                <w:sz w:val="13"/>
                <w:szCs w:val="13"/>
                <w:color w:val="auto"/>
              </w:rPr>
            </w:pPr>
          </w:p>
        </w:tc>
        <w:tc>
          <w:tcPr>
            <w:tcW w:w="8060" w:type="dxa"/>
            <w:vAlign w:val="bottom"/>
            <w:tcBorders>
              <w:top w:val="single" w:sz="8" w:color="0000EE"/>
            </w:tcBorders>
            <w:gridSpan w:val="10"/>
          </w:tcPr>
          <w:p>
            <w:pPr>
              <w:spacing w:after="0" w:line="154" w:lineRule="exact"/>
              <w:rPr>
                <w:rFonts w:ascii="Times New Roman" w:cs="Times New Roman" w:eastAsia="Times New Roman" w:hAnsi="Times New Roman"/>
                <w:sz w:val="15"/>
                <w:szCs w:val="15"/>
                <w:color w:val="0000EE"/>
              </w:rPr>
            </w:pPr>
            <w:hyperlink w:anchor="page59">
              <w:r>
                <w:rPr>
                  <w:rFonts w:ascii="Times New Roman" w:cs="Times New Roman" w:eastAsia="Times New Roman" w:hAnsi="Times New Roman"/>
                  <w:sz w:val="15"/>
                  <w:szCs w:val="15"/>
                  <w:color w:val="0000EE"/>
                </w:rPr>
                <w:t>amended</w:t>
              </w:r>
              <w:r>
                <w:rPr>
                  <w:rFonts w:ascii="Times New Roman" w:cs="Times New Roman" w:eastAsia="Times New Roman" w:hAnsi="Times New Roman"/>
                  <w:sz w:val="15"/>
                  <w:szCs w:val="15"/>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80" w:type="dxa"/>
            <w:vAlign w:val="bottom"/>
            <w:gridSpan w:val="11"/>
          </w:tcPr>
          <w:p>
            <w:pPr>
              <w:spacing w:after="0" w:line="154" w:lineRule="exact"/>
              <w:rPr>
                <w:rFonts w:ascii="Times New Roman" w:cs="Times New Roman" w:eastAsia="Times New Roman" w:hAnsi="Times New Roman"/>
                <w:sz w:val="15"/>
                <w:szCs w:val="15"/>
                <w:color w:val="0000EE"/>
              </w:rPr>
            </w:pPr>
            <w:hyperlink w:anchor="page60">
              <w:r>
                <w:rPr>
                  <w:rFonts w:ascii="Times New Roman" w:cs="Times New Roman" w:eastAsia="Times New Roman" w:hAnsi="Times New Roman"/>
                  <w:sz w:val="15"/>
                  <w:szCs w:val="15"/>
                  <w:color w:val="0000EE"/>
                </w:rPr>
                <w:t>Certification of Chief Financial Officer pursuant to Rule 13a-14(a) and Rule 15d-14(a) of the Securities Exchange Act of 1934, as</w:t>
              </w:r>
            </w:hyperlink>
          </w:p>
        </w:tc>
        <w:tc>
          <w:tcPr>
            <w:tcW w:w="0" w:type="dxa"/>
            <w:vAlign w:val="bottom"/>
          </w:tcPr>
          <w:p>
            <w:pPr>
              <w:spacing w:after="0"/>
              <w:rPr>
                <w:sz w:val="1"/>
                <w:szCs w:val="1"/>
                <w:color w:val="auto"/>
              </w:rPr>
            </w:pPr>
          </w:p>
        </w:tc>
      </w:tr>
      <w:tr>
        <w:trPr>
          <w:trHeight w:val="153"/>
        </w:trPr>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180" w:type="dxa"/>
            <w:vAlign w:val="bottom"/>
          </w:tcPr>
          <w:p>
            <w:pPr>
              <w:spacing w:after="0"/>
              <w:rPr>
                <w:sz w:val="13"/>
                <w:szCs w:val="13"/>
                <w:color w:val="auto"/>
              </w:rPr>
            </w:pPr>
          </w:p>
        </w:tc>
        <w:tc>
          <w:tcPr>
            <w:tcW w:w="8020" w:type="dxa"/>
            <w:vAlign w:val="bottom"/>
            <w:tcBorders>
              <w:top w:val="single" w:sz="8" w:color="0000EE"/>
            </w:tcBorders>
            <w:gridSpan w:val="9"/>
          </w:tcPr>
          <w:p>
            <w:pPr>
              <w:spacing w:after="0" w:line="154" w:lineRule="exact"/>
              <w:rPr>
                <w:rFonts w:ascii="Times New Roman" w:cs="Times New Roman" w:eastAsia="Times New Roman" w:hAnsi="Times New Roman"/>
                <w:sz w:val="15"/>
                <w:szCs w:val="15"/>
                <w:color w:val="0000EE"/>
              </w:rPr>
            </w:pPr>
            <w:hyperlink w:anchor="page60">
              <w:r>
                <w:rPr>
                  <w:rFonts w:ascii="Times New Roman" w:cs="Times New Roman" w:eastAsia="Times New Roman" w:hAnsi="Times New Roman"/>
                  <w:sz w:val="15"/>
                  <w:szCs w:val="15"/>
                  <w:color w:val="0000EE"/>
                </w:rPr>
                <w:t>amended</w:t>
              </w:r>
              <w:r>
                <w:rPr>
                  <w:rFonts w:ascii="Times New Roman" w:cs="Times New Roman" w:eastAsia="Times New Roman" w:hAnsi="Times New Roman"/>
                  <w:sz w:val="15"/>
                  <w:szCs w:val="15"/>
                  <w:color w:val="000000"/>
                </w:rPr>
                <w:t>.</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80" w:type="dxa"/>
            <w:vAlign w:val="bottom"/>
            <w:gridSpan w:val="11"/>
          </w:tcPr>
          <w:p>
            <w:pPr>
              <w:spacing w:after="0" w:line="154" w:lineRule="exact"/>
              <w:rPr>
                <w:rFonts w:ascii="Times New Roman" w:cs="Times New Roman" w:eastAsia="Times New Roman" w:hAnsi="Times New Roman"/>
                <w:sz w:val="15"/>
                <w:szCs w:val="15"/>
                <w:color w:val="0000EE"/>
              </w:rPr>
            </w:pPr>
            <w:hyperlink w:anchor="page61">
              <w:r>
                <w:rPr>
                  <w:rFonts w:ascii="Times New Roman" w:cs="Times New Roman" w:eastAsia="Times New Roman" w:hAnsi="Times New Roman"/>
                  <w:sz w:val="15"/>
                  <w:szCs w:val="15"/>
                  <w:color w:val="0000EE"/>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101.INS</w:t>
            </w:r>
          </w:p>
        </w:tc>
        <w:tc>
          <w:tcPr>
            <w:tcW w:w="180" w:type="dxa"/>
            <w:vAlign w:val="bottom"/>
          </w:tcPr>
          <w:p>
            <w:pPr>
              <w:spacing w:after="0"/>
              <w:rPr>
                <w:sz w:val="13"/>
                <w:szCs w:val="13"/>
                <w:color w:val="auto"/>
              </w:rPr>
            </w:pPr>
          </w:p>
        </w:tc>
        <w:tc>
          <w:tcPr>
            <w:tcW w:w="7900" w:type="dxa"/>
            <w:vAlign w:val="bottom"/>
            <w:tcBorders>
              <w:top w:val="single" w:sz="8" w:color="0000EE"/>
            </w:tcBorders>
            <w:gridSpan w:val="8"/>
          </w:tcPr>
          <w:p>
            <w:pPr>
              <w:spacing w:after="0" w:line="154" w:lineRule="exact"/>
              <w:rPr>
                <w:rFonts w:ascii="Times New Roman" w:cs="Times New Roman" w:eastAsia="Times New Roman" w:hAnsi="Times New Roman"/>
                <w:sz w:val="15"/>
                <w:szCs w:val="15"/>
                <w:color w:val="0000EE"/>
              </w:rPr>
            </w:pPr>
            <w:hyperlink w:anchor="page61">
              <w:r>
                <w:rPr>
                  <w:rFonts w:ascii="Times New Roman" w:cs="Times New Roman" w:eastAsia="Times New Roman" w:hAnsi="Times New Roman"/>
                  <w:sz w:val="15"/>
                  <w:szCs w:val="15"/>
                  <w:color w:val="0000EE"/>
                </w:rPr>
                <w:t>Section 906 of the Sarbanes-Oxley Act of 2002</w:t>
              </w:r>
              <w:r>
                <w:rPr>
                  <w:rFonts w:ascii="Times New Roman" w:cs="Times New Roman" w:eastAsia="Times New Roman" w:hAnsi="Times New Roman"/>
                  <w:sz w:val="15"/>
                  <w:szCs w:val="15"/>
                  <w:color w:val="000000"/>
                </w:rPr>
                <w:t>.</w:t>
              </w:r>
            </w:hyperlink>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Borders>
              <w:top w:val="single" w:sz="8" w:color="0000EE"/>
            </w:tcBorders>
            <w:gridSpan w:val="3"/>
          </w:tcPr>
          <w:p>
            <w:pPr>
              <w:spacing w:after="0" w:line="162" w:lineRule="exact"/>
              <w:rPr>
                <w:sz w:val="20"/>
                <w:szCs w:val="20"/>
                <w:color w:val="auto"/>
              </w:rPr>
            </w:pPr>
            <w:r>
              <w:rPr>
                <w:rFonts w:ascii="Times New Roman" w:cs="Times New Roman" w:eastAsia="Times New Roman" w:hAnsi="Times New Roman"/>
                <w:sz w:val="15"/>
                <w:szCs w:val="15"/>
                <w:color w:val="auto"/>
              </w:rPr>
              <w:t>XBRL Instance Document.</w:t>
            </w:r>
          </w:p>
        </w:tc>
        <w:tc>
          <w:tcPr>
            <w:tcW w:w="5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101.SCH</w:t>
            </w:r>
          </w:p>
        </w:tc>
        <w:tc>
          <w:tcPr>
            <w:tcW w:w="180" w:type="dxa"/>
            <w:vAlign w:val="bottom"/>
          </w:tcPr>
          <w:p>
            <w:pPr>
              <w:spacing w:after="0"/>
              <w:rPr>
                <w:sz w:val="15"/>
                <w:szCs w:val="15"/>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XBRL Taxonomy Extension Schema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101.CAL</w:t>
            </w:r>
          </w:p>
        </w:tc>
        <w:tc>
          <w:tcPr>
            <w:tcW w:w="180" w:type="dxa"/>
            <w:vAlign w:val="bottom"/>
          </w:tcPr>
          <w:p>
            <w:pPr>
              <w:spacing w:after="0"/>
              <w:rPr>
                <w:sz w:val="15"/>
                <w:szCs w:val="15"/>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101.DEF</w:t>
            </w:r>
          </w:p>
        </w:tc>
        <w:tc>
          <w:tcPr>
            <w:tcW w:w="180" w:type="dxa"/>
            <w:vAlign w:val="bottom"/>
          </w:tcPr>
          <w:p>
            <w:pPr>
              <w:spacing w:after="0"/>
              <w:rPr>
                <w:sz w:val="15"/>
                <w:szCs w:val="15"/>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101.LAB</w:t>
            </w:r>
          </w:p>
        </w:tc>
        <w:tc>
          <w:tcPr>
            <w:tcW w:w="180" w:type="dxa"/>
            <w:vAlign w:val="bottom"/>
          </w:tcPr>
          <w:p>
            <w:pPr>
              <w:spacing w:after="0"/>
              <w:rPr>
                <w:sz w:val="15"/>
                <w:szCs w:val="15"/>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101.PRE</w:t>
            </w:r>
          </w:p>
        </w:tc>
        <w:tc>
          <w:tcPr>
            <w:tcW w:w="180" w:type="dxa"/>
            <w:vAlign w:val="bottom"/>
          </w:tcPr>
          <w:p>
            <w:pPr>
              <w:spacing w:after="0"/>
              <w:rPr>
                <w:sz w:val="17"/>
                <w:szCs w:val="17"/>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XBRL Taxonomy Extension Presentation Linkbase Document.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70" w:hanging="270"/>
        <w:spacing w:after="0" w:line="173" w:lineRule="exact"/>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herein to Exhibit 3.1 to the Company’s Quarterly Report on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Q filed March 9, 2007 (File No. 001</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33261).</w:t>
      </w:r>
    </w:p>
    <w:p>
      <w:pPr>
        <w:spacing w:after="0" w:line="223"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herein to Exhibit 3.3 to the Company’s Annual Report on Form 10-K filed July 1, 2015 (File No. 001-33261).</w:t>
      </w:r>
    </w:p>
    <w:p>
      <w:pPr>
        <w:spacing w:after="0" w:line="197" w:lineRule="exact"/>
        <w:rPr>
          <w:sz w:val="20"/>
          <w:szCs w:val="20"/>
          <w:color w:val="auto"/>
        </w:rPr>
      </w:pPr>
    </w:p>
    <w:p>
      <w:pPr>
        <w:ind w:left="270" w:right="20" w:hanging="270"/>
        <w:spacing w:after="0" w:line="269" w:lineRule="auto"/>
        <w:tabs>
          <w:tab w:leader="none" w:pos="25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3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5768975"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90"/>
          </w:cols>
          <w:pgMar w:left="1410" w:top="125" w:right="1399" w:bottom="1440" w:gutter="0" w:footer="0" w:header="0"/>
        </w:sectPr>
      </w:pPr>
    </w:p>
    <w:bookmarkStart w:id="37" w:name="page38"/>
    <w:bookmarkEnd w:id="37"/>
    <w:p>
      <w:pPr>
        <w:spacing w:after="0"/>
        <w:rPr>
          <w:rFonts w:ascii="Times New Roman" w:cs="Times New Roman" w:eastAsia="Times New Roman" w:hAnsi="Times New Roman"/>
          <w:sz w:val="15"/>
          <w:szCs w:val="15"/>
          <w:u w:val="single" w:color="auto"/>
          <w:color w:val="0563C1"/>
        </w:rPr>
      </w:pPr>
      <w:hyperlink w:anchor="page2">
        <w:r>
          <w:rPr>
            <w:rFonts w:ascii="Times New Roman" w:cs="Times New Roman" w:eastAsia="Times New Roman" w:hAnsi="Times New Roman"/>
            <w:sz w:val="15"/>
            <w:szCs w:val="15"/>
            <w:u w:val="single" w:color="auto"/>
            <w:color w:val="0563C1"/>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1" w:lineRule="exact"/>
        <w:rPr>
          <w:sz w:val="20"/>
          <w:szCs w:val="20"/>
          <w:color w:val="auto"/>
        </w:rPr>
      </w:pPr>
    </w:p>
    <w:p>
      <w:pPr>
        <w:ind w:right="259"/>
        <w:spacing w:after="0" w:line="294"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5"/>
          <w:szCs w:val="15"/>
          <w:color w:val="auto"/>
        </w:rPr>
        <w:t>Date: November 29, 2018</w:t>
      </w:r>
      <w:r>
        <w:rPr>
          <w:sz w:val="20"/>
          <w:szCs w:val="20"/>
          <w:color w:val="auto"/>
        </w:rPr>
        <w:tab/>
      </w:r>
      <w:r>
        <w:rPr>
          <w:rFonts w:ascii="Times New Roman" w:cs="Times New Roman" w:eastAsia="Times New Roman" w:hAnsi="Times New Roman"/>
          <w:sz w:val="15"/>
          <w:szCs w:val="15"/>
          <w:color w:val="auto"/>
        </w:rPr>
        <w:t>AEROVIRONMENT, INC.</w:t>
      </w:r>
    </w:p>
    <w:p>
      <w:pPr>
        <w:spacing w:after="0" w:line="174" w:lineRule="exact"/>
        <w:rPr>
          <w:sz w:val="20"/>
          <w:szCs w:val="20"/>
          <w:color w:val="auto"/>
        </w:rPr>
      </w:pPr>
    </w:p>
    <w:p>
      <w:pPr>
        <w:ind w:left="4540"/>
        <w:spacing w:after="0"/>
        <w:tabs>
          <w:tab w:leader="none" w:pos="4900" w:val="left"/>
        </w:tabs>
        <w:rPr>
          <w:sz w:val="20"/>
          <w:szCs w:val="20"/>
          <w:color w:val="auto"/>
        </w:rPr>
      </w:pPr>
      <w:r>
        <w:rPr>
          <w:rFonts w:ascii="Times New Roman" w:cs="Times New Roman" w:eastAsia="Times New Roman" w:hAnsi="Times New Roman"/>
          <w:sz w:val="15"/>
          <w:szCs w:val="15"/>
          <w:color w:val="auto"/>
        </w:rPr>
        <w:t>By:</w:t>
        <w:tab/>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9525</wp:posOffset>
            </wp:positionV>
            <wp:extent cx="26422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642235" cy="762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Wahid Nawabi</w:t>
      </w:r>
    </w:p>
    <w:p>
      <w:pPr>
        <w:spacing w:after="0" w:line="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1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9525</wp:posOffset>
            </wp:positionV>
            <wp:extent cx="264223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642235" cy="762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Teresa P. Covington</w:t>
      </w:r>
    </w:p>
    <w:p>
      <w:pPr>
        <w:spacing w:after="0" w:line="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Senior Vice President and Chief Financial Officer</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68975"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LEASE</w:t>
      </w:r>
    </w:p>
    <w:p>
      <w:pPr>
        <w:spacing w:after="0" w:line="190"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 xml:space="preserve">THIS FIRST AMENDMENT TO LEASE (this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xml:space="preserve"> dated as of October 26 2018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is entered into by and between </w:t>
      </w:r>
      <w:r>
        <w:rPr>
          <w:rFonts w:ascii="Times New Roman" w:cs="Times New Roman" w:eastAsia="Times New Roman" w:hAnsi="Times New Roman"/>
          <w:sz w:val="18"/>
          <w:szCs w:val="18"/>
          <w:b w:val="1"/>
          <w:bCs w:val="1"/>
          <w:color w:val="auto"/>
        </w:rPr>
        <w:t>PRINCETON AVENUE HOLDINGS, LLC,</w:t>
      </w:r>
      <w:r>
        <w:rPr>
          <w:rFonts w:ascii="Times New Roman" w:cs="Times New Roman" w:eastAsia="Times New Roman" w:hAnsi="Times New Roman"/>
          <w:sz w:val="18"/>
          <w:szCs w:val="18"/>
          <w:color w:val="auto"/>
        </w:rPr>
        <w:t xml:space="preserve"> a California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AEROVIRONMENT, INC., </w:t>
      </w:r>
      <w:r>
        <w:rPr>
          <w:rFonts w:ascii="Times New Roman" w:cs="Times New Roman" w:eastAsia="Times New Roman" w:hAnsi="Times New Roman"/>
          <w:sz w:val="18"/>
          <w:szCs w:val="18"/>
          <w:color w:val="auto"/>
        </w:rPr>
        <w:t>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Landlord and Tenant may hereinafter be referred to collectively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w:t>
      </w:r>
    </w:p>
    <w:p>
      <w:pPr>
        <w:spacing w:after="0" w:line="1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186" w:lineRule="exact"/>
        <w:rPr>
          <w:sz w:val="20"/>
          <w:szCs w:val="20"/>
          <w:color w:val="auto"/>
        </w:rPr>
      </w:pPr>
    </w:p>
    <w:p>
      <w:pPr>
        <w:jc w:val="both"/>
        <w:ind w:firstLine="547"/>
        <w:spacing w:after="0" w:line="254" w:lineRule="auto"/>
        <w:tabs>
          <w:tab w:leader="none" w:pos="12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and Tenant entered into that certain Lease dated May 28, 2018 (the </w:t>
      </w:r>
      <w:r>
        <w:rPr>
          <w:rFonts w:ascii="Times New Roman" w:cs="Times New Roman" w:eastAsia="Times New Roman" w:hAnsi="Times New Roman"/>
          <w:sz w:val="18"/>
          <w:szCs w:val="18"/>
          <w:u w:val="single" w:color="auto"/>
          <w:color w:val="auto"/>
        </w:rPr>
        <w:t>"Existing Lease")</w:t>
      </w:r>
      <w:r>
        <w:rPr>
          <w:rFonts w:ascii="Times New Roman" w:cs="Times New Roman" w:eastAsia="Times New Roman" w:hAnsi="Times New Roman"/>
          <w:sz w:val="18"/>
          <w:szCs w:val="18"/>
          <w:color w:val="auto"/>
        </w:rPr>
        <w:t xml:space="preserve"> whereby Landlord leased to Tenant and Tenant leased from Landlord premises designated as Suite 200 at 14501 Princeton Avenue, Moorpark, California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xml:space="preserve"> consisting of approximately ninety four thousand two hundred eighty (94,280) square feet of floor area (the </w:t>
      </w:r>
      <w:r>
        <w:rPr>
          <w:rFonts w:ascii="Times New Roman" w:cs="Times New Roman" w:eastAsia="Times New Roman" w:hAnsi="Times New Roman"/>
          <w:sz w:val="18"/>
          <w:szCs w:val="18"/>
          <w:u w:val="single" w:color="auto"/>
          <w:color w:val="auto"/>
        </w:rPr>
        <w:t>"Existing Premises").</w:t>
      </w:r>
    </w:p>
    <w:p>
      <w:pPr>
        <w:spacing w:after="0" w:line="140" w:lineRule="exact"/>
        <w:rPr>
          <w:rFonts w:ascii="Times New Roman" w:cs="Times New Roman" w:eastAsia="Times New Roman" w:hAnsi="Times New Roman"/>
          <w:sz w:val="18"/>
          <w:szCs w:val="18"/>
          <w:color w:val="auto"/>
        </w:rPr>
      </w:pPr>
    </w:p>
    <w:p>
      <w:pPr>
        <w:jc w:val="both"/>
        <w:ind w:firstLine="547"/>
        <w:spacing w:after="0" w:line="254" w:lineRule="auto"/>
        <w:tabs>
          <w:tab w:leader="none" w:pos="11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and Tenant now desire to enter into this First Amendment for purposes of, among other things, expanding the Existing Premises to include Suite 100, consisting of approximately forty nine thousand six hundred ninety three (49,693) square feet of floor area in the Building, as shown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(the </w:t>
      </w:r>
      <w:r>
        <w:rPr>
          <w:rFonts w:ascii="Times New Roman" w:cs="Times New Roman" w:eastAsia="Times New Roman" w:hAnsi="Times New Roman"/>
          <w:sz w:val="18"/>
          <w:szCs w:val="18"/>
          <w:u w:val="single" w:color="auto"/>
          <w:color w:val="auto"/>
        </w:rPr>
        <w:t>"Expansion Premises,"</w:t>
      </w:r>
      <w:r>
        <w:rPr>
          <w:rFonts w:ascii="Times New Roman" w:cs="Times New Roman" w:eastAsia="Times New Roman" w:hAnsi="Times New Roman"/>
          <w:sz w:val="18"/>
          <w:szCs w:val="18"/>
          <w:color w:val="auto"/>
        </w:rPr>
        <w:t xml:space="preserve"> and together with the Existing Premises, the </w:t>
      </w:r>
      <w:r>
        <w:rPr>
          <w:rFonts w:ascii="Times New Roman" w:cs="Times New Roman" w:eastAsia="Times New Roman" w:hAnsi="Times New Roman"/>
          <w:sz w:val="18"/>
          <w:szCs w:val="18"/>
          <w:u w:val="single" w:color="auto"/>
          <w:color w:val="auto"/>
        </w:rPr>
        <w:t>"Premises").</w:t>
      </w:r>
    </w:p>
    <w:p>
      <w:pPr>
        <w:spacing w:after="0" w:line="1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186" w:lineRule="exact"/>
        <w:rPr>
          <w:sz w:val="20"/>
          <w:szCs w:val="20"/>
          <w:color w:val="auto"/>
        </w:rPr>
      </w:pPr>
    </w:p>
    <w:p>
      <w:pPr>
        <w:ind w:firstLine="555"/>
        <w:spacing w:after="0" w:line="280"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adequacy of which are hereby acknowledged, the parties hereto agree as follows:</w:t>
      </w:r>
    </w:p>
    <w:p>
      <w:pPr>
        <w:spacing w:after="0" w:line="118" w:lineRule="exact"/>
        <w:rPr>
          <w:sz w:val="20"/>
          <w:szCs w:val="20"/>
          <w:color w:val="auto"/>
        </w:rPr>
      </w:pPr>
    </w:p>
    <w:p>
      <w:pPr>
        <w:jc w:val="both"/>
        <w:ind w:firstLine="547"/>
        <w:spacing w:after="0" w:line="254" w:lineRule="auto"/>
        <w:tabs>
          <w:tab w:leader="none" w:pos="11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Recitals and Definitions.</w:t>
      </w:r>
      <w:r>
        <w:rPr>
          <w:rFonts w:ascii="Times New Roman" w:cs="Times New Roman" w:eastAsia="Times New Roman" w:hAnsi="Times New Roman"/>
          <w:sz w:val="18"/>
          <w:szCs w:val="18"/>
          <w:color w:val="auto"/>
        </w:rPr>
        <w:t xml:space="preserve"> Capitalized terms used in this First Amendment not otherwise defined shall have the meanings given such terms in the Existing Lease. The Recitals are hereby incorporated herein by this reference. In the event of any conflicts between the Existing Lease and this First Amendment, the terms of this First Amendment shall control. The Existing Lease as modified by this First Amendment shall be hereinafter referred to as "Lease."</w:t>
      </w:r>
    </w:p>
    <w:p>
      <w:pPr>
        <w:spacing w:after="0" w:line="140" w:lineRule="exact"/>
        <w:rPr>
          <w:rFonts w:ascii="Times New Roman" w:cs="Times New Roman" w:eastAsia="Times New Roman" w:hAnsi="Times New Roman"/>
          <w:sz w:val="18"/>
          <w:szCs w:val="18"/>
          <w:color w:val="auto"/>
        </w:rPr>
      </w:pPr>
    </w:p>
    <w:p>
      <w:pPr>
        <w:jc w:val="both"/>
        <w:ind w:firstLine="547"/>
        <w:spacing w:after="0" w:line="245" w:lineRule="auto"/>
        <w:tabs>
          <w:tab w:leader="none" w:pos="10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Premises.</w:t>
      </w:r>
      <w:r>
        <w:rPr>
          <w:rFonts w:ascii="Times New Roman" w:cs="Times New Roman" w:eastAsia="Times New Roman" w:hAnsi="Times New Roman"/>
          <w:sz w:val="18"/>
          <w:szCs w:val="18"/>
          <w:color w:val="auto"/>
        </w:rPr>
        <w:t xml:space="preserve"> In addition to the Existing Premises, effective as of February 1, 2019 (the </w:t>
      </w:r>
      <w:r>
        <w:rPr>
          <w:rFonts w:ascii="Times New Roman" w:cs="Times New Roman" w:eastAsia="Times New Roman" w:hAnsi="Times New Roman"/>
          <w:sz w:val="18"/>
          <w:szCs w:val="18"/>
          <w:u w:val="single" w:color="auto"/>
          <w:color w:val="auto"/>
        </w:rPr>
        <w:t>"Expansion Premises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xml:space="preserve"> and continuing for the duration of the Term, Landlord shall lease to Tenant and Tenant shall lease from Landlord the Expansion Premises upon all of the terms and conditions of the Lease, except as otherwise set forth in this First Amendment. Accordingly, effective on the Expansion Premises Commencement Date, (i) all references to the "Premises" contained in the Lease shall mean and refer to the entirety of the space in the Existing Premises and the Expansion Premises, which together is approximately one hundred forty three thousand nine hundred seventy three (149,973) square feet of floor area (Landlord and Tenant hereby acknowledge and agree that such stated amount of the rentable square footage is not a representation or warranty of the exact number of rentable square feet therein but rather is only a reasonable approximation and that the Base Rent and all other amounts payable in connection with the Lease are not subject to revision whether or not the actual square footage is more or less than such approximation), (ii) all references in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1"/>
          <w:szCs w:val="11"/>
          <w:color w:val="auto"/>
        </w:rPr>
        <w:t>AeroVironment</w:t>
      </w:r>
    </w:p>
    <w:p>
      <w:pPr>
        <w:spacing w:after="0" w:line="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1"/>
          <w:szCs w:val="11"/>
          <w:color w:val="auto"/>
        </w:rPr>
        <w:t>First 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171450</wp:posOffset>
            </wp:positionV>
            <wp:extent cx="6414770"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414770" cy="22225"/>
                    </a:xfrm>
                    <a:prstGeom prst="rect">
                      <a:avLst/>
                    </a:prstGeom>
                    <a:noFill/>
                  </pic:spPr>
                </pic:pic>
              </a:graphicData>
            </a:graphic>
          </wp:anchor>
        </w:drawing>
      </w:r>
    </w:p>
    <w:p>
      <w:pPr>
        <w:sectPr>
          <w:pgSz w:w="11900" w:h="16838" w:orient="portrait"/>
          <w:cols w:equalWidth="0" w:num="1">
            <w:col w:w="9920"/>
          </w:cols>
          <w:pgMar w:left="1080" w:top="114" w:right="899" w:bottom="1440" w:gutter="0" w:footer="0" w:header="0"/>
        </w:sectPr>
      </w:pPr>
    </w:p>
    <w:bookmarkStart w:id="39" w:name="page40"/>
    <w:bookmarkEnd w:id="39"/>
    <w:p>
      <w:pPr>
        <w:jc w:val="both"/>
        <w:ind w:left="180"/>
        <w:spacing w:after="0" w:line="249" w:lineRule="auto"/>
        <w:rPr>
          <w:sz w:val="20"/>
          <w:szCs w:val="20"/>
          <w:color w:val="auto"/>
        </w:rPr>
      </w:pPr>
      <w:r>
        <w:rPr>
          <w:rFonts w:ascii="Times New Roman" w:cs="Times New Roman" w:eastAsia="Times New Roman" w:hAnsi="Times New Roman"/>
          <w:sz w:val="18"/>
          <w:szCs w:val="18"/>
          <w:color w:val="auto"/>
        </w:rPr>
        <w:t xml:space="preserve">Lease to "Exhibit A" shall mean and refer to Exhibit A as modified by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 and incorporated herein, (iii) all references in the Lease to the square footage of the Premises shall mean and refer to one hundred forty three thousand nine hundred seventy three (149,973) square feet, and (iv) "Tenant's Pro Rata Share" shall mean and refer to 100%. Notwithstanding the foregoing, the following provisions of the Existing Lease shall not apply to the Expansion Premises: 3(b); 4(a); 4(b) last sentence only; 5(d); 13(e); Exhibits D, D-1, D-2; and 35. At Landlord's election, the parties shall execute a factually correct notice documenting the Expansion Premises Commencement Date in form and substance similar to that attached as Exhibit E to the Existing Lease.</w:t>
      </w:r>
    </w:p>
    <w:p>
      <w:pPr>
        <w:spacing w:after="0" w:line="146" w:lineRule="exact"/>
        <w:rPr>
          <w:sz w:val="20"/>
          <w:szCs w:val="20"/>
          <w:color w:val="auto"/>
        </w:rPr>
      </w:pPr>
    </w:p>
    <w:p>
      <w:pPr>
        <w:ind w:left="1280" w:hanging="553"/>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As-Is Delivery of Expansion Premises.</w:t>
      </w:r>
    </w:p>
    <w:p>
      <w:pPr>
        <w:spacing w:after="0" w:line="186" w:lineRule="exact"/>
        <w:rPr>
          <w:sz w:val="20"/>
          <w:szCs w:val="20"/>
          <w:color w:val="auto"/>
        </w:rPr>
      </w:pPr>
    </w:p>
    <w:p>
      <w:pPr>
        <w:jc w:val="both"/>
        <w:ind w:left="180" w:firstLine="547"/>
        <w:spacing w:after="0" w:line="249" w:lineRule="auto"/>
        <w:tabs>
          <w:tab w:leader="none" w:pos="1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acknowledges that it has inspected the condition of the Expansion Premises, and that it is satisfied therewith and Tenant acknowledges that (i) it accepts the Expansion Premises in its current AS-IS CONDITION WITH ALL FAULTS, (ii) Landlord shall have no obligation to construct any improvements or modifications to the Expansion Premises nor to provide Tenant with any type of tenant improvement allowance except for the Allowance set forth in the Work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(iii) Landlord has made no representation or warranty regarding the condition of the Expansion Premises or the suitability thereof for Tenant's business.</w:t>
      </w:r>
    </w:p>
    <w:p>
      <w:pPr>
        <w:spacing w:after="0" w:line="359" w:lineRule="exact"/>
        <w:rPr>
          <w:rFonts w:ascii="Times New Roman" w:cs="Times New Roman" w:eastAsia="Times New Roman" w:hAnsi="Times New Roman"/>
          <w:sz w:val="18"/>
          <w:szCs w:val="18"/>
          <w:color w:val="auto"/>
        </w:rPr>
      </w:pPr>
    </w:p>
    <w:p>
      <w:pPr>
        <w:jc w:val="both"/>
        <w:ind w:left="180" w:firstLine="547"/>
        <w:spacing w:after="0" w:line="243" w:lineRule="auto"/>
        <w:tabs>
          <w:tab w:leader="none" w:pos="1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Section 1938(a) of the California Civil Code, Landlord discloses to Tenant that the Expansion Premises have not undergone inspection by a Certified Access Specialist ("CASp"). As required by Section 1938(e) of the California Civil Code, Landlord also states that: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As permitted by the quoted language above, it is agreed that: (i) any CASp inspection requested by Tenant shall be requested by Tenant within ten (10) days after the date on which this Lease has been executed by Landlord and Tenant, (ii) Landlord shall be an intended third party beneficiary of the contract under which the inspection is to be performed and the contract shall otherwise comply with the provisions of the Lease applicable to Tenant contracts for construction; (iii) the CASp inspection shall be conducted (A) at Tenant's sole cost and expense, (B) by a CASp approved in advance by Landlord and only after ten (10) days' prior written notice to Landlord of the date of such CASp inspection, (C) between the hours of 9:00 a.m. and 5:00 p.m. on any business day, (D) in a manner reasonably satisfactory to Landlord, and (E) shall be addressed to, and, upon completion, promptly delivered to, Landlord and Tenant; (iv) the information in the inspection shall not be disclosed by Tenant to anyone other than contractors, subcontractors, and consultants of Tenant who have a need to know the information therein and who agree in writing not to further disclose such information; (v) Tenant, at its sole cost and expense, shall be responsible for making any improvements, alterations, modifications and/or repairs to or within the Premises to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0" w:type="dxa"/>
            <w:vAlign w:val="bottom"/>
          </w:tcPr>
          <w:p>
            <w:pPr>
              <w:jc w:val="right"/>
              <w:ind w:right="1643"/>
              <w:spacing w:after="0"/>
              <w:rPr>
                <w:sz w:val="20"/>
                <w:szCs w:val="20"/>
                <w:color w:val="auto"/>
              </w:rPr>
            </w:pPr>
            <w:r>
              <w:rPr>
                <w:rFonts w:ascii="Times New Roman" w:cs="Times New Roman" w:eastAsia="Times New Roman" w:hAnsi="Times New Roman"/>
                <w:sz w:val="15"/>
                <w:szCs w:val="15"/>
                <w:color w:val="auto"/>
              </w:rPr>
              <w:t>2</w:t>
            </w: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00" w:type="dxa"/>
            <w:vAlign w:val="bottom"/>
          </w:tcPr>
          <w:p>
            <w:pPr>
              <w:spacing w:after="0"/>
              <w:rPr>
                <w:sz w:val="12"/>
                <w:szCs w:val="12"/>
                <w:color w:val="auto"/>
              </w:rPr>
            </w:pP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0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6" w:right="899" w:bottom="1440" w:gutter="0" w:footer="0" w:header="0"/>
        </w:sectPr>
      </w:pPr>
    </w:p>
    <w:bookmarkStart w:id="40" w:name="page41"/>
    <w:bookmarkEnd w:id="40"/>
    <w:p>
      <w:pPr>
        <w:jc w:val="both"/>
        <w:ind w:left="180"/>
        <w:spacing w:after="0" w:line="247" w:lineRule="auto"/>
        <w:rPr>
          <w:sz w:val="20"/>
          <w:szCs w:val="20"/>
          <w:color w:val="auto"/>
        </w:rPr>
      </w:pPr>
      <w:r>
        <w:rPr>
          <w:rFonts w:ascii="Times New Roman" w:cs="Times New Roman" w:eastAsia="Times New Roman" w:hAnsi="Times New Roman"/>
          <w:sz w:val="18"/>
          <w:szCs w:val="18"/>
          <w:color w:val="auto"/>
        </w:rPr>
        <w:t>violations of construction-related accessibility standards including, without limitation, any violations disclosed by such CASp inspection; and (vi) if such CASp inspection identifies any improvements, alterations, modifications and/or repairs necessary to correct violations of construction-related accessibility standards relating to those items of the building located outside the Expansion Premises that are Landlord's obligation to repair under this Lease, then Landlord shall perform such improvements, alterations, modifications and/or repairs as and to the extent required by applicable laws to correct such violations, and Tenant shall reimburse Landlord for the cost of such improvements, alterations, modifications and/or repairs within ten (10) business days after Tenant's receipt of an invoice therefor from Landlord.</w:t>
      </w:r>
    </w:p>
    <w:p>
      <w:pPr>
        <w:spacing w:after="0" w:line="151" w:lineRule="exact"/>
        <w:rPr>
          <w:sz w:val="20"/>
          <w:szCs w:val="20"/>
          <w:color w:val="auto"/>
        </w:rPr>
      </w:pPr>
    </w:p>
    <w:p>
      <w:pPr>
        <w:ind w:left="180" w:right="100" w:firstLine="547"/>
        <w:spacing w:after="0" w:line="254" w:lineRule="auto"/>
        <w:tabs>
          <w:tab w:leader="none" w:pos="12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Premises Tenant Improvements. Tenant shall construct the initial tenant improvements in the Expansion Premises substantially in accordance with the Work Letter attached hereto as Exhibit B. To the extent there are any conflicts between the terms of the Work Letter and the terms of Section 13 of the Existing Lease (re: alterations and improvements), the terms of the Work Letter shall govern Tenant's construction of the initial tenant improvements in the Expansion Premises.</w:t>
      </w:r>
    </w:p>
    <w:p>
      <w:pPr>
        <w:spacing w:after="0" w:line="140" w:lineRule="exact"/>
        <w:rPr>
          <w:rFonts w:ascii="Times New Roman" w:cs="Times New Roman" w:eastAsia="Times New Roman" w:hAnsi="Times New Roman"/>
          <w:sz w:val="18"/>
          <w:szCs w:val="18"/>
          <w:color w:val="auto"/>
        </w:rPr>
      </w:pPr>
    </w:p>
    <w:p>
      <w:pPr>
        <w:ind w:left="180" w:firstLine="547"/>
        <w:spacing w:after="0" w:line="249" w:lineRule="auto"/>
        <w:tabs>
          <w:tab w:leader="none" w:pos="12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Commencing on the Expansion Premises Commencement Date, Base Rent, Tenant's Percentage Share of Operating Expenses and Tenant's Percentage Share of Taxes applicable to the Expansion Premises during the initial Term shall be payable as required under the Existing Lease, except that Tenant shall pay to Landlord upon the Effective Date hereof an amount equal to Thirty Seven Thousand Two Hundred Sixty Nine and 75/100 Dollars ($37,269.75) as prepaid Base Rent to be applied against the first obligation of Tenant to pay Base Rent for the Expansion Premises. Base Rent for the Expansion Premises during the initial Term shall be as follows:</w:t>
      </w:r>
    </w:p>
    <w:p>
      <w:pPr>
        <w:sectPr>
          <w:pgSz w:w="11900" w:h="16838" w:orient="portrait"/>
          <w:cols w:equalWidth="0" w:num="1">
            <w:col w:w="10100"/>
          </w:cols>
          <w:pgMar w:left="900" w:top="115" w:right="899" w:bottom="1440" w:gutter="0" w:footer="0" w:header="0"/>
        </w:sectPr>
      </w:pPr>
    </w:p>
    <w:p>
      <w:pPr>
        <w:spacing w:after="0" w:line="156" w:lineRule="exact"/>
        <w:rPr>
          <w:sz w:val="20"/>
          <w:szCs w:val="20"/>
          <w:color w:val="auto"/>
        </w:rPr>
      </w:pPr>
    </w:p>
    <w:p>
      <w:pPr>
        <w:jc w:val="both"/>
        <w:ind w:left="1020"/>
        <w:spacing w:after="0" w:line="260" w:lineRule="auto"/>
        <w:rPr>
          <w:sz w:val="20"/>
          <w:szCs w:val="20"/>
          <w:color w:val="auto"/>
        </w:rPr>
      </w:pPr>
      <w:r>
        <w:rPr>
          <w:rFonts w:ascii="Times New Roman" w:cs="Times New Roman" w:eastAsia="Times New Roman" w:hAnsi="Times New Roman"/>
          <w:sz w:val="18"/>
          <w:szCs w:val="18"/>
          <w:color w:val="auto"/>
        </w:rPr>
        <w:t>(i) For the period commencing on the Expansion Premises Commencement Date (subject to Paragraph</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$37,269.75 (per month);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$447,237.00 (per year);</w:t>
      </w:r>
    </w:p>
    <w:p>
      <w:pPr>
        <w:spacing w:after="0" w:line="14" w:lineRule="exact"/>
        <w:rPr>
          <w:sz w:val="20"/>
          <w:szCs w:val="20"/>
          <w:color w:val="auto"/>
        </w:rPr>
      </w:pPr>
    </w:p>
    <w:p>
      <w:pPr>
        <w:sectPr>
          <w:pgSz w:w="11900" w:h="16838" w:orient="portrait"/>
          <w:cols w:equalWidth="0" w:num="2">
            <w:col w:w="5340" w:space="240"/>
            <w:col w:w="4520"/>
          </w:cols>
          <w:pgMar w:left="900" w:top="115" w:right="899" w:bottom="1440" w:gutter="0" w:footer="0" w:header="0"/>
          <w:type w:val="continuous"/>
        </w:sectPr>
      </w:pPr>
    </w:p>
    <w:p>
      <w:pPr>
        <w:ind w:left="1020"/>
        <w:spacing w:after="0" w:line="226" w:lineRule="auto"/>
        <w:rPr>
          <w:sz w:val="20"/>
          <w:szCs w:val="20"/>
          <w:color w:val="auto"/>
        </w:rPr>
      </w:pPr>
      <w:r>
        <w:rPr>
          <w:rFonts w:ascii="Times New Roman" w:cs="Times New Roman" w:eastAsia="Times New Roman" w:hAnsi="Times New Roman"/>
          <w:sz w:val="18"/>
          <w:szCs w:val="18"/>
          <w:color w:val="auto"/>
        </w:rPr>
        <w:t>5(d)) through the day immediately preceding the first day</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of the calendar month in which the first (1st) annual</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anniversary of the Expansion Premises Commencement</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 occurs (the "I-Year Anniversary");</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0" w:type="dxa"/>
            <w:vAlign w:val="bottom"/>
          </w:tcPr>
          <w:p>
            <w:pPr>
              <w:jc w:val="right"/>
              <w:ind w:right="1643"/>
              <w:spacing w:after="0"/>
              <w:rPr>
                <w:sz w:val="20"/>
                <w:szCs w:val="20"/>
                <w:color w:val="auto"/>
              </w:rPr>
            </w:pPr>
            <w:r>
              <w:rPr>
                <w:rFonts w:ascii="Times New Roman" w:cs="Times New Roman" w:eastAsia="Times New Roman" w:hAnsi="Times New Roman"/>
                <w:sz w:val="15"/>
                <w:szCs w:val="15"/>
                <w:color w:val="auto"/>
              </w:rPr>
              <w:t>3</w:t>
            </w: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00" w:type="dxa"/>
            <w:vAlign w:val="bottom"/>
          </w:tcPr>
          <w:p>
            <w:pPr>
              <w:spacing w:after="0"/>
              <w:rPr>
                <w:sz w:val="12"/>
                <w:szCs w:val="12"/>
                <w:color w:val="auto"/>
              </w:rPr>
            </w:pP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0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5" w:right="899" w:bottom="1440" w:gutter="0" w:footer="0" w:header="0"/>
          <w:type w:val="continuous"/>
        </w:sectPr>
      </w:pPr>
    </w:p>
    <w:bookmarkStart w:id="41" w:name="page42"/>
    <w:bookmarkEnd w:id="41"/>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92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For the period commencing on the I-Year</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$38,015.15 (per month);</w:t>
            </w: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 through the day immediately preceding the</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$456,181.80 (per year);</w:t>
            </w: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day of the calendar month in which the second (2nd)</w:t>
            </w:r>
          </w:p>
        </w:tc>
        <w:tc>
          <w:tcPr>
            <w:tcW w:w="1920" w:type="dxa"/>
            <w:vAlign w:val="bottom"/>
          </w:tcPr>
          <w:p>
            <w:pPr>
              <w:spacing w:after="0"/>
              <w:rPr>
                <w:sz w:val="18"/>
                <w:szCs w:val="18"/>
                <w:color w:val="auto"/>
              </w:rPr>
            </w:pP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anniversary   of   the   Expansion   Premises</w:t>
            </w:r>
          </w:p>
        </w:tc>
        <w:tc>
          <w:tcPr>
            <w:tcW w:w="1920" w:type="dxa"/>
            <w:vAlign w:val="bottom"/>
          </w:tcPr>
          <w:p>
            <w:pPr>
              <w:spacing w:after="0"/>
              <w:rPr>
                <w:sz w:val="18"/>
                <w:szCs w:val="18"/>
                <w:color w:val="auto"/>
              </w:rPr>
            </w:pPr>
          </w:p>
        </w:tc>
      </w:tr>
      <w:tr>
        <w:trPr>
          <w:trHeight w:val="24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Date occurs (the "2-Year Anniversary");</w:t>
            </w:r>
          </w:p>
        </w:tc>
        <w:tc>
          <w:tcPr>
            <w:tcW w:w="1920" w:type="dxa"/>
            <w:vAlign w:val="bottom"/>
          </w:tcPr>
          <w:p>
            <w:pPr>
              <w:spacing w:after="0"/>
              <w:rPr>
                <w:sz w:val="20"/>
                <w:szCs w:val="20"/>
                <w:color w:val="auto"/>
              </w:rPr>
            </w:pP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392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For  the  period  commencing  on  the  2-Year</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$38,775.45 (per month);</w:t>
            </w: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 through the day immediately preceding the</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$465,305.40 (per year);</w:t>
            </w: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day of the calendar month in which the third (3rd)</w:t>
            </w:r>
          </w:p>
        </w:tc>
        <w:tc>
          <w:tcPr>
            <w:tcW w:w="1920" w:type="dxa"/>
            <w:vAlign w:val="bottom"/>
          </w:tcPr>
          <w:p>
            <w:pPr>
              <w:spacing w:after="0"/>
              <w:rPr>
                <w:sz w:val="18"/>
                <w:szCs w:val="18"/>
                <w:color w:val="auto"/>
              </w:rPr>
            </w:pP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anniversary   of   the   Expansion   Premises</w:t>
            </w:r>
          </w:p>
        </w:tc>
        <w:tc>
          <w:tcPr>
            <w:tcW w:w="1920" w:type="dxa"/>
            <w:vAlign w:val="bottom"/>
          </w:tcPr>
          <w:p>
            <w:pPr>
              <w:spacing w:after="0"/>
              <w:rPr>
                <w:sz w:val="18"/>
                <w:szCs w:val="18"/>
                <w:color w:val="auto"/>
              </w:rPr>
            </w:pPr>
          </w:p>
        </w:tc>
      </w:tr>
      <w:tr>
        <w:trPr>
          <w:trHeight w:val="24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Date occurs (the "3-Year Anniversary");</w:t>
            </w:r>
          </w:p>
        </w:tc>
        <w:tc>
          <w:tcPr>
            <w:tcW w:w="1920" w:type="dxa"/>
            <w:vAlign w:val="bottom"/>
          </w:tcPr>
          <w:p>
            <w:pPr>
              <w:spacing w:after="0"/>
              <w:rPr>
                <w:sz w:val="20"/>
                <w:szCs w:val="20"/>
                <w:color w:val="auto"/>
              </w:rPr>
            </w:pP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392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For  the  period  commencing  on  the  3-Year</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$39,550.96 (per month);</w:t>
            </w: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 through the day immediately preceding the</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$474,611.52 (per year);</w:t>
            </w: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day of the calendar month in which the fourth (4th)</w:t>
            </w:r>
          </w:p>
        </w:tc>
        <w:tc>
          <w:tcPr>
            <w:tcW w:w="1920" w:type="dxa"/>
            <w:vAlign w:val="bottom"/>
          </w:tcPr>
          <w:p>
            <w:pPr>
              <w:spacing w:after="0"/>
              <w:rPr>
                <w:sz w:val="18"/>
                <w:szCs w:val="18"/>
                <w:color w:val="auto"/>
              </w:rPr>
            </w:pP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anniversary   of   the   Expansion   Premises</w:t>
            </w:r>
          </w:p>
        </w:tc>
        <w:tc>
          <w:tcPr>
            <w:tcW w:w="1920" w:type="dxa"/>
            <w:vAlign w:val="bottom"/>
          </w:tcPr>
          <w:p>
            <w:pPr>
              <w:spacing w:after="0"/>
              <w:rPr>
                <w:sz w:val="18"/>
                <w:szCs w:val="18"/>
                <w:color w:val="auto"/>
              </w:rPr>
            </w:pPr>
          </w:p>
        </w:tc>
      </w:tr>
      <w:tr>
        <w:trPr>
          <w:trHeight w:val="24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Date occurs (the "4-Year Anniversary");</w:t>
            </w:r>
          </w:p>
        </w:tc>
        <w:tc>
          <w:tcPr>
            <w:tcW w:w="1920" w:type="dxa"/>
            <w:vAlign w:val="bottom"/>
          </w:tcPr>
          <w:p>
            <w:pPr>
              <w:spacing w:after="0"/>
              <w:rPr>
                <w:sz w:val="20"/>
                <w:szCs w:val="20"/>
                <w:color w:val="auto"/>
              </w:rPr>
            </w:pP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392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For the period commencing on the 4-Year</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$40,341.98 (per month);</w:t>
            </w:r>
          </w:p>
        </w:tc>
      </w:tr>
      <w:tr>
        <w:trPr>
          <w:trHeight w:val="24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 through the last day of the Term.</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$484,103.76 (per year);</w:t>
            </w:r>
          </w:p>
        </w:tc>
      </w:tr>
    </w:tbl>
    <w:p>
      <w:pPr>
        <w:spacing w:after="0" w:line="175" w:lineRule="exact"/>
        <w:rPr>
          <w:sz w:val="20"/>
          <w:szCs w:val="20"/>
          <w:color w:val="auto"/>
        </w:rPr>
      </w:pPr>
    </w:p>
    <w:p>
      <w:pPr>
        <w:jc w:val="both"/>
        <w:ind w:left="180" w:firstLine="547"/>
        <w:spacing w:after="0" w:line="254" w:lineRule="auto"/>
        <w:tabs>
          <w:tab w:leader="none" w:pos="1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Option.</w:t>
      </w:r>
      <w:r>
        <w:rPr>
          <w:rFonts w:ascii="Times New Roman" w:cs="Times New Roman" w:eastAsia="Times New Roman" w:hAnsi="Times New Roman"/>
          <w:sz w:val="18"/>
          <w:szCs w:val="18"/>
          <w:color w:val="auto"/>
        </w:rPr>
        <w:t xml:space="preserve"> Tenant shall have the right to extend the Term of the Lease with respect to. the Premises pursuant to the terms and conditions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the Existing Lease, except that the Base Rent attributable to the Expansion Premises during the Extension Term shall be equal to one hundred two percent (102%) of the Base Rent attributable to the Expansion Premises immediately preceding the Extension Term, and shall increase annually thereafter by two percent (2%).</w:t>
      </w:r>
    </w:p>
    <w:p>
      <w:pPr>
        <w:spacing w:after="0" w:line="140" w:lineRule="exact"/>
        <w:rPr>
          <w:rFonts w:ascii="Times New Roman" w:cs="Times New Roman" w:eastAsia="Times New Roman" w:hAnsi="Times New Roman"/>
          <w:sz w:val="18"/>
          <w:szCs w:val="18"/>
          <w:color w:val="auto"/>
        </w:rPr>
      </w:pPr>
    </w:p>
    <w:p>
      <w:pPr>
        <w:jc w:val="both"/>
        <w:ind w:left="180" w:firstLine="547"/>
        <w:spacing w:after="0" w:line="260" w:lineRule="auto"/>
        <w:tabs>
          <w:tab w:leader="none" w:pos="12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Janitorial.</w:t>
      </w:r>
      <w:r>
        <w:rPr>
          <w:rFonts w:ascii="Times New Roman" w:cs="Times New Roman" w:eastAsia="Times New Roman" w:hAnsi="Times New Roman"/>
          <w:sz w:val="18"/>
          <w:szCs w:val="18"/>
          <w:color w:val="auto"/>
        </w:rPr>
        <w:t xml:space="preserve"> Tenant shall, at Tenant's sole cost and expense, provide janitorial services to the Premises and the Building. All janitorial services shall be of a standard that is substantially equivalent to the services provided in similar industrial buildings in the City of Moorpark.</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0" w:type="dxa"/>
            <w:vAlign w:val="bottom"/>
          </w:tcPr>
          <w:p>
            <w:pPr>
              <w:jc w:val="right"/>
              <w:ind w:right="1643"/>
              <w:spacing w:after="0"/>
              <w:rPr>
                <w:sz w:val="20"/>
                <w:szCs w:val="20"/>
                <w:color w:val="auto"/>
              </w:rPr>
            </w:pPr>
            <w:r>
              <w:rPr>
                <w:rFonts w:ascii="Times New Roman" w:cs="Times New Roman" w:eastAsia="Times New Roman" w:hAnsi="Times New Roman"/>
                <w:sz w:val="15"/>
                <w:szCs w:val="15"/>
                <w:color w:val="auto"/>
              </w:rPr>
              <w:t>4</w:t>
            </w: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00" w:type="dxa"/>
            <w:vAlign w:val="bottom"/>
          </w:tcPr>
          <w:p>
            <w:pPr>
              <w:spacing w:after="0"/>
              <w:rPr>
                <w:sz w:val="12"/>
                <w:szCs w:val="12"/>
                <w:color w:val="auto"/>
              </w:rPr>
            </w:pP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0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325" w:right="899" w:bottom="1440" w:gutter="0" w:footer="0" w:header="0"/>
        </w:sectPr>
      </w:pPr>
    </w:p>
    <w:bookmarkStart w:id="42" w:name="page43"/>
    <w:bookmarkEnd w:id="42"/>
    <w:p>
      <w:pPr>
        <w:jc w:val="both"/>
        <w:ind w:left="180" w:firstLine="547"/>
        <w:spacing w:after="0" w:line="251" w:lineRule="auto"/>
        <w:tabs>
          <w:tab w:leader="none" w:pos="12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for Cresa, Tenant warrants that no real estate brokerage firm or agent or other person can claim a right through its dealings with Tenant to a commission or finder's fee in connection with the negotiation of this First Amendment and that no real estate commissions or finder's fees are payable in connection herewith. Tenant shall indemnify, defend and hold Landlord harmless from all expenses, claims, damages (including a reasonable attorney's fee and costs) incurred by Landlord as a result of a breach of this warranty.</w:t>
      </w:r>
    </w:p>
    <w:p>
      <w:pPr>
        <w:spacing w:after="0" w:line="143" w:lineRule="exact"/>
        <w:rPr>
          <w:rFonts w:ascii="Times New Roman" w:cs="Times New Roman" w:eastAsia="Times New Roman" w:hAnsi="Times New Roman"/>
          <w:sz w:val="18"/>
          <w:szCs w:val="18"/>
          <w:color w:val="auto"/>
        </w:rPr>
      </w:pPr>
    </w:p>
    <w:p>
      <w:pPr>
        <w:ind w:left="1280" w:hanging="553"/>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80" w:firstLine="1102"/>
        <w:spacing w:after="0" w:line="280" w:lineRule="auto"/>
        <w:tabs>
          <w:tab w:leader="none" w:pos="19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The terms of this First Amendment shall apply to, bind and inure to the benefit of the heirs, successors, executors, legal and personal representatives, administrators and assigns of the parties, as the case may be.</w:t>
      </w:r>
    </w:p>
    <w:p>
      <w:pPr>
        <w:spacing w:after="0" w:line="118" w:lineRule="exact"/>
        <w:rPr>
          <w:rFonts w:ascii="Times New Roman" w:cs="Times New Roman" w:eastAsia="Times New Roman" w:hAnsi="Times New Roman"/>
          <w:sz w:val="18"/>
          <w:szCs w:val="18"/>
          <w:color w:val="auto"/>
        </w:rPr>
      </w:pPr>
    </w:p>
    <w:p>
      <w:pPr>
        <w:jc w:val="both"/>
        <w:ind w:left="180" w:firstLine="1102"/>
        <w:spacing w:after="0" w:line="267" w:lineRule="auto"/>
        <w:tabs>
          <w:tab w:leader="none" w:pos="17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First Amendment constitutes the entire understanding and agreement of the parties with respect to the subject matter hereof, and shall supersede and replace all prior understandings and agreements, whether oral or in writing.</w:t>
      </w:r>
    </w:p>
    <w:p>
      <w:pPr>
        <w:spacing w:after="0" w:line="348" w:lineRule="exact"/>
        <w:rPr>
          <w:rFonts w:ascii="Times New Roman" w:cs="Times New Roman" w:eastAsia="Times New Roman" w:hAnsi="Times New Roman"/>
          <w:sz w:val="18"/>
          <w:szCs w:val="18"/>
          <w:color w:val="auto"/>
        </w:rPr>
      </w:pPr>
    </w:p>
    <w:p>
      <w:pPr>
        <w:jc w:val="both"/>
        <w:ind w:left="180" w:firstLine="1102"/>
        <w:spacing w:after="0" w:line="251" w:lineRule="auto"/>
        <w:tabs>
          <w:tab w:leader="none" w:pos="18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xml:space="preserve"> If there is any legal action or proceeding to enforce or interpret any provision of this First Amendment or to protect or establish any right or remedy of any party, the unsuccessful party to such action or proceeding shall pay to the prevailing party as finally determined, all costs and expenses, including, without limitation, reasonable attorneys' fees and costs, incurred by such prevailing party in such action or proceeding, in enforcing such judgment, and in connection with any appeal from such judgment.</w:t>
      </w:r>
    </w:p>
    <w:p>
      <w:pPr>
        <w:spacing w:after="0" w:line="142" w:lineRule="exact"/>
        <w:rPr>
          <w:rFonts w:ascii="Times New Roman" w:cs="Times New Roman" w:eastAsia="Times New Roman" w:hAnsi="Times New Roman"/>
          <w:sz w:val="18"/>
          <w:szCs w:val="18"/>
          <w:color w:val="auto"/>
        </w:rPr>
      </w:pPr>
    </w:p>
    <w:p>
      <w:pPr>
        <w:jc w:val="both"/>
        <w:ind w:left="180" w:firstLine="1102"/>
        <w:spacing w:after="0" w:line="254" w:lineRule="auto"/>
        <w:tabs>
          <w:tab w:leader="none" w:pos="18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xml:space="preserve"> Landlord and Tenant hereby ratify and confirm their respective rights and obligations under the Lease. Except as specifically herein amended, the Lease is and shall remain in full force and effect according to the terms thereof. In the event of any conflict between the terms of the Lease and the terms of this First Amendment, the terms of this First Amendment shall control.</w:t>
      </w:r>
    </w:p>
    <w:p>
      <w:pPr>
        <w:spacing w:after="0" w:line="140" w:lineRule="exact"/>
        <w:rPr>
          <w:rFonts w:ascii="Times New Roman" w:cs="Times New Roman" w:eastAsia="Times New Roman" w:hAnsi="Times New Roman"/>
          <w:sz w:val="18"/>
          <w:szCs w:val="18"/>
          <w:color w:val="auto"/>
        </w:rPr>
      </w:pPr>
    </w:p>
    <w:p>
      <w:pPr>
        <w:ind w:left="180" w:firstLine="1102"/>
        <w:spacing w:after="0" w:line="280" w:lineRule="auto"/>
        <w:tabs>
          <w:tab w:leader="none" w:pos="178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to sections of this Agreement are for convenient reference only and shall not be used in interpreting this First Amendment.</w:t>
      </w:r>
    </w:p>
    <w:p>
      <w:pPr>
        <w:spacing w:after="0" w:line="118" w:lineRule="exact"/>
        <w:rPr>
          <w:rFonts w:ascii="Times New Roman" w:cs="Times New Roman" w:eastAsia="Times New Roman" w:hAnsi="Times New Roman"/>
          <w:sz w:val="18"/>
          <w:szCs w:val="18"/>
          <w:color w:val="auto"/>
        </w:rPr>
      </w:pPr>
    </w:p>
    <w:p>
      <w:pPr>
        <w:jc w:val="both"/>
        <w:ind w:left="180" w:firstLine="1102"/>
        <w:spacing w:after="0" w:line="245" w:lineRule="auto"/>
        <w:tabs>
          <w:tab w:leader="none" w:pos="18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First Amendment may be executed in counterparts, each of which shall be deemed to be an original, but all of which together shall constitute one and the same agreement. This First Amendment may be executed by a party's signature transmitted by facsimile ("fax") or email or by a party's electronic signature, and copies of this First Amendment executed and delivered by means of faxed or emailed copies of signatures or originals of this First Amendment executed by electronic signature shall have the same force and effect as copies hereof executed and delivered with original wet signatures. The parties may rely upon faxed, emailed or electronic signatures as if such signatures were original wet signatures. Any party executing and delivering this First Amendment by fax or email shall promptly thereafter deliver a counterpart signature page of this First Amendment containing said party's original signature. The parties agree that a faxed or emailed signature page or an electronic signature may be introduced into evidence in any proceeding arising out of or related to this First Amendment as if it were an original wet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0" w:type="dxa"/>
            <w:vAlign w:val="bottom"/>
          </w:tcPr>
          <w:p>
            <w:pPr>
              <w:jc w:val="right"/>
              <w:ind w:right="1643"/>
              <w:spacing w:after="0"/>
              <w:rPr>
                <w:sz w:val="20"/>
                <w:szCs w:val="20"/>
                <w:color w:val="auto"/>
              </w:rPr>
            </w:pPr>
            <w:r>
              <w:rPr>
                <w:rFonts w:ascii="Times New Roman" w:cs="Times New Roman" w:eastAsia="Times New Roman" w:hAnsi="Times New Roman"/>
                <w:sz w:val="15"/>
                <w:szCs w:val="15"/>
                <w:color w:val="auto"/>
              </w:rPr>
              <w:t>5</w:t>
            </w: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00" w:type="dxa"/>
            <w:vAlign w:val="bottom"/>
          </w:tcPr>
          <w:p>
            <w:pPr>
              <w:spacing w:after="0"/>
              <w:rPr>
                <w:sz w:val="12"/>
                <w:szCs w:val="12"/>
                <w:color w:val="auto"/>
              </w:rPr>
            </w:pPr>
          </w:p>
        </w:tc>
        <w:tc>
          <w:tcPr>
            <w:tcW w:w="33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0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5" w:right="899" w:bottom="1440" w:gutter="0" w:footer="0" w:header="0"/>
        </w:sectPr>
      </w:pPr>
    </w:p>
    <w:bookmarkStart w:id="43" w:name="page44"/>
    <w:bookmarkEnd w:id="43"/>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First Amendment as of the date first written above.</w:t>
      </w:r>
    </w:p>
    <w:p>
      <w:pPr>
        <w:spacing w:after="0" w:line="197"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b w:val="1"/>
          <w:bCs w:val="1"/>
          <w:color w:val="auto"/>
        </w:rPr>
        <w:t>TENANT:</w:t>
      </w:r>
      <w:r>
        <w:rPr>
          <w:sz w:val="20"/>
          <w:szCs w:val="20"/>
          <w:color w:val="auto"/>
        </w:rPr>
        <w:tab/>
      </w:r>
      <w:r>
        <w:rPr>
          <w:rFonts w:ascii="Times New Roman" w:cs="Times New Roman" w:eastAsia="Times New Roman" w:hAnsi="Times New Roman"/>
          <w:sz w:val="18"/>
          <w:szCs w:val="18"/>
          <w:b w:val="1"/>
          <w:bCs w:val="1"/>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64077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407785" cy="762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AEROVIRONMENT, INC.,</w:t>
            </w: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PRINCETON AVENUE HOLDINGS, LLC,</w:t>
            </w:r>
          </w:p>
        </w:tc>
        <w:tc>
          <w:tcPr>
            <w:tcW w:w="0" w:type="dxa"/>
            <w:vAlign w:val="bottom"/>
          </w:tcPr>
          <w:p>
            <w:pPr>
              <w:spacing w:after="0"/>
              <w:rPr>
                <w:sz w:val="1"/>
                <w:szCs w:val="1"/>
                <w:color w:val="auto"/>
              </w:rPr>
            </w:pPr>
          </w:p>
        </w:tc>
      </w:tr>
      <w:tr>
        <w:trPr>
          <w:trHeight w:val="241"/>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corporation</w:t>
            </w: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 California limited liability company</w:t>
            </w:r>
          </w:p>
        </w:tc>
        <w:tc>
          <w:tcPr>
            <w:tcW w:w="0" w:type="dxa"/>
            <w:vAlign w:val="bottom"/>
          </w:tcPr>
          <w:p>
            <w:pPr>
              <w:spacing w:after="0"/>
              <w:rPr>
                <w:sz w:val="1"/>
                <w:szCs w:val="1"/>
                <w:color w:val="auto"/>
              </w:rPr>
            </w:pPr>
          </w:p>
        </w:tc>
      </w:tr>
      <w:tr>
        <w:trPr>
          <w:trHeight w:val="38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Kirk J. Flittie</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Nearon Enterprises, a California</w:t>
            </w:r>
          </w:p>
        </w:tc>
        <w:tc>
          <w:tcPr>
            <w:tcW w:w="0" w:type="dxa"/>
            <w:vAlign w:val="bottom"/>
          </w:tcPr>
          <w:p>
            <w:pPr>
              <w:spacing w:after="0"/>
              <w:rPr>
                <w:sz w:val="1"/>
                <w:szCs w:val="1"/>
                <w:color w:val="auto"/>
              </w:rPr>
            </w:pPr>
          </w:p>
        </w:tc>
      </w:tr>
      <w:tr>
        <w:trPr>
          <w:trHeight w:val="2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r>
        <w:trPr>
          <w:trHeight w:val="177"/>
        </w:trPr>
        <w:tc>
          <w:tcPr>
            <w:tcW w:w="600" w:type="dxa"/>
            <w:vAlign w:val="bottom"/>
            <w:vMerge w:val="continue"/>
          </w:tcPr>
          <w:p>
            <w:pPr>
              <w:spacing w:after="0"/>
              <w:rPr>
                <w:sz w:val="15"/>
                <w:szCs w:val="15"/>
                <w:color w:val="auto"/>
              </w:rPr>
            </w:pPr>
          </w:p>
        </w:tc>
        <w:tc>
          <w:tcPr>
            <w:tcW w:w="4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Kirk J. Flittie</w:t>
            </w:r>
          </w:p>
        </w:tc>
        <w:tc>
          <w:tcPr>
            <w:tcW w:w="700" w:type="dxa"/>
            <w:vAlign w:val="bottom"/>
          </w:tcPr>
          <w:p>
            <w:pPr>
              <w:spacing w:after="0"/>
              <w:rPr>
                <w:sz w:val="15"/>
                <w:szCs w:val="15"/>
                <w:color w:val="auto"/>
              </w:rPr>
            </w:pP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Its:</w:t>
            </w:r>
          </w:p>
        </w:tc>
        <w:tc>
          <w:tcPr>
            <w:tcW w:w="4420" w:type="dxa"/>
            <w:vAlign w:val="bottom"/>
            <w:tcBorders>
              <w:bottom w:val="single" w:sz="8" w:color="auto"/>
            </w:tcBorders>
            <w:gridSpan w:val="2"/>
          </w:tcPr>
          <w:p>
            <w:pPr>
              <w:spacing w:after="0" w:line="20" w:lineRule="exact"/>
              <w:rPr>
                <w:sz w:val="1"/>
                <w:szCs w:val="1"/>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Its:</w:t>
            </w: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Designated</w:t>
            </w:r>
          </w:p>
        </w:tc>
        <w:tc>
          <w:tcPr>
            <w:tcW w:w="0" w:type="dxa"/>
            <w:vAlign w:val="bottom"/>
          </w:tcPr>
          <w:p>
            <w:pPr>
              <w:spacing w:after="0"/>
              <w:rPr>
                <w:sz w:val="1"/>
                <w:szCs w:val="1"/>
                <w:color w:val="auto"/>
              </w:rPr>
            </w:pPr>
          </w:p>
        </w:tc>
      </w:tr>
      <w:tr>
        <w:trPr>
          <w:trHeight w:val="200"/>
        </w:trPr>
        <w:tc>
          <w:tcPr>
            <w:tcW w:w="600" w:type="dxa"/>
            <w:vAlign w:val="bottom"/>
            <w:vMerge w:val="continue"/>
          </w:tcPr>
          <w:p>
            <w:pPr>
              <w:spacing w:after="0"/>
              <w:rPr>
                <w:sz w:val="17"/>
                <w:szCs w:val="17"/>
                <w:color w:val="auto"/>
              </w:rPr>
            </w:pPr>
          </w:p>
        </w:tc>
        <w:tc>
          <w:tcPr>
            <w:tcW w:w="442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VP &amp; GM</w:t>
            </w:r>
          </w:p>
        </w:tc>
        <w:tc>
          <w:tcPr>
            <w:tcW w:w="700" w:type="dxa"/>
            <w:vAlign w:val="bottom"/>
            <w:vMerge w:val="continue"/>
          </w:tcPr>
          <w:p>
            <w:pPr>
              <w:spacing w:after="0"/>
              <w:rPr>
                <w:sz w:val="17"/>
                <w:szCs w:val="17"/>
                <w:color w:val="auto"/>
              </w:rPr>
            </w:pPr>
          </w:p>
        </w:tc>
        <w:tc>
          <w:tcPr>
            <w:tcW w:w="4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Perino</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Anthony Perino,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1"/>
          <w:szCs w:val="11"/>
          <w:color w:val="auto"/>
        </w:rPr>
        <w:t>AeroVironment</w:t>
      </w:r>
    </w:p>
    <w:p>
      <w:pPr>
        <w:spacing w:after="0" w:line="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1"/>
          <w:szCs w:val="11"/>
          <w:color w:val="auto"/>
        </w:rPr>
        <w:t>First 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414770" cy="22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414770" cy="22225"/>
                    </a:xfrm>
                    <a:prstGeom prst="rect">
                      <a:avLst/>
                    </a:prstGeom>
                    <a:noFill/>
                  </pic:spPr>
                </pic:pic>
              </a:graphicData>
            </a:graphic>
          </wp:anchor>
        </w:drawing>
      </w:r>
    </w:p>
    <w:p>
      <w:pPr>
        <w:sectPr>
          <w:pgSz w:w="11900" w:h="16838" w:orient="portrait"/>
          <w:cols w:equalWidth="0" w:num="1">
            <w:col w:w="10100"/>
          </w:cols>
          <w:pgMar w:left="900" w:top="114" w:right="899" w:bottom="1440" w:gutter="0" w:footer="0" w:header="0"/>
        </w:sectPr>
      </w:pPr>
    </w:p>
    <w:bookmarkStart w:id="44" w:name="page45"/>
    <w:bookmarkEnd w:id="44"/>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u w:val="single" w:color="auto"/>
          <w:color w:val="auto"/>
        </w:rPr>
        <w:t>Expansion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222885</wp:posOffset>
            </wp:positionV>
            <wp:extent cx="6414770"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414770" cy="22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AeroVironment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First Amendment to Lease</w:t>
      </w:r>
    </w:p>
    <w:p>
      <w:pPr>
        <w:sectPr>
          <w:pgSz w:w="11900" w:h="16838" w:orient="portrait"/>
          <w:cols w:equalWidth="0" w:num="2">
            <w:col w:w="7260" w:space="720"/>
            <w:col w:w="1140"/>
          </w:cols>
          <w:pgMar w:left="1440" w:top="114" w:right="1339" w:bottom="1440"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5336540</wp:posOffset>
            </wp:positionV>
            <wp:extent cx="6605905" cy="22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605905" cy="22225"/>
                    </a:xfrm>
                    <a:prstGeom prst="rect">
                      <a:avLst/>
                    </a:prstGeom>
                    <a:noFill/>
                  </pic:spPr>
                </pic:pic>
              </a:graphicData>
            </a:graphic>
          </wp:anchor>
        </w:drawing>
        <w:drawing>
          <wp:anchor simplePos="0" relativeHeight="251657728" behindDoc="1" locked="0" layoutInCell="0" allowOverlap="1">
            <wp:simplePos x="0" y="0"/>
            <wp:positionH relativeFrom="page">
              <wp:posOffset>1740535</wp:posOffset>
            </wp:positionH>
            <wp:positionV relativeFrom="page">
              <wp:posOffset>220980</wp:posOffset>
            </wp:positionV>
            <wp:extent cx="4081145" cy="3728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081145" cy="3728720"/>
                    </a:xfrm>
                    <a:prstGeom prst="rect">
                      <a:avLst/>
                    </a:prstGeom>
                    <a:noFill/>
                  </pic:spPr>
                </pic:pic>
              </a:graphicData>
            </a:graphic>
          </wp:anchor>
        </w:drawing>
        <w:drawing>
          <wp:anchor simplePos="0" relativeHeight="251657728" behindDoc="1" locked="0" layoutInCell="0" allowOverlap="1">
            <wp:simplePos x="0" y="0"/>
            <wp:positionH relativeFrom="page">
              <wp:posOffset>478155</wp:posOffset>
            </wp:positionH>
            <wp:positionV relativeFrom="page">
              <wp:posOffset>4566285</wp:posOffset>
            </wp:positionV>
            <wp:extent cx="6989445" cy="5943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89445" cy="594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4764405</wp:posOffset>
            </wp:positionV>
            <wp:extent cx="660590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605905" cy="22225"/>
                    </a:xfrm>
                    <a:prstGeom prst="rect">
                      <a:avLst/>
                    </a:prstGeom>
                    <a:noFill/>
                  </pic:spPr>
                </pic:pic>
              </a:graphicData>
            </a:graphic>
          </wp:anchor>
        </w:drawing>
        <w:drawing>
          <wp:anchor simplePos="0" relativeHeight="251657728" behindDoc="1" locked="0" layoutInCell="0" allowOverlap="1">
            <wp:simplePos x="0" y="0"/>
            <wp:positionH relativeFrom="page">
              <wp:posOffset>1769745</wp:posOffset>
            </wp:positionH>
            <wp:positionV relativeFrom="page">
              <wp:posOffset>353060</wp:posOffset>
            </wp:positionV>
            <wp:extent cx="4022090" cy="3155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022090" cy="3155950"/>
                    </a:xfrm>
                    <a:prstGeom prst="rect">
                      <a:avLst/>
                    </a:prstGeom>
                    <a:noFill/>
                  </pic:spPr>
                </pic:pic>
              </a:graphicData>
            </a:graphic>
          </wp:anchor>
        </w:drawing>
        <w:drawing>
          <wp:anchor simplePos="0" relativeHeight="251657728" behindDoc="1" locked="0" layoutInCell="0" allowOverlap="1">
            <wp:simplePos x="0" y="0"/>
            <wp:positionH relativeFrom="page">
              <wp:posOffset>478155</wp:posOffset>
            </wp:positionH>
            <wp:positionV relativeFrom="page">
              <wp:posOffset>3993515</wp:posOffset>
            </wp:positionV>
            <wp:extent cx="6989445" cy="5943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989445" cy="594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ind w:left="3960"/>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18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Premises</w:t>
      </w:r>
    </w:p>
    <w:p>
      <w:pPr>
        <w:spacing w:after="0" w:line="3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u w:val="single" w:color="auto"/>
          <w:color w:val="auto"/>
        </w:rPr>
        <w:t>(after inclusion of the Expansion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222885</wp:posOffset>
            </wp:positionV>
            <wp:extent cx="6414770"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414770" cy="22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AeroVironment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First Amendment to Lease</w:t>
      </w:r>
    </w:p>
    <w:p>
      <w:pPr>
        <w:sectPr>
          <w:pgSz w:w="11900" w:h="16838" w:orient="portrait"/>
          <w:cols w:equalWidth="0" w:num="2">
            <w:col w:w="7260" w:space="720"/>
            <w:col w:w="1140"/>
          </w:cols>
          <w:pgMar w:left="1440" w:top="114" w:right="1339" w:bottom="1440"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4991735</wp:posOffset>
            </wp:positionV>
            <wp:extent cx="660590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605905" cy="22225"/>
                    </a:xfrm>
                    <a:prstGeom prst="rect">
                      <a:avLst/>
                    </a:prstGeom>
                    <a:noFill/>
                  </pic:spPr>
                </pic:pic>
              </a:graphicData>
            </a:graphic>
          </wp:anchor>
        </w:drawing>
        <w:drawing>
          <wp:anchor simplePos="0" relativeHeight="251657728" behindDoc="1" locked="0" layoutInCell="0" allowOverlap="1">
            <wp:simplePos x="0" y="0"/>
            <wp:positionH relativeFrom="page">
              <wp:posOffset>1740535</wp:posOffset>
            </wp:positionH>
            <wp:positionV relativeFrom="page">
              <wp:posOffset>88900</wp:posOffset>
            </wp:positionV>
            <wp:extent cx="4081145" cy="3648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081145" cy="3648075"/>
                    </a:xfrm>
                    <a:prstGeom prst="rect">
                      <a:avLst/>
                    </a:prstGeom>
                    <a:noFill/>
                  </pic:spPr>
                </pic:pic>
              </a:graphicData>
            </a:graphic>
          </wp:anchor>
        </w:drawing>
        <w:drawing>
          <wp:anchor simplePos="0" relativeHeight="251657728" behindDoc="1" locked="0" layoutInCell="0" allowOverlap="1">
            <wp:simplePos x="0" y="0"/>
            <wp:positionH relativeFrom="page">
              <wp:posOffset>478155</wp:posOffset>
            </wp:positionH>
            <wp:positionV relativeFrom="page">
              <wp:posOffset>4221480</wp:posOffset>
            </wp:positionV>
            <wp:extent cx="6989445" cy="5943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989445" cy="594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4478020</wp:posOffset>
            </wp:positionV>
            <wp:extent cx="660590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605905" cy="14605"/>
                    </a:xfrm>
                    <a:prstGeom prst="rect">
                      <a:avLst/>
                    </a:prstGeom>
                    <a:noFill/>
                  </pic:spPr>
                </pic:pic>
              </a:graphicData>
            </a:graphic>
          </wp:anchor>
        </w:drawing>
        <w:drawing>
          <wp:anchor simplePos="0" relativeHeight="251657728" behindDoc="1" locked="0" layoutInCell="0" allowOverlap="1">
            <wp:simplePos x="0" y="0"/>
            <wp:positionH relativeFrom="page">
              <wp:posOffset>1623060</wp:posOffset>
            </wp:positionH>
            <wp:positionV relativeFrom="page">
              <wp:posOffset>353060</wp:posOffset>
            </wp:positionV>
            <wp:extent cx="4323080" cy="273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323080" cy="2737485"/>
                    </a:xfrm>
                    <a:prstGeom prst="rect">
                      <a:avLst/>
                    </a:prstGeom>
                    <a:noFill/>
                  </pic:spPr>
                </pic:pic>
              </a:graphicData>
            </a:graphic>
          </wp:anchor>
        </w:drawing>
        <w:drawing>
          <wp:anchor simplePos="0" relativeHeight="251657728" behindDoc="1" locked="0" layoutInCell="0" allowOverlap="1">
            <wp:simplePos x="0" y="0"/>
            <wp:positionH relativeFrom="page">
              <wp:posOffset>478155</wp:posOffset>
            </wp:positionH>
            <wp:positionV relativeFrom="page">
              <wp:posOffset>3707130</wp:posOffset>
            </wp:positionV>
            <wp:extent cx="6989445" cy="594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989445" cy="594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ind w:left="458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Work Letter</w:t>
      </w:r>
    </w:p>
    <w:p>
      <w:pPr>
        <w:spacing w:after="0" w:line="190" w:lineRule="exact"/>
        <w:rPr>
          <w:sz w:val="20"/>
          <w:szCs w:val="20"/>
          <w:color w:val="auto"/>
        </w:rPr>
      </w:pPr>
    </w:p>
    <w:p>
      <w:pPr>
        <w:jc w:val="both"/>
        <w:ind w:left="180" w:firstLine="555"/>
        <w:spacing w:after="0" w:line="280" w:lineRule="auto"/>
        <w:rPr>
          <w:sz w:val="20"/>
          <w:szCs w:val="20"/>
          <w:color w:val="auto"/>
        </w:rPr>
      </w:pPr>
      <w:r>
        <w:rPr>
          <w:rFonts w:ascii="Times New Roman" w:cs="Times New Roman" w:eastAsia="Times New Roman" w:hAnsi="Times New Roman"/>
          <w:sz w:val="18"/>
          <w:szCs w:val="18"/>
          <w:color w:val="auto"/>
        </w:rPr>
        <w:t xml:space="preserve">This Work Letter shall set forth the terms and conditions relating to the construction of the tenant improvements in the Expansion Premises (the </w:t>
      </w:r>
      <w:r>
        <w:rPr>
          <w:rFonts w:ascii="Times New Roman" w:cs="Times New Roman" w:eastAsia="Times New Roman" w:hAnsi="Times New Roman"/>
          <w:sz w:val="18"/>
          <w:szCs w:val="18"/>
          <w:u w:val="single" w:color="auto"/>
          <w:color w:val="auto"/>
        </w:rPr>
        <w:t>"Expansion Premises Tenant Improvements")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CONSTRUCTION DRAWINGS</w:t>
      </w:r>
    </w:p>
    <w:p>
      <w:pPr>
        <w:spacing w:after="0" w:line="186" w:lineRule="exact"/>
        <w:rPr>
          <w:sz w:val="20"/>
          <w:szCs w:val="20"/>
          <w:color w:val="auto"/>
        </w:rPr>
      </w:pPr>
    </w:p>
    <w:p>
      <w:pPr>
        <w:jc w:val="both"/>
        <w:ind w:left="180" w:firstLine="555"/>
        <w:spacing w:after="0" w:line="24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Selection of Architect/Construction Drawings.</w:t>
      </w:r>
      <w:r>
        <w:rPr>
          <w:rFonts w:ascii="Times New Roman" w:cs="Times New Roman" w:eastAsia="Times New Roman" w:hAnsi="Times New Roman"/>
          <w:sz w:val="18"/>
          <w:szCs w:val="18"/>
          <w:color w:val="auto"/>
        </w:rPr>
        <w:t xml:space="preserve"> Tenant shall retain a California licensed architect (the </w:t>
      </w:r>
      <w:r>
        <w:rPr>
          <w:rFonts w:ascii="Times New Roman" w:cs="Times New Roman" w:eastAsia="Times New Roman" w:hAnsi="Times New Roman"/>
          <w:sz w:val="18"/>
          <w:szCs w:val="18"/>
          <w:u w:val="single" w:color="auto"/>
          <w:color w:val="auto"/>
        </w:rPr>
        <w:t>"Architect")</w:t>
      </w:r>
      <w:r>
        <w:rPr>
          <w:rFonts w:ascii="Times New Roman" w:cs="Times New Roman" w:eastAsia="Times New Roman" w:hAnsi="Times New Roman"/>
          <w:sz w:val="18"/>
          <w:szCs w:val="18"/>
          <w:color w:val="auto"/>
        </w:rPr>
        <w:t xml:space="preserve"> to prepare the Construction Drawings (as defined below). Tenant shall retain a California licensed engineering company (the </w:t>
      </w:r>
      <w:r>
        <w:rPr>
          <w:rFonts w:ascii="Times New Roman" w:cs="Times New Roman" w:eastAsia="Times New Roman" w:hAnsi="Times New Roman"/>
          <w:sz w:val="18"/>
          <w:szCs w:val="18"/>
          <w:u w:val="single" w:color="auto"/>
          <w:color w:val="auto"/>
        </w:rPr>
        <w:t>"Engineers")</w:t>
      </w:r>
      <w:r>
        <w:rPr>
          <w:rFonts w:ascii="Times New Roman" w:cs="Times New Roman" w:eastAsia="Times New Roman" w:hAnsi="Times New Roman"/>
          <w:sz w:val="18"/>
          <w:szCs w:val="18"/>
          <w:color w:val="auto"/>
        </w:rPr>
        <w:t xml:space="preserve"> to prepare all plans and engineering working drawings relating to the structural, mechanical, electrical, plumbing, HVAC, lifesafety, and sprinkler work in the Expansion Premises. The plans and drawings to be prepared by Architect and the Engineers hereunder shall be known collectively as the </w:t>
      </w:r>
      <w:r>
        <w:rPr>
          <w:rFonts w:ascii="Times New Roman" w:cs="Times New Roman" w:eastAsia="Times New Roman" w:hAnsi="Times New Roman"/>
          <w:sz w:val="18"/>
          <w:szCs w:val="18"/>
          <w:u w:val="single" w:color="auto"/>
          <w:color w:val="auto"/>
        </w:rPr>
        <w:t>"Construction Drawings."</w:t>
      </w:r>
      <w:r>
        <w:rPr>
          <w:rFonts w:ascii="Times New Roman" w:cs="Times New Roman" w:eastAsia="Times New Roman" w:hAnsi="Times New Roman"/>
          <w:sz w:val="18"/>
          <w:szCs w:val="18"/>
          <w:color w:val="auto"/>
        </w:rPr>
        <w:t xml:space="preserve"> All Construction Drawings shall comply with the drawing format and specifications determined by Landlord, and shall be subject to Landlord's approval.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the Construction Drawings as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be for its sole purpose and shall not imply Landlord's review of the same, or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 and Tenant's waiver and indemnity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Existing Lease shall specifically apply to the Construction Drawings.</w:t>
      </w:r>
    </w:p>
    <w:p>
      <w:pPr>
        <w:spacing w:after="0" w:line="360" w:lineRule="exact"/>
        <w:rPr>
          <w:sz w:val="20"/>
          <w:szCs w:val="20"/>
          <w:color w:val="auto"/>
        </w:rPr>
      </w:pPr>
    </w:p>
    <w:p>
      <w:pPr>
        <w:jc w:val="both"/>
        <w:ind w:left="180" w:firstLine="555"/>
        <w:spacing w:after="0" w:line="24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Final Space Plan.</w:t>
      </w:r>
      <w:r>
        <w:rPr>
          <w:rFonts w:ascii="Times New Roman" w:cs="Times New Roman" w:eastAsia="Times New Roman" w:hAnsi="Times New Roman"/>
          <w:sz w:val="18"/>
          <w:szCs w:val="18"/>
          <w:color w:val="auto"/>
        </w:rPr>
        <w:t xml:space="preserve"> Tenant shall supply Landlord with four (4) copies signed by Tenant of its final space plan for the Expansion Premises before any architectural working drawings or engineering drawings have been commenced. The final space plan (the </w:t>
      </w:r>
      <w:r>
        <w:rPr>
          <w:rFonts w:ascii="Times New Roman" w:cs="Times New Roman" w:eastAsia="Times New Roman" w:hAnsi="Times New Roman"/>
          <w:sz w:val="18"/>
          <w:szCs w:val="18"/>
          <w:u w:val="single" w:color="auto"/>
          <w:color w:val="auto"/>
        </w:rPr>
        <w:t>"Final Space Plan")</w:t>
      </w:r>
      <w:r>
        <w:rPr>
          <w:rFonts w:ascii="Times New Roman" w:cs="Times New Roman" w:eastAsia="Times New Roman" w:hAnsi="Times New Roman"/>
          <w:sz w:val="18"/>
          <w:szCs w:val="18"/>
          <w:color w:val="auto"/>
        </w:rPr>
        <w:t xml:space="preserve"> shall include a layout and designation of all offices,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Expansion Premises if the same is unsatisfactory or incomplete in any respect. If Tenant is so advised, Tenant shall promptly cause the Final Space Plan to be revised to correct any deficiencies or other matters Landlord may reasonably require.</w:t>
      </w:r>
    </w:p>
    <w:p>
      <w:pPr>
        <w:spacing w:after="0" w:line="150" w:lineRule="exact"/>
        <w:rPr>
          <w:sz w:val="20"/>
          <w:szCs w:val="20"/>
          <w:color w:val="auto"/>
        </w:rPr>
      </w:pPr>
    </w:p>
    <w:p>
      <w:pPr>
        <w:jc w:val="both"/>
        <w:ind w:left="180" w:firstLine="555"/>
        <w:spacing w:after="0" w:line="280"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Final Working Drawings.</w:t>
      </w:r>
      <w:r>
        <w:rPr>
          <w:rFonts w:ascii="Times New Roman" w:cs="Times New Roman" w:eastAsia="Times New Roman" w:hAnsi="Times New Roman"/>
          <w:sz w:val="18"/>
          <w:szCs w:val="18"/>
          <w:color w:val="auto"/>
        </w:rPr>
        <w:t xml:space="preserve"> After the Final Space Plan has been approved by Landlord, Tenant shall supply the Engineers with a complete listing of standard and non-standard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B-1</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4" w:right="899" w:bottom="1440" w:gutter="0" w:footer="0" w:header="0"/>
        </w:sectPr>
      </w:pPr>
    </w:p>
    <w:bookmarkStart w:id="51" w:name="page52"/>
    <w:bookmarkEnd w:id="51"/>
    <w:p>
      <w:pPr>
        <w:jc w:val="both"/>
        <w:ind w:left="180"/>
        <w:spacing w:after="0" w:line="244" w:lineRule="auto"/>
        <w:rPr>
          <w:sz w:val="20"/>
          <w:szCs w:val="20"/>
          <w:color w:val="auto"/>
        </w:rPr>
      </w:pPr>
      <w:r>
        <w:rPr>
          <w:rFonts w:ascii="Times New Roman" w:cs="Times New Roman" w:eastAsia="Times New Roman" w:hAnsi="Times New Roman"/>
          <w:sz w:val="18"/>
          <w:szCs w:val="18"/>
          <w:color w:val="auto"/>
        </w:rPr>
        <w:t xml:space="preserve">equipment and specifications, including, without limitation, B.T.U. calculations, electrical requirements and special electrical receptacle requirements for the Expansion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Expansion Premises, and Architect shall compile a fully coordinated set of architectural, structural, mechanical, electrical and plumbing working drawings in a form which is complete to allow subcontractors to bid on the work and to obtain all applicable permits (collectively, the </w:t>
      </w:r>
      <w:r>
        <w:rPr>
          <w:rFonts w:ascii="Times New Roman" w:cs="Times New Roman" w:eastAsia="Times New Roman" w:hAnsi="Times New Roman"/>
          <w:sz w:val="18"/>
          <w:szCs w:val="18"/>
          <w:u w:val="single" w:color="auto"/>
          <w:color w:val="auto"/>
        </w:rPr>
        <w:t>"Final Working Drawings")</w:t>
      </w:r>
      <w:r>
        <w:rPr>
          <w:rFonts w:ascii="Times New Roman" w:cs="Times New Roman" w:eastAsia="Times New Roman" w:hAnsi="Times New Roman"/>
          <w:sz w:val="18"/>
          <w:szCs w:val="18"/>
          <w:color w:val="auto"/>
        </w:rPr>
        <w:t xml:space="preserve"> and shall submit the same to Landlord for Landlord's approval. Tenant shall supply Landlord with four (4) copies signed by Tenant of such Final Working Drawings. Landlord shall advise Tenant within fifteen</w:t>
      </w:r>
    </w:p>
    <w:p>
      <w:pPr>
        <w:spacing w:after="0" w:line="2" w:lineRule="exact"/>
        <w:rPr>
          <w:sz w:val="20"/>
          <w:szCs w:val="20"/>
          <w:color w:val="auto"/>
        </w:rPr>
      </w:pPr>
    </w:p>
    <w:p>
      <w:pPr>
        <w:jc w:val="both"/>
        <w:ind w:left="140" w:firstLine="13"/>
        <w:spacing w:after="0" w:line="249"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Landlord's receipt of the Final Working Drawings for the Expansion Premises if the same is unsatisfactory or incomplete in any respect. If Tenant is so advised, Tenant shall immediately revise the Final Working Drawings in accordance with such review and any disapproval of Landlord in connection therewith.</w:t>
      </w:r>
    </w:p>
    <w:p>
      <w:pPr>
        <w:spacing w:after="0" w:line="145" w:lineRule="exact"/>
        <w:rPr>
          <w:sz w:val="20"/>
          <w:szCs w:val="20"/>
          <w:color w:val="auto"/>
        </w:rPr>
      </w:pPr>
    </w:p>
    <w:p>
      <w:pPr>
        <w:jc w:val="both"/>
        <w:ind w:left="180" w:firstLine="555"/>
        <w:spacing w:after="0" w:line="24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Approved Working Drawings.</w:t>
      </w:r>
      <w:r>
        <w:rPr>
          <w:rFonts w:ascii="Times New Roman" w:cs="Times New Roman" w:eastAsia="Times New Roman" w:hAnsi="Times New Roman"/>
          <w:sz w:val="18"/>
          <w:szCs w:val="18"/>
          <w:color w:val="auto"/>
        </w:rPr>
        <w:t xml:space="preserve"> The Final Working Drawings shall be approved by Landlord (the </w:t>
      </w:r>
      <w:r>
        <w:rPr>
          <w:rFonts w:ascii="Times New Roman" w:cs="Times New Roman" w:eastAsia="Times New Roman" w:hAnsi="Times New Roman"/>
          <w:sz w:val="18"/>
          <w:szCs w:val="18"/>
          <w:u w:val="single" w:color="auto"/>
          <w:color w:val="auto"/>
        </w:rPr>
        <w:t>"Approved Working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Drawings")</w:t>
      </w:r>
      <w:r>
        <w:rPr>
          <w:rFonts w:ascii="Times New Roman" w:cs="Times New Roman" w:eastAsia="Times New Roman" w:hAnsi="Times New Roman"/>
          <w:sz w:val="18"/>
          <w:szCs w:val="18"/>
          <w:color w:val="auto"/>
        </w:rPr>
        <w:t xml:space="preserve"> prior to the commencement of construction of the Expansion Premises Tenant Improvements by Tenant. After approval by Landlord of the Final Working Drawings, Tenant may submit the same to the City of Moorpark for all applicable building permits. Tenant hereby agrees that neither Landlord nor Landlord's consultants shall be responsible for obtaining any building permit or certificate of occupancy for the Expansion Premises Tenant Improvements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in the Approved Working Drawings may be made without the prior written consent of Landlord, which consent may not be unreasonably withheld.</w:t>
      </w:r>
    </w:p>
    <w:p>
      <w:pPr>
        <w:spacing w:after="0" w:line="1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u w:val="single" w:color="auto"/>
          <w:color w:val="auto"/>
        </w:rPr>
        <w:t>SECTION2</w:t>
      </w:r>
    </w:p>
    <w:p>
      <w:pPr>
        <w:spacing w:after="0" w:line="18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u w:val="single" w:color="auto"/>
          <w:color w:val="auto"/>
        </w:rPr>
        <w:t>CONSTRUCTION OF THE EXPANSION PREMISES TENANT IMPROVEMENTS</w:t>
      </w:r>
    </w:p>
    <w:p>
      <w:pPr>
        <w:spacing w:after="0" w:line="186"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Tenant's Selection of Contractors.</w:t>
      </w:r>
    </w:p>
    <w:p>
      <w:pPr>
        <w:spacing w:after="0" w:line="186" w:lineRule="exact"/>
        <w:rPr>
          <w:sz w:val="20"/>
          <w:szCs w:val="20"/>
          <w:color w:val="auto"/>
        </w:rPr>
      </w:pPr>
    </w:p>
    <w:p>
      <w:pPr>
        <w:jc w:val="both"/>
        <w:ind w:left="180" w:firstLine="1087"/>
        <w:spacing w:after="0" w:line="280"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The Contractor.</w:t>
      </w:r>
      <w:r>
        <w:rPr>
          <w:rFonts w:ascii="Times New Roman" w:cs="Times New Roman" w:eastAsia="Times New Roman" w:hAnsi="Times New Roman"/>
          <w:sz w:val="18"/>
          <w:szCs w:val="18"/>
          <w:color w:val="auto"/>
        </w:rPr>
        <w:t xml:space="preserve"> A California licensed general contractor shall be retained by Tenant to construct the Expansion Premises Tenant Improvements.</w:t>
      </w:r>
    </w:p>
    <w:p>
      <w:pPr>
        <w:spacing w:after="0" w:line="118" w:lineRule="exact"/>
        <w:rPr>
          <w:sz w:val="20"/>
          <w:szCs w:val="20"/>
          <w:color w:val="auto"/>
        </w:rPr>
      </w:pPr>
    </w:p>
    <w:p>
      <w:pPr>
        <w:jc w:val="both"/>
        <w:ind w:left="180" w:firstLine="1087"/>
        <w:spacing w:after="0" w:line="260"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Tenant's Agents.</w:t>
      </w:r>
      <w:r>
        <w:rPr>
          <w:rFonts w:ascii="Times New Roman" w:cs="Times New Roman" w:eastAsia="Times New Roman" w:hAnsi="Times New Roman"/>
          <w:sz w:val="18"/>
          <w:szCs w:val="18"/>
          <w:color w:val="auto"/>
        </w:rPr>
        <w:t xml:space="preserve"> All subcontractors, laborers, materialmen, and suppliers used by Tenant (such subcontractors, laborers, materialmen, and suppliers, and the Contractor to be known collectively as </w:t>
      </w:r>
      <w:r>
        <w:rPr>
          <w:rFonts w:ascii="Times New Roman" w:cs="Times New Roman" w:eastAsia="Times New Roman" w:hAnsi="Times New Roman"/>
          <w:sz w:val="18"/>
          <w:szCs w:val="18"/>
          <w:u w:val="single" w:color="auto"/>
          <w:color w:val="auto"/>
        </w:rPr>
        <w:t>"Tenant's Agents")</w:t>
      </w:r>
      <w:r>
        <w:rPr>
          <w:rFonts w:ascii="Times New Roman" w:cs="Times New Roman" w:eastAsia="Times New Roman" w:hAnsi="Times New Roman"/>
          <w:sz w:val="18"/>
          <w:szCs w:val="18"/>
          <w:color w:val="auto"/>
        </w:rPr>
        <w:t xml:space="preserve"> shall be reasonably approved by Landlord. All of Tenant's Agents must be licensed in the State of California and capable of being bonded.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B-2</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5" w:right="899" w:bottom="1440" w:gutter="0" w:footer="0" w:header="0"/>
        </w:sectPr>
      </w:pPr>
    </w:p>
    <w:bookmarkStart w:id="52" w:name="page53"/>
    <w:bookmarkEnd w:id="52"/>
    <w:p>
      <w:pPr>
        <w:ind w:left="720"/>
        <w:spacing w:after="0"/>
        <w:tabs>
          <w:tab w:leader="none" w:pos="12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Construction of Expansion Premises Tenant Improvements by Tenant's Agents.</w:t>
      </w:r>
    </w:p>
    <w:p>
      <w:pPr>
        <w:spacing w:after="0" w:line="187" w:lineRule="exact"/>
        <w:rPr>
          <w:sz w:val="20"/>
          <w:szCs w:val="20"/>
          <w:color w:val="auto"/>
        </w:rPr>
      </w:pPr>
    </w:p>
    <w:p>
      <w:pPr>
        <w:jc w:val="both"/>
        <w:ind w:left="180" w:firstLine="1087"/>
        <w:spacing w:after="0" w:line="246"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Construction Contract; Cost Budget.</w:t>
      </w:r>
      <w:r>
        <w:rPr>
          <w:rFonts w:ascii="Times New Roman" w:cs="Times New Roman" w:eastAsia="Times New Roman" w:hAnsi="Times New Roman"/>
          <w:sz w:val="18"/>
          <w:szCs w:val="18"/>
          <w:color w:val="auto"/>
        </w:rPr>
        <w:t xml:space="preserve"> Prior to Tenant's execution of the construction contract and general conditions with Contractor (which shall be on an AIA Standard Form of Agreement Between Owner and Contractor where the basis for payment is either the cost of the work plus a fee or a stipulated sum) (the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xml:space="preserve"> Tenant shall submit the Contract to Landlord for its approval, which approval shall not be unreasonably withheld, conditioned or delayed. Prior to the commencement of the construction of the Expansion Premises Tenant Improvements, and after Tenant has accepted all bids for the Expansion Premises Tenant Improvements, Tenant shall provide Landlord with a detailed breakdown, by trade, of the final costs to be incurred or which have been incurred in connection with the design and construction of the Expansion Premises Tenant Improvements to be performed by or at the direction of Tenant or the Contractor, which costs form a basis for the amount of the Contract (the </w:t>
      </w:r>
      <w:r>
        <w:rPr>
          <w:rFonts w:ascii="Times New Roman" w:cs="Times New Roman" w:eastAsia="Times New Roman" w:hAnsi="Times New Roman"/>
          <w:sz w:val="18"/>
          <w:szCs w:val="18"/>
          <w:u w:val="single" w:color="auto"/>
          <w:color w:val="auto"/>
        </w:rPr>
        <w:t>"Final Costs").</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Tenant's Agents.</w:t>
      </w:r>
    </w:p>
    <w:p>
      <w:pPr>
        <w:spacing w:after="0" w:line="186" w:lineRule="exact"/>
        <w:rPr>
          <w:sz w:val="20"/>
          <w:szCs w:val="20"/>
          <w:color w:val="auto"/>
        </w:rPr>
      </w:pPr>
    </w:p>
    <w:p>
      <w:pPr>
        <w:jc w:val="both"/>
        <w:ind w:left="180" w:firstLine="1664"/>
        <w:spacing w:after="0" w:line="248" w:lineRule="auto"/>
        <w:rPr>
          <w:sz w:val="20"/>
          <w:szCs w:val="20"/>
          <w:color w:val="auto"/>
        </w:rPr>
      </w:pPr>
      <w:r>
        <w:rPr>
          <w:rFonts w:ascii="Times New Roman" w:cs="Times New Roman" w:eastAsia="Times New Roman" w:hAnsi="Times New Roman"/>
          <w:sz w:val="18"/>
          <w:szCs w:val="18"/>
          <w:color w:val="auto"/>
        </w:rPr>
        <w:t xml:space="preserve">2.2.2.1 </w:t>
      </w:r>
      <w:r>
        <w:rPr>
          <w:rFonts w:ascii="Times New Roman" w:cs="Times New Roman" w:eastAsia="Times New Roman" w:hAnsi="Times New Roman"/>
          <w:sz w:val="18"/>
          <w:szCs w:val="18"/>
          <w:u w:val="single" w:color="auto"/>
          <w:color w:val="auto"/>
        </w:rPr>
        <w:t>Landlord's General Conditions for Tenant's Agents and Tenant Improvement Work.</w:t>
      </w:r>
      <w:r>
        <w:rPr>
          <w:rFonts w:ascii="Times New Roman" w:cs="Times New Roman" w:eastAsia="Times New Roman" w:hAnsi="Times New Roman"/>
          <w:sz w:val="18"/>
          <w:szCs w:val="18"/>
          <w:color w:val="auto"/>
        </w:rPr>
        <w:t xml:space="preserve"> Tenant and Tenant's Agent's construction of the Expansion Premises Tenant Improvements shall comply with the following: (i) the Expansion Premises Tenant Improvements shall be constructed in strict accordance with the Approved Working Drawings;</w:t>
      </w:r>
    </w:p>
    <w:p>
      <w:pPr>
        <w:spacing w:after="0" w:line="3" w:lineRule="exact"/>
        <w:rPr>
          <w:sz w:val="20"/>
          <w:szCs w:val="20"/>
          <w:color w:val="auto"/>
        </w:rPr>
      </w:pPr>
    </w:p>
    <w:p>
      <w:pPr>
        <w:jc w:val="both"/>
        <w:ind w:left="180" w:hanging="8"/>
        <w:spacing w:after="0" w:line="241" w:lineRule="auto"/>
        <w:tabs>
          <w:tab w:leader="none" w:pos="4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 and (iii) Tenant shall abide by all rules made by Landlord's Building manager with respect to the use of freight, loading dock and service elevators, storage of materials, coordination of work with the contractors of other tenants, and any other matter in connection with this Tenant Work Letter, including, without limitation, the construction of the Expansion Premises Tenant Improvements.</w:t>
      </w:r>
    </w:p>
    <w:p>
      <w:pPr>
        <w:spacing w:after="0" w:line="1" w:lineRule="exact"/>
        <w:rPr>
          <w:sz w:val="20"/>
          <w:szCs w:val="20"/>
          <w:color w:val="auto"/>
        </w:rPr>
      </w:pPr>
    </w:p>
    <w:p>
      <w:pPr>
        <w:jc w:val="both"/>
        <w:ind w:left="180" w:firstLine="1664"/>
        <w:spacing w:after="0" w:line="243" w:lineRule="auto"/>
        <w:rPr>
          <w:sz w:val="20"/>
          <w:szCs w:val="20"/>
          <w:color w:val="auto"/>
        </w:rPr>
      </w:pPr>
      <w:r>
        <w:rPr>
          <w:rFonts w:ascii="Times New Roman" w:cs="Times New Roman" w:eastAsia="Times New Roman" w:hAnsi="Times New Roman"/>
          <w:sz w:val="18"/>
          <w:szCs w:val="18"/>
          <w:color w:val="auto"/>
        </w:rPr>
        <w:t xml:space="preserve">2.2.2.2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Tenant's indemnity of Landlord as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Existing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Expansion Premises Tenant Improvements and/or Tenant's disapproval of all or any portion of any request for payment. Such indemnity by Tenant, as set forth in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of the Existing Lease, shall also apply with respect to any and all costs, losses, damages, injuries and liabilities related in any way to Landlord's performance of any ministerial acts reasonably necessary (i) to permit Tenant to complete the Expansion Premises Tenant Improvements, and (ii) to enable Tenant to obtain any building permit or certificate of occupancy for the Expansion Premises.</w:t>
      </w:r>
    </w:p>
    <w:p>
      <w:pPr>
        <w:spacing w:after="0" w:line="153" w:lineRule="exact"/>
        <w:rPr>
          <w:sz w:val="20"/>
          <w:szCs w:val="20"/>
          <w:color w:val="auto"/>
        </w:rPr>
      </w:pPr>
    </w:p>
    <w:p>
      <w:pPr>
        <w:jc w:val="both"/>
        <w:ind w:left="180" w:firstLine="1664"/>
        <w:spacing w:after="0" w:line="254" w:lineRule="auto"/>
        <w:rPr>
          <w:sz w:val="20"/>
          <w:szCs w:val="20"/>
          <w:color w:val="auto"/>
        </w:rPr>
      </w:pPr>
      <w:r>
        <w:rPr>
          <w:rFonts w:ascii="Times New Roman" w:cs="Times New Roman" w:eastAsia="Times New Roman" w:hAnsi="Times New Roman"/>
          <w:sz w:val="18"/>
          <w:szCs w:val="18"/>
          <w:color w:val="auto"/>
        </w:rPr>
        <w:t xml:space="preserve">2.2.2.3 </w:t>
      </w:r>
      <w:r>
        <w:rPr>
          <w:rFonts w:ascii="Times New Roman" w:cs="Times New Roman" w:eastAsia="Times New Roman" w:hAnsi="Times New Roman"/>
          <w:sz w:val="18"/>
          <w:szCs w:val="18"/>
          <w:u w:val="single" w:color="auto"/>
          <w:color w:val="auto"/>
        </w:rPr>
        <w:t>Requirements of Tenant's Agents.</w:t>
      </w:r>
      <w:r>
        <w:rPr>
          <w:rFonts w:ascii="Times New Roman" w:cs="Times New Roman" w:eastAsia="Times New Roman" w:hAnsi="Times New Roman"/>
          <w:sz w:val="18"/>
          <w:szCs w:val="18"/>
          <w:color w:val="auto"/>
        </w:rPr>
        <w:t xml:space="preserve"> Each of Tenant's Agents shall guarantee to Tenant and for the benefit of Landlord that the portion of the Expansion Premises Tenant Improvements for which it is responsible shall be free from any defects in workmanship and materials for a period of not less than one (1) year from the date of completion thereof. Each of Tenant's Agents shall be responsible for the replacement or repair, without additional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B-3</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6" w:right="899" w:bottom="1440" w:gutter="0" w:footer="0" w:header="0"/>
        </w:sectPr>
      </w:pPr>
    </w:p>
    <w:bookmarkStart w:id="53" w:name="page54"/>
    <w:bookmarkEnd w:id="53"/>
    <w:p>
      <w:pPr>
        <w:ind w:left="180"/>
        <w:spacing w:after="0"/>
        <w:rPr>
          <w:sz w:val="20"/>
          <w:szCs w:val="20"/>
          <w:color w:val="auto"/>
        </w:rPr>
      </w:pPr>
      <w:r>
        <w:rPr>
          <w:rFonts w:ascii="Times New Roman" w:cs="Times New Roman" w:eastAsia="Times New Roman" w:hAnsi="Times New Roman"/>
          <w:sz w:val="18"/>
          <w:szCs w:val="18"/>
          <w:color w:val="auto"/>
        </w:rPr>
        <w:t>of all work done or furnished in accordance with its contract that shall become defective within one (I) year after the later to occur of</w:t>
      </w:r>
    </w:p>
    <w:p>
      <w:pPr>
        <w:spacing w:after="0" w:line="22" w:lineRule="exact"/>
        <w:rPr>
          <w:sz w:val="20"/>
          <w:szCs w:val="20"/>
          <w:color w:val="auto"/>
        </w:rPr>
      </w:pPr>
    </w:p>
    <w:p>
      <w:pPr>
        <w:jc w:val="both"/>
        <w:ind w:left="180" w:hanging="8"/>
        <w:spacing w:after="0" w:line="242" w:lineRule="auto"/>
        <w:tabs>
          <w:tab w:leader="none" w:pos="4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work performed by such contractor or subcontractors and (ii) the Lease Commencement Date. The correction of such work shall include, without additional charge, all additional expenses and damages incurred in connection with such removal or replacement of all or any part of the Expansion Premises Tenant Improvements, and/or the Building and/or common areas that may be damaged or disturbed thereby. All such warranties or guarantees as to materials or workmanship of or with respect to the Expansion Premises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to the extent legally possible, any assignment or other assurances which may be necessary to effect such right of direct enforcement. In addition, Landlord may, in its discretion, require that Tenant or Contractor obtain payment and performance bonds in form and amount satisfactory to Landlord, or some alternate form of security satisfactory to Landlord, to ensure the lien-free completion of the Expansion Premises Tenant Improvements and naming Landlord as a co-obligee.</w:t>
      </w:r>
    </w:p>
    <w:p>
      <w:pPr>
        <w:spacing w:after="0" w:line="366" w:lineRule="exact"/>
        <w:rPr>
          <w:sz w:val="20"/>
          <w:szCs w:val="20"/>
          <w:color w:val="auto"/>
        </w:rPr>
      </w:pPr>
    </w:p>
    <w:p>
      <w:pPr>
        <w:ind w:left="1840"/>
        <w:spacing w:after="0"/>
        <w:tabs>
          <w:tab w:leader="none" w:pos="2840" w:val="left"/>
        </w:tabs>
        <w:rPr>
          <w:sz w:val="20"/>
          <w:szCs w:val="20"/>
          <w:color w:val="auto"/>
        </w:rPr>
      </w:pPr>
      <w:r>
        <w:rPr>
          <w:rFonts w:ascii="Times New Roman" w:cs="Times New Roman" w:eastAsia="Times New Roman" w:hAnsi="Times New Roman"/>
          <w:sz w:val="18"/>
          <w:szCs w:val="18"/>
          <w:color w:val="auto"/>
        </w:rPr>
        <w:t>2.2.2.4</w:t>
      </w:r>
      <w:r>
        <w:rPr>
          <w:sz w:val="20"/>
          <w:szCs w:val="20"/>
          <w:color w:val="auto"/>
        </w:rPr>
        <w:tab/>
      </w:r>
      <w:r>
        <w:rPr>
          <w:rFonts w:ascii="Times New Roman" w:cs="Times New Roman" w:eastAsia="Times New Roman" w:hAnsi="Times New Roman"/>
          <w:sz w:val="18"/>
          <w:szCs w:val="18"/>
          <w:u w:val="single" w:color="auto"/>
          <w:color w:val="auto"/>
        </w:rPr>
        <w:t>Insurance Requirements.</w:t>
      </w:r>
    </w:p>
    <w:p>
      <w:pPr>
        <w:spacing w:after="0" w:line="186" w:lineRule="exact"/>
        <w:rPr>
          <w:sz w:val="20"/>
          <w:szCs w:val="20"/>
          <w:color w:val="auto"/>
        </w:rPr>
      </w:pPr>
    </w:p>
    <w:p>
      <w:pPr>
        <w:jc w:val="both"/>
        <w:ind w:left="180" w:firstLine="2663"/>
        <w:spacing w:after="0" w:line="260" w:lineRule="auto"/>
        <w:rPr>
          <w:sz w:val="20"/>
          <w:szCs w:val="20"/>
          <w:color w:val="auto"/>
        </w:rPr>
      </w:pPr>
      <w:r>
        <w:rPr>
          <w:rFonts w:ascii="Times New Roman" w:cs="Times New Roman" w:eastAsia="Times New Roman" w:hAnsi="Times New Roman"/>
          <w:sz w:val="18"/>
          <w:szCs w:val="18"/>
          <w:color w:val="auto"/>
        </w:rPr>
        <w:t xml:space="preserve">2.2.2.4.1 </w:t>
      </w:r>
      <w:r>
        <w:rPr>
          <w:rFonts w:ascii="Times New Roman" w:cs="Times New Roman" w:eastAsia="Times New Roman" w:hAnsi="Times New Roman"/>
          <w:sz w:val="18"/>
          <w:szCs w:val="18"/>
          <w:u w:val="single" w:color="auto"/>
          <w:color w:val="auto"/>
        </w:rPr>
        <w:t>General Coverages.</w:t>
      </w:r>
      <w:r>
        <w:rPr>
          <w:rFonts w:ascii="Times New Roman" w:cs="Times New Roman" w:eastAsia="Times New Roman" w:hAnsi="Times New Roman"/>
          <w:sz w:val="18"/>
          <w:szCs w:val="18"/>
          <w:color w:val="auto"/>
        </w:rPr>
        <w:t xml:space="preserve"> All of Tenant's Agents shall carry worker's compensation insurance covering all of their respective employees, and shall also carry public liability insurance, including property damage, all with limits, in form and with companies as are required to be carried by Tenant as set forth in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the Existing Lease.</w:t>
      </w:r>
    </w:p>
    <w:p>
      <w:pPr>
        <w:spacing w:after="0" w:line="136" w:lineRule="exact"/>
        <w:rPr>
          <w:sz w:val="20"/>
          <w:szCs w:val="20"/>
          <w:color w:val="auto"/>
        </w:rPr>
      </w:pPr>
    </w:p>
    <w:p>
      <w:pPr>
        <w:jc w:val="both"/>
        <w:ind w:left="180" w:firstLine="2663"/>
        <w:spacing w:after="0" w:line="246" w:lineRule="auto"/>
        <w:rPr>
          <w:sz w:val="20"/>
          <w:szCs w:val="20"/>
          <w:color w:val="auto"/>
        </w:rPr>
      </w:pPr>
      <w:r>
        <w:rPr>
          <w:rFonts w:ascii="Times New Roman" w:cs="Times New Roman" w:eastAsia="Times New Roman" w:hAnsi="Times New Roman"/>
          <w:sz w:val="18"/>
          <w:szCs w:val="18"/>
          <w:color w:val="auto"/>
        </w:rPr>
        <w:t xml:space="preserve">2.2.2.4.2 </w:t>
      </w:r>
      <w:r>
        <w:rPr>
          <w:rFonts w:ascii="Times New Roman" w:cs="Times New Roman" w:eastAsia="Times New Roman" w:hAnsi="Times New Roman"/>
          <w:sz w:val="18"/>
          <w:szCs w:val="18"/>
          <w:u w:val="single" w:color="auto"/>
          <w:color w:val="auto"/>
        </w:rPr>
        <w:t>Special Coverages.</w:t>
      </w:r>
      <w:r>
        <w:rPr>
          <w:rFonts w:ascii="Times New Roman" w:cs="Times New Roman" w:eastAsia="Times New Roman" w:hAnsi="Times New Roman"/>
          <w:sz w:val="18"/>
          <w:szCs w:val="18"/>
          <w:color w:val="auto"/>
        </w:rPr>
        <w:t xml:space="preserve"> If the Expansion Premises Tenant Improvements shall include adding to or extending the footprint of the Building structure,(a) Tenant shall carry "Builder's All Risk" insurance in an amount approved by Landlord covering the construction of the Expansion Premises Tenant Improvements and (b) such other insurance as Landlord may require, it being understood and agreed that the Expansion Premises Tenant Improvements shall be insured by Tenant pursuant to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the Existing Lease immediately upon completion thereof. Any such insurance shall be in amounts and shall include such extended coverage endorsements as may be reasonably required by Landlord. All of Tenant's Agents shall carry General Liability which shall include Products Completed Operations coverage, each in amounts not less than $1,000,000 per incident, $2,000,000 in aggregate, and in form and with companies as are required to be carried by Tenant as set forth in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the Existing Lease.</w:t>
      </w:r>
    </w:p>
    <w:p>
      <w:pPr>
        <w:spacing w:after="0" w:line="360" w:lineRule="exact"/>
        <w:rPr>
          <w:sz w:val="20"/>
          <w:szCs w:val="20"/>
          <w:color w:val="auto"/>
        </w:rPr>
      </w:pPr>
    </w:p>
    <w:p>
      <w:pPr>
        <w:jc w:val="both"/>
        <w:ind w:left="180" w:firstLine="2663"/>
        <w:spacing w:after="0" w:line="246" w:lineRule="auto"/>
        <w:rPr>
          <w:sz w:val="20"/>
          <w:szCs w:val="20"/>
          <w:color w:val="auto"/>
        </w:rPr>
      </w:pPr>
      <w:r>
        <w:rPr>
          <w:rFonts w:ascii="Times New Roman" w:cs="Times New Roman" w:eastAsia="Times New Roman" w:hAnsi="Times New Roman"/>
          <w:sz w:val="18"/>
          <w:szCs w:val="18"/>
          <w:color w:val="auto"/>
        </w:rPr>
        <w:t xml:space="preserve">2.2.2.4.3 </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xml:space="preserve"> Certificates for all insurance carried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2.2.2.4</w:t>
      </w:r>
      <w:r>
        <w:rPr>
          <w:rFonts w:ascii="Times New Roman" w:cs="Times New Roman" w:eastAsia="Times New Roman" w:hAnsi="Times New Roman"/>
          <w:sz w:val="18"/>
          <w:szCs w:val="18"/>
          <w:color w:val="auto"/>
        </w:rPr>
        <w:t xml:space="preserve"> shall be delivered to Landlord before the commencement of construction of the Expansion Premises Tenant Improvements and before the Contractor's equipment is moved onto the site. All such policies of insurance must contain a provision that the company writing said policy will notify Landlord prior to any cancellation or any reduction in the amounts of such insurance, and in any event Tenant shall notify Landlord in writing at least thirty (30) days prior to any such cancellation or reduction in coverage. In the event that the Expansion Premises Tenant Improvements are damaged by any cause during the course of the construction thereof, Tenant shall immediately repair the same at Tenant's sole cost and expense. Contractors and Tenant's Agents shall maintain all of the insurance coverage required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B-4</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6" w:right="899" w:bottom="1440" w:gutter="0" w:footer="0" w:header="0"/>
        </w:sectPr>
      </w:pPr>
    </w:p>
    <w:bookmarkStart w:id="54" w:name="page55"/>
    <w:bookmarkEnd w:id="54"/>
    <w:p>
      <w:pPr>
        <w:jc w:val="both"/>
        <w:ind w:left="160"/>
        <w:spacing w:after="0" w:line="247" w:lineRule="auto"/>
        <w:rPr>
          <w:sz w:val="20"/>
          <w:szCs w:val="20"/>
          <w:color w:val="auto"/>
        </w:rPr>
      </w:pPr>
      <w:r>
        <w:rPr>
          <w:rFonts w:ascii="Times New Roman" w:cs="Times New Roman" w:eastAsia="Times New Roman" w:hAnsi="Times New Roman"/>
          <w:sz w:val="18"/>
          <w:szCs w:val="18"/>
          <w:color w:val="auto"/>
        </w:rPr>
        <w:t xml:space="preserve">pursuant to Section 2.2.2.4 in force until the Expansion Premises Tenant Improvements are fully completed and accepted by Landlord, except for any Products and Completed Operation Coverage insurance which may be required as set forth above, which is to be maintained for five (5) years following completion of the work. All policies carried under this </w:t>
      </w:r>
      <w:r>
        <w:rPr>
          <w:rFonts w:ascii="Times New Roman" w:cs="Times New Roman" w:eastAsia="Times New Roman" w:hAnsi="Times New Roman"/>
          <w:sz w:val="18"/>
          <w:szCs w:val="18"/>
          <w:u w:val="single" w:color="auto"/>
          <w:color w:val="auto"/>
        </w:rPr>
        <w:t>Section 2.2.2.4</w:t>
      </w:r>
      <w:r>
        <w:rPr>
          <w:rFonts w:ascii="Times New Roman" w:cs="Times New Roman" w:eastAsia="Times New Roman" w:hAnsi="Times New Roman"/>
          <w:sz w:val="18"/>
          <w:szCs w:val="18"/>
          <w:color w:val="auto"/>
        </w:rPr>
        <w:t xml:space="preserve"> shall insure to Landlord and Tenant, as their interests may appear, as well as Contractor and Tenant's Agents. All insurance, except Workers' Compensation, maintained by Tenant's Agents shall preclude subrogation claims by the insurer against anyone insured thereunder.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Times New Roman" w:cs="Times New Roman" w:eastAsia="Times New Roman" w:hAnsi="Times New Roman"/>
          <w:sz w:val="18"/>
          <w:szCs w:val="18"/>
          <w:u w:val="single" w:color="auto"/>
          <w:color w:val="auto"/>
        </w:rPr>
        <w:t>Section 2.2.2.2</w:t>
      </w:r>
      <w:r>
        <w:rPr>
          <w:rFonts w:ascii="Times New Roman" w:cs="Times New Roman" w:eastAsia="Times New Roman" w:hAnsi="Times New Roman"/>
          <w:sz w:val="18"/>
          <w:szCs w:val="18"/>
          <w:color w:val="auto"/>
        </w:rPr>
        <w:t xml:space="preserve"> of this Tenant Work Letter.</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Governmental Compliance.</w:t>
      </w:r>
      <w:r>
        <w:rPr>
          <w:rFonts w:ascii="Times New Roman" w:cs="Times New Roman" w:eastAsia="Times New Roman" w:hAnsi="Times New Roman"/>
          <w:sz w:val="18"/>
          <w:szCs w:val="18"/>
          <w:color w:val="auto"/>
        </w:rPr>
        <w:t xml:space="preserve"> The Expansion Premises Tenant Improvements shall comply in all respects with the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following: (i) the Code and other state, federal, city or quasi-governmental laws, codes, ordinances and regulations, as each may</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apply according to the rulings of the controlling public official, agent or other person; (ii) applicable standards of the American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Insurance Association (formerly, the National Board of Fire Underwriters) and the National Electrical Code; and (iii) building</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material manufacturer's specifications.</w:t>
      </w:r>
    </w:p>
    <w:p>
      <w:pPr>
        <w:spacing w:after="0" w:line="166" w:lineRule="exact"/>
        <w:rPr>
          <w:sz w:val="20"/>
          <w:szCs w:val="20"/>
          <w:color w:val="auto"/>
        </w:rPr>
      </w:pPr>
    </w:p>
    <w:p>
      <w:pPr>
        <w:jc w:val="both"/>
        <w:ind w:left="180" w:firstLine="1087"/>
        <w:spacing w:after="0" w:line="243"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Inspection by Landlord.</w:t>
      </w:r>
      <w:r>
        <w:rPr>
          <w:rFonts w:ascii="Times New Roman" w:cs="Times New Roman" w:eastAsia="Times New Roman" w:hAnsi="Times New Roman"/>
          <w:sz w:val="18"/>
          <w:szCs w:val="18"/>
          <w:color w:val="auto"/>
        </w:rPr>
        <w:t xml:space="preserve"> Upon reasonable advance notice, Landlord shall have the right to inspect the Expansion Premises Tenant Improvements, provided however, that Landlord's failure to inspect the Expansion Premises Tenant Improvements shall in no event constitute a waiver of any of Landlord's rights hereunder nor shall Landlord's inspection of the Expansion Premises Tenant Improvements constitute Landlord's approval of the same. Should Landlord disapprove any portion of the Expansion Premises Tenant Improvements as a result of Landlord's reasonable determination that such Improvements materially deviate from the Approved Working Drawings or that the quality of workmanship is substandard as compared to comparable buildings in the area, Landlord shall notify Tenant in writing of such disapproval and shall specify the items disapproved and the reasons for such disapproval, and any such disapprovals by Landlord shall be rectified by Tenant at no expense to Landlord, provided however, that in the event Landlord reasonably determines that any such disapproved matter adversely affects the mechanical, electrical, plumbing, heating, ventilating and air conditioning or life-safety systems of the Building, the structure or exterior appearance of the Building (such disapproved matter, a "Significant Disapproved Matter"), Landlord shall immediately notify Tenant who shall immediately take such actions as Landlord and Tenant deem reasonably necessary, at Tenant's expense and without incurring any liability on Landlord's part), to correct any such Significant Disapproved Matter, including, without limitation, causing the cessation of performance of the construction of the Expansion Premises Tenant Improvements until such time as the Significant Disapproved Matter is corrected to Landlord's reasonable satisfaction. In the event that Tenant fails to take immediate action to correct a Significant Disapproved Matter upon receiving notice from Landlord, Landlord may, at Tenant's expense and without incurring any liability on Landlord's part, take such actions as it deems reasonably necessary to correct such Significant Disapproved Matter(s) to its reasonable satisfaction.</w:t>
      </w:r>
    </w:p>
    <w:p>
      <w:pPr>
        <w:spacing w:after="0" w:line="367" w:lineRule="exact"/>
        <w:rPr>
          <w:sz w:val="20"/>
          <w:szCs w:val="20"/>
          <w:color w:val="auto"/>
        </w:rPr>
      </w:pPr>
    </w:p>
    <w:p>
      <w:pPr>
        <w:jc w:val="both"/>
        <w:ind w:left="180" w:firstLine="1087"/>
        <w:spacing w:after="0" w:line="280"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xml:space="preserve"> Commencing upon the execution of this First Amendment, Tenant shall hold weekly meetings at a reasonable time, with the Architect and the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B-5</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6" w:right="899" w:bottom="1440" w:gutter="0" w:footer="0" w:header="0"/>
        </w:sectPr>
      </w:pPr>
    </w:p>
    <w:bookmarkStart w:id="55" w:name="page56"/>
    <w:bookmarkEnd w:id="55"/>
    <w:p>
      <w:pPr>
        <w:jc w:val="both"/>
        <w:ind w:left="180"/>
        <w:spacing w:after="0" w:line="249" w:lineRule="auto"/>
        <w:rPr>
          <w:sz w:val="20"/>
          <w:szCs w:val="20"/>
          <w:color w:val="auto"/>
        </w:rPr>
      </w:pPr>
      <w:r>
        <w:rPr>
          <w:rFonts w:ascii="Times New Roman" w:cs="Times New Roman" w:eastAsia="Times New Roman" w:hAnsi="Times New Roman"/>
          <w:sz w:val="18"/>
          <w:szCs w:val="18"/>
          <w:color w:val="auto"/>
        </w:rPr>
        <w:t>regarding the progress of the preparation of Construction Drawings and the construction of the Expansion Premises Tenant Improvements, which meetings shall be held at a location mutually agreed upon by Landlord and Tenant, and Landlord and/or its agents shall receive prior notice of, and shall have the right to attend, all such meetings, and, upon Landlord's reasonable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361" w:lineRule="exact"/>
        <w:rPr>
          <w:sz w:val="20"/>
          <w:szCs w:val="20"/>
          <w:color w:val="auto"/>
        </w:rPr>
      </w:pPr>
    </w:p>
    <w:p>
      <w:pPr>
        <w:jc w:val="both"/>
        <w:ind w:left="180" w:firstLine="555"/>
        <w:spacing w:after="0" w:line="24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Notice of Completion; Copy of "As Built" Plans.</w:t>
      </w:r>
      <w:r>
        <w:rPr>
          <w:rFonts w:ascii="Times New Roman" w:cs="Times New Roman" w:eastAsia="Times New Roman" w:hAnsi="Times New Roman"/>
          <w:sz w:val="18"/>
          <w:szCs w:val="18"/>
          <w:color w:val="auto"/>
        </w:rPr>
        <w:t xml:space="preserve"> Within ten (10) days after completion of construction of the Expansion Premises Tenant Improvements, Tenant shall cause a Notice of Completion to be recorded in the office of the Recorder of the County of Ventura in accordance with Section 3093 of the California Civil Code or any successor statute and furnish a copy thereof to Landlord upon such recordation, and timely give all notices required pursuant to Section 3259.5 of the California Civil Code or any successor statute. If Tenant fails to do so, Landlord may execute and file such Notice of Completion and give such notices on behalf of Tenant as Tenant's agent for such purpose, at Tenant's sole cost and expense. At the conclusion of construction,</w:t>
      </w:r>
    </w:p>
    <w:p>
      <w:pPr>
        <w:spacing w:after="0" w:line="1" w:lineRule="exact"/>
        <w:rPr>
          <w:sz w:val="20"/>
          <w:szCs w:val="20"/>
          <w:color w:val="auto"/>
        </w:rPr>
      </w:pPr>
    </w:p>
    <w:p>
      <w:pPr>
        <w:jc w:val="both"/>
        <w:ind w:left="180" w:hanging="8"/>
        <w:spacing w:after="0" w:line="241" w:lineRule="auto"/>
        <w:tabs>
          <w:tab w:leader="none" w:pos="4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cause the Architect and Contractor (A) to update the Approved Working Drawings as necessary to reflect all changes made to the Approved Working Drawings during the course of construction, (B) to certify to the best of their knowledge that the "record set" of as-built drawings are true and correct, which certification shall survive the expiration or termination of this Lease, and</w:t>
      </w:r>
    </w:p>
    <w:p>
      <w:pPr>
        <w:jc w:val="both"/>
        <w:ind w:left="18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deliver to Landlord two (2) sets of copies of such as-built drawings within ninety (90) days following issuance of a certificate of occupancy for the Expansion Premises, and (ii) Tenant shall deliver to Landlord a copy of all warranties, guaranties, and operating manuals and information relating to the improvements, equipment, and systems in the Expansion Premises.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TENANT IMPROVEMENT ALLOWANCE</w:t>
      </w:r>
    </w:p>
    <w:p>
      <w:pPr>
        <w:spacing w:after="0" w:line="186" w:lineRule="exact"/>
        <w:rPr>
          <w:sz w:val="20"/>
          <w:szCs w:val="20"/>
          <w:color w:val="auto"/>
        </w:rPr>
      </w:pPr>
    </w:p>
    <w:p>
      <w:pPr>
        <w:jc w:val="both"/>
        <w:ind w:left="180" w:firstLine="555"/>
        <w:spacing w:after="0" w:line="245" w:lineRule="auto"/>
        <w:rPr>
          <w:sz w:val="20"/>
          <w:szCs w:val="20"/>
          <w:color w:val="auto"/>
        </w:rPr>
      </w:pPr>
      <w:r>
        <w:rPr>
          <w:rFonts w:ascii="Times New Roman" w:cs="Times New Roman" w:eastAsia="Times New Roman" w:hAnsi="Times New Roman"/>
          <w:sz w:val="18"/>
          <w:szCs w:val="18"/>
          <w:color w:val="auto"/>
        </w:rPr>
        <w:t xml:space="preserve">Provided no Event of Default has occurred, Landlord hereby agrees to reimburse Tenant an amount not to exceed One Million Four Hundred Ninety Thousand Seven Hundred Ninety and No/100 Dollars ($1,490,790.00) (the </w:t>
      </w:r>
      <w:r>
        <w:rPr>
          <w:rFonts w:ascii="Times New Roman" w:cs="Times New Roman" w:eastAsia="Times New Roman" w:hAnsi="Times New Roman"/>
          <w:sz w:val="18"/>
          <w:szCs w:val="18"/>
          <w:u w:val="single" w:color="auto"/>
          <w:color w:val="auto"/>
        </w:rPr>
        <w:t>"Allowance")</w:t>
      </w:r>
      <w:r>
        <w:rPr>
          <w:rFonts w:ascii="Times New Roman" w:cs="Times New Roman" w:eastAsia="Times New Roman" w:hAnsi="Times New Roman"/>
          <w:sz w:val="18"/>
          <w:szCs w:val="18"/>
          <w:color w:val="auto"/>
        </w:rPr>
        <w:t xml:space="preserve"> for the design, permitting and construction of the Expansion Premises Tenant Improvements. The Allowance must be used within twelve (12) months following the delivery of possession of the Expansion Premises or shall be deemed forfeited with no further obligation by Landlord with respect thereto. Tenant shall not be entitled to use any portion of the Allowance for anything other than the design, permitting and construction of the Expansion Premises Tenant Improvements. In no event shall Lessor be obligated to make disbursements with respect to the Expansion Premises Tenant Improvements in an amount that exceeds the Allowance, and in no event shall Tenant be entitled to any excess, credit, deduction or offset against Rent for any unused portion of the Allowance. Provided Lessee is open for business and paying rent, said reimbursement shall be made within forty-five (45) days of Lessor's receipt of written request by Tenant to Landlord and must include the following in a form satisfactory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B-6</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5" w:right="899" w:bottom="1440" w:gutter="0" w:footer="0" w:header="0"/>
        </w:sectPr>
      </w:pPr>
    </w:p>
    <w:bookmarkStart w:id="56" w:name="page57"/>
    <w:bookmarkEnd w:id="56"/>
    <w:p>
      <w:pPr>
        <w:ind w:left="1280" w:hanging="553"/>
        <w:spacing w:after="0" w:line="281" w:lineRule="auto"/>
        <w:tabs>
          <w:tab w:leader="none" w:pos="14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completed the Expansion Premises Tenant Improvements in accordance with the Approved Working Drawings and has commenced operations in the Expansion Premises for the Permitted Use;</w:t>
      </w:r>
    </w:p>
    <w:p>
      <w:pPr>
        <w:spacing w:after="0" w:line="117" w:lineRule="exact"/>
        <w:rPr>
          <w:rFonts w:ascii="Times New Roman" w:cs="Times New Roman" w:eastAsia="Times New Roman" w:hAnsi="Times New Roman"/>
          <w:sz w:val="18"/>
          <w:szCs w:val="18"/>
          <w:color w:val="auto"/>
        </w:rPr>
      </w:pPr>
    </w:p>
    <w:p>
      <w:pPr>
        <w:ind w:left="1280" w:hanging="553"/>
        <w:spacing w:after="0" w:line="280" w:lineRule="auto"/>
        <w:tabs>
          <w:tab w:leader="none" w:pos="13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not committed any material breach of the Lease which has not been cured within the time period required for cure under this Lease or which is not curable;</w:t>
      </w:r>
    </w:p>
    <w:p>
      <w:pPr>
        <w:spacing w:after="0" w:line="118" w:lineRule="exact"/>
        <w:rPr>
          <w:rFonts w:ascii="Times New Roman" w:cs="Times New Roman" w:eastAsia="Times New Roman" w:hAnsi="Times New Roman"/>
          <w:sz w:val="18"/>
          <w:szCs w:val="18"/>
          <w:color w:val="auto"/>
        </w:rPr>
      </w:pPr>
    </w:p>
    <w:p>
      <w:pPr>
        <w:jc w:val="both"/>
        <w:ind w:left="1280" w:hanging="553"/>
        <w:spacing w:after="0" w:line="260" w:lineRule="auto"/>
        <w:tabs>
          <w:tab w:leader="none" w:pos="15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recorded a notice of completion with respect to the Expansion Premises Tenant Improvements in accordance with applicable laws after the completion of all Expansion Premises Tenant Improvements, thirty (30) days have passed after the filing of the notice, and a copy of the notice has been delivered to Landlord;</w:t>
      </w:r>
    </w:p>
    <w:p>
      <w:pPr>
        <w:spacing w:after="0" w:line="136" w:lineRule="exact"/>
        <w:rPr>
          <w:rFonts w:ascii="Times New Roman" w:cs="Times New Roman" w:eastAsia="Times New Roman" w:hAnsi="Times New Roman"/>
          <w:sz w:val="18"/>
          <w:szCs w:val="18"/>
          <w:color w:val="auto"/>
        </w:rPr>
      </w:pPr>
    </w:p>
    <w:p>
      <w:pPr>
        <w:ind w:left="1280" w:hanging="553"/>
        <w:spacing w:after="0" w:line="280" w:lineRule="auto"/>
        <w:tabs>
          <w:tab w:leader="none" w:pos="13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mechanic's liens which have been filed with respect to the Expansion Premises Tenant Improvements have been paid and removed from title to the Project;</w:t>
      </w:r>
    </w:p>
    <w:p>
      <w:pPr>
        <w:spacing w:after="0" w:line="118" w:lineRule="exact"/>
        <w:rPr>
          <w:rFonts w:ascii="Times New Roman" w:cs="Times New Roman" w:eastAsia="Times New Roman" w:hAnsi="Times New Roman"/>
          <w:sz w:val="18"/>
          <w:szCs w:val="18"/>
          <w:color w:val="auto"/>
        </w:rPr>
      </w:pPr>
    </w:p>
    <w:p>
      <w:pPr>
        <w:jc w:val="both"/>
        <w:ind w:left="1280" w:hanging="553"/>
        <w:spacing w:after="0" w:line="260" w:lineRule="auto"/>
        <w:tabs>
          <w:tab w:leader="none" w:pos="1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appropriate government agencies have conducted final inspections of the Expansion Premises Tenant Improvements and have issued a certificate of occupancy or equivalent, and Tenant has delivered a copy of the certificate of occupancy or equivalent to Landlord;</w:t>
      </w:r>
    </w:p>
    <w:p>
      <w:pPr>
        <w:spacing w:after="0" w:line="136" w:lineRule="exact"/>
        <w:rPr>
          <w:rFonts w:ascii="Times New Roman" w:cs="Times New Roman" w:eastAsia="Times New Roman" w:hAnsi="Times New Roman"/>
          <w:sz w:val="18"/>
          <w:szCs w:val="18"/>
          <w:color w:val="auto"/>
        </w:rPr>
      </w:pPr>
    </w:p>
    <w:p>
      <w:pPr>
        <w:ind w:left="1280" w:hanging="553"/>
        <w:spacing w:after="0" w:line="280" w:lineRule="auto"/>
        <w:tabs>
          <w:tab w:leader="none" w:pos="1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delivered to Landlord receipts and other reasonable proof that Tenant has incurred the costs for which Lessee is seeking reimbursement;</w:t>
      </w:r>
    </w:p>
    <w:p>
      <w:pPr>
        <w:spacing w:after="0" w:line="118" w:lineRule="exact"/>
        <w:rPr>
          <w:rFonts w:ascii="Times New Roman" w:cs="Times New Roman" w:eastAsia="Times New Roman" w:hAnsi="Times New Roman"/>
          <w:sz w:val="18"/>
          <w:szCs w:val="18"/>
          <w:color w:val="auto"/>
        </w:rPr>
      </w:pPr>
    </w:p>
    <w:p>
      <w:pPr>
        <w:jc w:val="both"/>
        <w:ind w:left="1280" w:hanging="553"/>
        <w:spacing w:after="0" w:line="251" w:lineRule="auto"/>
        <w:tabs>
          <w:tab w:leader="none" w:pos="13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delivered to Landlord copies of executed, notarized unconditional lien releases for final payment with respect to all costs for which Tenant is seeking reimbursement (provided that if Tenant is unable to obtain such lien releases from subcontractors which provided materials and services with a claimed value of less than $5,000, then Tenant may deliver in lieu thereof an affidavit of payment of payment thereof from Tenant's general contractor in form and substance acceptable to Landlord) and,</w:t>
      </w:r>
    </w:p>
    <w:p>
      <w:pPr>
        <w:spacing w:after="0" w:line="142" w:lineRule="exact"/>
        <w:rPr>
          <w:rFonts w:ascii="Times New Roman" w:cs="Times New Roman" w:eastAsia="Times New Roman" w:hAnsi="Times New Roman"/>
          <w:sz w:val="18"/>
          <w:szCs w:val="18"/>
          <w:color w:val="auto"/>
        </w:rPr>
      </w:pPr>
    </w:p>
    <w:p>
      <w:pPr>
        <w:ind w:left="1280" w:hanging="553"/>
        <w:spacing w:after="0" w:line="280" w:lineRule="auto"/>
        <w:tabs>
          <w:tab w:leader="none" w:pos="12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delivered to Lessor "as built" plans of the Expansion Premises Tenant Improvements showing the locations of all improvements and modifications to the Expansion Premises made by or on behalf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B-7</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6" w:right="899" w:bottom="1440" w:gutter="0" w:footer="0" w:header="0"/>
        </w:sectPr>
      </w:pPr>
    </w:p>
    <w:bookmarkStart w:id="57" w:name="page58"/>
    <w:bookmarkEnd w:id="57"/>
    <w:p>
      <w:pPr>
        <w:jc w:val="both"/>
        <w:ind w:left="180" w:firstLine="555"/>
        <w:spacing w:after="0" w:line="281" w:lineRule="auto"/>
        <w:rPr>
          <w:sz w:val="20"/>
          <w:szCs w:val="20"/>
          <w:color w:val="auto"/>
        </w:rPr>
      </w:pPr>
      <w:r>
        <w:rPr>
          <w:rFonts w:ascii="Times New Roman" w:cs="Times New Roman" w:eastAsia="Times New Roman" w:hAnsi="Times New Roman"/>
          <w:sz w:val="18"/>
          <w:szCs w:val="18"/>
          <w:color w:val="auto"/>
        </w:rPr>
        <w:t>In the event this Lease is terminated for any reason prior to the end of the initial Term, Tenant hereby agrees to pay to Landlord, in addition to all other costs incurred by such termination, the unamortized value of the Allowance provided by Landlord.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186" w:lineRule="exact"/>
        <w:rPr>
          <w:sz w:val="20"/>
          <w:szCs w:val="20"/>
          <w:color w:val="auto"/>
        </w:rPr>
      </w:pPr>
    </w:p>
    <w:p>
      <w:pPr>
        <w:jc w:val="both"/>
        <w:ind w:left="180" w:firstLine="555"/>
        <w:spacing w:after="0" w:line="26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Tenant's Representative.</w:t>
      </w:r>
      <w:r>
        <w:rPr>
          <w:rFonts w:ascii="Times New Roman" w:cs="Times New Roman" w:eastAsia="Times New Roman" w:hAnsi="Times New Roman"/>
          <w:sz w:val="18"/>
          <w:szCs w:val="18"/>
          <w:color w:val="auto"/>
        </w:rPr>
        <w:t xml:space="preserve"> Tenant has designated Mark Lewis as its sole representative with respect to the matters set forth in this Work Letter, who shall have full authority and responsibility to act on behalf of the Tenant as required in this Work Letter.</w:t>
      </w:r>
    </w:p>
    <w:p>
      <w:pPr>
        <w:spacing w:after="0" w:line="349" w:lineRule="exact"/>
        <w:rPr>
          <w:sz w:val="20"/>
          <w:szCs w:val="20"/>
          <w:color w:val="auto"/>
        </w:rPr>
      </w:pPr>
    </w:p>
    <w:p>
      <w:pPr>
        <w:jc w:val="both"/>
        <w:ind w:left="180" w:firstLine="555"/>
        <w:spacing w:after="0" w:line="26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Landlord's Representative.</w:t>
      </w:r>
      <w:r>
        <w:rPr>
          <w:rFonts w:ascii="Times New Roman" w:cs="Times New Roman" w:eastAsia="Times New Roman" w:hAnsi="Times New Roman"/>
          <w:sz w:val="18"/>
          <w:szCs w:val="18"/>
          <w:color w:val="auto"/>
        </w:rPr>
        <w:t xml:space="preserve"> Landlord has designated Anthony Perino as its sole representative with respect to the matters set forth in this Work Letter, who, until further notice to Tenant, shall have full authority and responsibility to act on behalf of the Landlord as required in this Work Letter.</w:t>
      </w:r>
    </w:p>
    <w:p>
      <w:pPr>
        <w:spacing w:after="0" w:line="136" w:lineRule="exact"/>
        <w:rPr>
          <w:sz w:val="20"/>
          <w:szCs w:val="20"/>
          <w:color w:val="auto"/>
        </w:rPr>
      </w:pPr>
    </w:p>
    <w:p>
      <w:pPr>
        <w:jc w:val="both"/>
        <w:ind w:left="180" w:firstLine="555"/>
        <w:spacing w:after="0" w:line="260"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Time of the Essence in This Tenant Work Letter.</w:t>
      </w:r>
      <w:r>
        <w:rPr>
          <w:rFonts w:ascii="Times New Roman" w:cs="Times New Roman" w:eastAsia="Times New Roman" w:hAnsi="Times New Roman"/>
          <w:sz w:val="18"/>
          <w:szCs w:val="18"/>
          <w:color w:val="auto"/>
        </w:rPr>
        <w:t xml:space="preserve">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136" w:lineRule="exact"/>
        <w:rPr>
          <w:sz w:val="20"/>
          <w:szCs w:val="20"/>
          <w:color w:val="auto"/>
        </w:rPr>
      </w:pPr>
    </w:p>
    <w:p>
      <w:pPr>
        <w:jc w:val="both"/>
        <w:ind w:left="180" w:firstLine="555"/>
        <w:spacing w:after="0" w:line="24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Tenant's Lease Default.</w:t>
      </w:r>
      <w:r>
        <w:rPr>
          <w:rFonts w:ascii="Times New Roman" w:cs="Times New Roman" w:eastAsia="Times New Roman" w:hAnsi="Times New Roman"/>
          <w:sz w:val="18"/>
          <w:szCs w:val="18"/>
          <w:color w:val="auto"/>
        </w:rPr>
        <w:t xml:space="preserve"> Notwithstanding any provision to the contrary contained in this Lease, if an Event of Default as described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the Existing Lease or this Work Letter has occurred at any time on or before the substantial completion of the Expansion Premises, then (i) in addition to all other rights and remedies granted to Landlord pursuant to this Lease, Landlord shall have the right to withhold payment of all or any portion of the Allowance and/or Landlord may cause Contractor to cease the construction of the Expansion Premises (in which case, Tenant shall be responsible for any delay in the substantial completion of the Expansion Premises caused by such work stoppage), and (ii) all other obligations of Landlord under the terms of this Work Letter shall be forgiven until such time as such default is cured pursuant to the terms of this Lease (in which case, Tenant shall be responsible for any delay in the substantial completion of the Expansion Premises caused by such inaction by Landlord).</w:t>
      </w:r>
    </w:p>
    <w:p>
      <w:pPr>
        <w:spacing w:after="0" w:line="152" w:lineRule="exact"/>
        <w:rPr>
          <w:sz w:val="20"/>
          <w:szCs w:val="20"/>
          <w:color w:val="auto"/>
        </w:rPr>
      </w:pPr>
    </w:p>
    <w:p>
      <w:pPr>
        <w:jc w:val="both"/>
        <w:ind w:left="180" w:firstLine="555"/>
        <w:spacing w:after="0" w:line="24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Early Access.</w:t>
      </w:r>
      <w:r>
        <w:rPr>
          <w:rFonts w:ascii="Times New Roman" w:cs="Times New Roman" w:eastAsia="Times New Roman" w:hAnsi="Times New Roman"/>
          <w:sz w:val="18"/>
          <w:szCs w:val="18"/>
          <w:color w:val="auto"/>
        </w:rPr>
        <w:t xml:space="preserve"> Provided that Tenant, its employees, contractors and agents do not interfere with, or delay, the Landlord's construction of the Landlord's Work in the Premises or otherwise, Landlord shall allow Tenant access to the Expansion Premises commencing as of the execution and delivery of the First Amendment by both parties, and delivery of any prepaid Rent by Tenant as required under the First Amendment, for the purpose of Tenant performing any building design, permitting and preparation prior to occupancy. Prior to Tenant's entry into the Expansion Premises as permitted by the terms of this paragraph, Tenant shall submit a schedule to Landlord for its approval, which schedule shall detail the timing and purpose of Tenant's entry, and shall deliver evidence of insurance coverage as required of Tenant under the Lease. Tenant's early access onto the Expansion Premises under this Section 4.5 shall be subject to all terms and conditions of the Lease (including without limitation all insurance and indemnity obligations), except for the payment of Rent.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B-8</w:t>
            </w: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AeroVironment</w:t>
            </w:r>
          </w:p>
        </w:tc>
      </w:tr>
      <w:tr>
        <w:trPr>
          <w:trHeight w:val="140"/>
        </w:trPr>
        <w:tc>
          <w:tcPr>
            <w:tcW w:w="6840" w:type="dxa"/>
            <w:vAlign w:val="bottom"/>
          </w:tcPr>
          <w:p>
            <w:pPr>
              <w:spacing w:after="0"/>
              <w:rPr>
                <w:sz w:val="12"/>
                <w:szCs w:val="12"/>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First Amendment to Lease</w:t>
            </w:r>
          </w:p>
        </w:tc>
      </w:tr>
      <w:tr>
        <w:trPr>
          <w:trHeight w:val="271"/>
        </w:trPr>
        <w:tc>
          <w:tcPr>
            <w:tcW w:w="68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r>
    </w:tbl>
    <w:p>
      <w:pPr>
        <w:sectPr>
          <w:pgSz w:w="11900" w:h="16838" w:orient="portrait"/>
          <w:cols w:equalWidth="0" w:num="1">
            <w:col w:w="10100"/>
          </w:cols>
          <w:pgMar w:left="900" w:top="116" w:right="8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of Principal Executive Officer</w:t>
      </w: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Pursuant to Rule 13a-14(a)/15d-14(a) of the Securities Exchange Act of 1934</w:t>
      </w:r>
    </w:p>
    <w:p>
      <w:pPr>
        <w:spacing w:after="0" w:line="11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I, Wahid Nawabi, certify that:</w:t>
      </w:r>
    </w:p>
    <w:p>
      <w:pPr>
        <w:spacing w:after="0" w:line="128" w:lineRule="exact"/>
        <w:rPr>
          <w:sz w:val="20"/>
          <w:szCs w:val="20"/>
          <w:color w:val="auto"/>
        </w:rPr>
      </w:pPr>
    </w:p>
    <w:p>
      <w:pPr>
        <w:ind w:left="310" w:hanging="310"/>
        <w:spacing w:after="0"/>
        <w:tabs>
          <w:tab w:leader="none" w:pos="31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AeroVironment, Inc.;</w:t>
      </w:r>
    </w:p>
    <w:p>
      <w:pPr>
        <w:spacing w:after="0" w:line="128" w:lineRule="exact"/>
        <w:rPr>
          <w:rFonts w:ascii="Times New Roman" w:cs="Times New Roman" w:eastAsia="Times New Roman" w:hAnsi="Times New Roman"/>
          <w:sz w:val="15"/>
          <w:szCs w:val="15"/>
          <w:color w:val="auto"/>
        </w:rPr>
      </w:pPr>
    </w:p>
    <w:p>
      <w:pPr>
        <w:jc w:val="both"/>
        <w:ind w:left="290" w:right="60" w:hanging="287"/>
        <w:spacing w:after="0" w:line="231" w:lineRule="auto"/>
        <w:tabs>
          <w:tab w:leader="none" w:pos="312"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15"/>
          <w:szCs w:val="15"/>
          <w:color w:val="auto"/>
        </w:rPr>
      </w:pPr>
    </w:p>
    <w:p>
      <w:pPr>
        <w:ind w:left="290" w:right="20" w:hanging="287"/>
        <w:spacing w:after="0" w:line="246" w:lineRule="auto"/>
        <w:tabs>
          <w:tab w:leader="none" w:pos="312"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5"/>
          <w:szCs w:val="15"/>
          <w:color w:val="auto"/>
        </w:rPr>
      </w:pPr>
    </w:p>
    <w:p>
      <w:pPr>
        <w:ind w:left="290" w:hanging="287"/>
        <w:spacing w:after="0" w:line="220" w:lineRule="auto"/>
        <w:tabs>
          <w:tab w:leader="none" w:pos="312"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9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15d-15(f)) for the registrant and have:</w:t>
      </w:r>
    </w:p>
    <w:p>
      <w:pPr>
        <w:spacing w:after="0" w:line="112" w:lineRule="exact"/>
        <w:rPr>
          <w:rFonts w:ascii="Times New Roman" w:cs="Times New Roman" w:eastAsia="Times New Roman" w:hAnsi="Times New Roman"/>
          <w:sz w:val="15"/>
          <w:szCs w:val="15"/>
          <w:color w:val="auto"/>
        </w:rPr>
      </w:pPr>
    </w:p>
    <w:p>
      <w:pPr>
        <w:ind w:left="550" w:right="140" w:hanging="272"/>
        <w:spacing w:after="0" w:line="231" w:lineRule="auto"/>
        <w:tabs>
          <w:tab w:leader="none" w:pos="577"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Times New Roman" w:cs="Times New Roman" w:eastAsia="Times New Roman" w:hAnsi="Times New Roman"/>
          <w:sz w:val="15"/>
          <w:szCs w:val="15"/>
          <w:color w:val="auto"/>
        </w:rPr>
      </w:pPr>
    </w:p>
    <w:p>
      <w:pPr>
        <w:jc w:val="both"/>
        <w:ind w:left="550" w:right="60" w:hanging="272"/>
        <w:spacing w:after="0" w:line="231" w:lineRule="auto"/>
        <w:tabs>
          <w:tab w:leader="none" w:pos="585"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Times New Roman" w:cs="Times New Roman" w:eastAsia="Times New Roman" w:hAnsi="Times New Roman"/>
          <w:sz w:val="15"/>
          <w:szCs w:val="15"/>
          <w:color w:val="auto"/>
        </w:rPr>
      </w:pPr>
    </w:p>
    <w:p>
      <w:pPr>
        <w:jc w:val="both"/>
        <w:ind w:left="550" w:right="200" w:hanging="272"/>
        <w:spacing w:after="0" w:line="246" w:lineRule="auto"/>
        <w:tabs>
          <w:tab w:leader="none" w:pos="577"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5"/>
          <w:szCs w:val="15"/>
          <w:color w:val="auto"/>
        </w:rPr>
      </w:pPr>
    </w:p>
    <w:p>
      <w:pPr>
        <w:ind w:left="550" w:right="160" w:hanging="272"/>
        <w:spacing w:after="0" w:line="231" w:lineRule="auto"/>
        <w:tabs>
          <w:tab w:leader="none" w:pos="585"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Times New Roman" w:cs="Times New Roman" w:eastAsia="Times New Roman" w:hAnsi="Times New Roman"/>
          <w:sz w:val="15"/>
          <w:szCs w:val="15"/>
          <w:color w:val="auto"/>
        </w:rPr>
      </w:pPr>
    </w:p>
    <w:p>
      <w:pPr>
        <w:ind w:left="270" w:right="120" w:hanging="270"/>
        <w:spacing w:after="0" w:line="246" w:lineRule="auto"/>
        <w:tabs>
          <w:tab w:leader="none" w:pos="293"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Times New Roman" w:cs="Times New Roman" w:eastAsia="Times New Roman" w:hAnsi="Times New Roman"/>
          <w:sz w:val="15"/>
          <w:szCs w:val="15"/>
          <w:color w:val="auto"/>
        </w:rPr>
      </w:pPr>
    </w:p>
    <w:p>
      <w:pPr>
        <w:ind w:left="550" w:right="380" w:hanging="272"/>
        <w:spacing w:after="0" w:line="246" w:lineRule="auto"/>
        <w:tabs>
          <w:tab w:leader="none" w:pos="577"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5"/>
          <w:szCs w:val="15"/>
          <w:color w:val="auto"/>
        </w:rPr>
      </w:pPr>
    </w:p>
    <w:p>
      <w:pPr>
        <w:ind w:left="550" w:right="120" w:hanging="272"/>
        <w:spacing w:after="0" w:line="246" w:lineRule="auto"/>
        <w:tabs>
          <w:tab w:leader="none" w:pos="585"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Date: November 29, 2018</w:t>
      </w:r>
    </w:p>
    <w:p>
      <w:pPr>
        <w:spacing w:after="0" w:line="128" w:lineRule="exact"/>
        <w:rPr>
          <w:sz w:val="20"/>
          <w:szCs w:val="20"/>
          <w:color w:val="auto"/>
        </w:rPr>
      </w:pPr>
    </w:p>
    <w:p>
      <w:pPr>
        <w:ind w:left="4550"/>
        <w:spacing w:after="0"/>
        <w:rPr>
          <w:sz w:val="20"/>
          <w:szCs w:val="20"/>
          <w:color w:val="auto"/>
        </w:rPr>
      </w:pPr>
      <w:r>
        <w:rPr>
          <w:rFonts w:ascii="Times New Roman" w:cs="Times New Roman" w:eastAsia="Times New Roman" w:hAnsi="Times New Roman"/>
          <w:sz w:val="15"/>
          <w:szCs w:val="15"/>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2540</wp:posOffset>
            </wp:positionV>
            <wp:extent cx="28848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84805" cy="7620"/>
                    </a:xfrm>
                    <a:prstGeom prst="rect">
                      <a:avLst/>
                    </a:prstGeom>
                    <a:noFill/>
                  </pic:spPr>
                </pic:pic>
              </a:graphicData>
            </a:graphic>
          </wp:anchor>
        </w:drawing>
      </w:r>
    </w:p>
    <w:p>
      <w:pPr>
        <w:ind w:left="4550"/>
        <w:spacing w:after="0" w:line="216" w:lineRule="auto"/>
        <w:rPr>
          <w:sz w:val="20"/>
          <w:szCs w:val="20"/>
          <w:color w:val="auto"/>
        </w:rPr>
      </w:pPr>
      <w:r>
        <w:rPr>
          <w:rFonts w:ascii="Times New Roman" w:cs="Times New Roman" w:eastAsia="Times New Roman" w:hAnsi="Times New Roman"/>
          <w:sz w:val="15"/>
          <w:szCs w:val="15"/>
          <w:color w:val="auto"/>
        </w:rPr>
        <w:t>Wahid Nawabi</w:t>
      </w:r>
    </w:p>
    <w:p>
      <w:pPr>
        <w:ind w:left="455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576897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90"/>
          </w:cols>
          <w:pgMar w:left="1410" w:top="110" w:right="13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of Principal Financial Officer</w:t>
      </w: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Pursuant to Rule 13a-14(a)/15d-14(a) of the Securities Exchange Act of 1934</w:t>
      </w:r>
    </w:p>
    <w:p>
      <w:pPr>
        <w:spacing w:after="0" w:line="112" w:lineRule="exact"/>
        <w:rPr>
          <w:sz w:val="20"/>
          <w:szCs w:val="20"/>
          <w:color w:val="auto"/>
        </w:rPr>
      </w:pPr>
    </w:p>
    <w:p>
      <w:pPr>
        <w:ind w:left="267"/>
        <w:spacing w:after="0"/>
        <w:rPr>
          <w:sz w:val="20"/>
          <w:szCs w:val="20"/>
          <w:color w:val="auto"/>
        </w:rPr>
      </w:pPr>
      <w:r>
        <w:rPr>
          <w:rFonts w:ascii="Times New Roman" w:cs="Times New Roman" w:eastAsia="Times New Roman" w:hAnsi="Times New Roman"/>
          <w:sz w:val="15"/>
          <w:szCs w:val="15"/>
          <w:color w:val="auto"/>
        </w:rPr>
        <w:t>I, Teresa P. Covington, certify that:</w:t>
      </w:r>
    </w:p>
    <w:p>
      <w:pPr>
        <w:spacing w:after="0" w:line="128" w:lineRule="exact"/>
        <w:rPr>
          <w:sz w:val="20"/>
          <w:szCs w:val="20"/>
          <w:color w:val="auto"/>
        </w:rPr>
      </w:pPr>
    </w:p>
    <w:p>
      <w:pPr>
        <w:ind w:left="307" w:hanging="307"/>
        <w:spacing w:after="0"/>
        <w:tabs>
          <w:tab w:leader="none" w:pos="307"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AeroVironment, Inc.;</w:t>
      </w:r>
    </w:p>
    <w:p>
      <w:pPr>
        <w:spacing w:after="0" w:line="128" w:lineRule="exact"/>
        <w:rPr>
          <w:rFonts w:ascii="Times New Roman" w:cs="Times New Roman" w:eastAsia="Times New Roman" w:hAnsi="Times New Roman"/>
          <w:sz w:val="15"/>
          <w:szCs w:val="15"/>
          <w:color w:val="auto"/>
        </w:rPr>
      </w:pPr>
    </w:p>
    <w:p>
      <w:pPr>
        <w:jc w:val="both"/>
        <w:ind w:left="287" w:right="60" w:hanging="287"/>
        <w:spacing w:after="0" w:line="231" w:lineRule="auto"/>
        <w:tabs>
          <w:tab w:leader="none" w:pos="31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15"/>
          <w:szCs w:val="15"/>
          <w:color w:val="auto"/>
        </w:rPr>
      </w:pPr>
    </w:p>
    <w:p>
      <w:pPr>
        <w:ind w:left="287" w:right="20" w:hanging="287"/>
        <w:spacing w:after="0" w:line="246" w:lineRule="auto"/>
        <w:tabs>
          <w:tab w:leader="none" w:pos="31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5"/>
          <w:szCs w:val="15"/>
          <w:color w:val="auto"/>
        </w:rPr>
      </w:pPr>
    </w:p>
    <w:p>
      <w:pPr>
        <w:ind w:left="287" w:hanging="287"/>
        <w:spacing w:after="0" w:line="220" w:lineRule="auto"/>
        <w:tabs>
          <w:tab w:leader="none" w:pos="31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8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15d-15(f)) for the registrant and have:</w:t>
      </w:r>
    </w:p>
    <w:p>
      <w:pPr>
        <w:spacing w:after="0" w:line="112" w:lineRule="exact"/>
        <w:rPr>
          <w:rFonts w:ascii="Times New Roman" w:cs="Times New Roman" w:eastAsia="Times New Roman" w:hAnsi="Times New Roman"/>
          <w:sz w:val="15"/>
          <w:szCs w:val="15"/>
          <w:color w:val="auto"/>
        </w:rPr>
      </w:pPr>
    </w:p>
    <w:p>
      <w:pPr>
        <w:ind w:left="547" w:right="140" w:hanging="272"/>
        <w:spacing w:after="0" w:line="231" w:lineRule="auto"/>
        <w:tabs>
          <w:tab w:leader="none" w:pos="574"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Times New Roman" w:cs="Times New Roman" w:eastAsia="Times New Roman" w:hAnsi="Times New Roman"/>
          <w:sz w:val="15"/>
          <w:szCs w:val="15"/>
          <w:color w:val="auto"/>
        </w:rPr>
      </w:pPr>
    </w:p>
    <w:p>
      <w:pPr>
        <w:jc w:val="both"/>
        <w:ind w:left="547" w:right="60" w:hanging="272"/>
        <w:spacing w:after="0" w:line="231" w:lineRule="auto"/>
        <w:tabs>
          <w:tab w:leader="none" w:pos="583"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Times New Roman" w:cs="Times New Roman" w:eastAsia="Times New Roman" w:hAnsi="Times New Roman"/>
          <w:sz w:val="15"/>
          <w:szCs w:val="15"/>
          <w:color w:val="auto"/>
        </w:rPr>
      </w:pPr>
    </w:p>
    <w:p>
      <w:pPr>
        <w:jc w:val="both"/>
        <w:ind w:left="547" w:right="200" w:hanging="272"/>
        <w:spacing w:after="0" w:line="246" w:lineRule="auto"/>
        <w:tabs>
          <w:tab w:leader="none" w:pos="574"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5"/>
          <w:szCs w:val="15"/>
          <w:color w:val="auto"/>
        </w:rPr>
      </w:pPr>
    </w:p>
    <w:p>
      <w:pPr>
        <w:ind w:left="547" w:right="160" w:hanging="272"/>
        <w:spacing w:after="0" w:line="231" w:lineRule="auto"/>
        <w:tabs>
          <w:tab w:leader="none" w:pos="583"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Times New Roman" w:cs="Times New Roman" w:eastAsia="Times New Roman" w:hAnsi="Times New Roman"/>
          <w:sz w:val="15"/>
          <w:szCs w:val="15"/>
          <w:color w:val="auto"/>
        </w:rPr>
      </w:pPr>
    </w:p>
    <w:p>
      <w:pPr>
        <w:ind w:left="287" w:right="120" w:hanging="287"/>
        <w:spacing w:after="0" w:line="246" w:lineRule="auto"/>
        <w:tabs>
          <w:tab w:leader="none" w:pos="31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Times New Roman" w:cs="Times New Roman" w:eastAsia="Times New Roman" w:hAnsi="Times New Roman"/>
          <w:sz w:val="15"/>
          <w:szCs w:val="15"/>
          <w:color w:val="auto"/>
        </w:rPr>
      </w:pPr>
    </w:p>
    <w:p>
      <w:pPr>
        <w:ind w:left="547" w:right="380" w:hanging="272"/>
        <w:spacing w:after="0" w:line="246" w:lineRule="auto"/>
        <w:tabs>
          <w:tab w:leader="none" w:pos="574"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5"/>
          <w:szCs w:val="15"/>
          <w:color w:val="auto"/>
        </w:rPr>
      </w:pPr>
    </w:p>
    <w:p>
      <w:pPr>
        <w:ind w:left="547" w:right="120" w:hanging="272"/>
        <w:spacing w:after="0" w:line="246" w:lineRule="auto"/>
        <w:tabs>
          <w:tab w:leader="none" w:pos="583"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Date: November 29, 2018</w:t>
      </w:r>
    </w:p>
    <w:p>
      <w:pPr>
        <w:spacing w:after="0" w:line="128" w:lineRule="exact"/>
        <w:rPr>
          <w:sz w:val="20"/>
          <w:szCs w:val="20"/>
          <w:color w:val="auto"/>
        </w:rPr>
      </w:pPr>
    </w:p>
    <w:p>
      <w:pPr>
        <w:ind w:left="4547"/>
        <w:spacing w:after="0"/>
        <w:rPr>
          <w:sz w:val="20"/>
          <w:szCs w:val="20"/>
          <w:color w:val="auto"/>
        </w:rPr>
      </w:pPr>
      <w:r>
        <w:rPr>
          <w:rFonts w:ascii="Times New Roman" w:cs="Times New Roman" w:eastAsia="Times New Roman" w:hAnsi="Times New Roman"/>
          <w:sz w:val="15"/>
          <w:szCs w:val="15"/>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2540</wp:posOffset>
            </wp:positionV>
            <wp:extent cx="288480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84805" cy="7620"/>
                    </a:xfrm>
                    <a:prstGeom prst="rect">
                      <a:avLst/>
                    </a:prstGeom>
                    <a:noFill/>
                  </pic:spPr>
                </pic:pic>
              </a:graphicData>
            </a:graphic>
          </wp:anchor>
        </w:drawing>
      </w:r>
    </w:p>
    <w:p>
      <w:pPr>
        <w:ind w:left="4547"/>
        <w:spacing w:after="0" w:line="216" w:lineRule="auto"/>
        <w:rPr>
          <w:sz w:val="20"/>
          <w:szCs w:val="20"/>
          <w:color w:val="auto"/>
        </w:rPr>
      </w:pPr>
      <w:r>
        <w:rPr>
          <w:rFonts w:ascii="Times New Roman" w:cs="Times New Roman" w:eastAsia="Times New Roman" w:hAnsi="Times New Roman"/>
          <w:sz w:val="15"/>
          <w:szCs w:val="15"/>
          <w:color w:val="auto"/>
        </w:rPr>
        <w:t>Teresa P. Covington</w:t>
      </w:r>
    </w:p>
    <w:p>
      <w:pPr>
        <w:ind w:left="4547"/>
        <w:spacing w:after="0"/>
        <w:rPr>
          <w:sz w:val="20"/>
          <w:szCs w:val="20"/>
          <w:color w:val="auto"/>
        </w:rPr>
      </w:pPr>
      <w:r>
        <w:rPr>
          <w:rFonts w:ascii="Times New Roman" w:cs="Times New Roman" w:eastAsia="Times New Roman" w:hAnsi="Times New Roman"/>
          <w:sz w:val="15"/>
          <w:szCs w:val="15"/>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576897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p>
      <w:pPr>
        <w:sectPr>
          <w:pgSz w:w="11900" w:h="16838" w:orient="portrait"/>
          <w:cols w:equalWidth="0" w:num="1">
            <w:col w:w="9087"/>
          </w:cols>
          <w:pgMar w:left="1413" w:top="110" w:right="13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w:t>
      </w:r>
    </w:p>
    <w:p>
      <w:pPr>
        <w:jc w:val="center"/>
        <w:spacing w:after="0" w:line="209" w:lineRule="auto"/>
        <w:rPr>
          <w:sz w:val="20"/>
          <w:szCs w:val="20"/>
          <w:color w:val="auto"/>
        </w:rPr>
      </w:pPr>
      <w:r>
        <w:rPr>
          <w:rFonts w:ascii="Times New Roman" w:cs="Times New Roman" w:eastAsia="Times New Roman" w:hAnsi="Times New Roman"/>
          <w:sz w:val="15"/>
          <w:szCs w:val="15"/>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15"/>
          <w:szCs w:val="15"/>
          <w:b w:val="1"/>
          <w:bCs w:val="1"/>
          <w:color w:val="auto"/>
        </w:rPr>
        <w:t>(Subsections (a) and (b) of Section 1350, Chapter 63 of Title 18, United States Code)</w:t>
      </w:r>
    </w:p>
    <w:p>
      <w:pPr>
        <w:spacing w:after="0" w:line="112" w:lineRule="exact"/>
        <w:rPr>
          <w:sz w:val="20"/>
          <w:szCs w:val="20"/>
          <w:color w:val="auto"/>
        </w:rPr>
      </w:pPr>
    </w:p>
    <w:p>
      <w:pPr>
        <w:ind w:right="60" w:firstLine="416"/>
        <w:spacing w:after="0" w:line="231" w:lineRule="auto"/>
        <w:rPr>
          <w:sz w:val="20"/>
          <w:szCs w:val="20"/>
          <w:color w:val="auto"/>
        </w:rPr>
      </w:pPr>
      <w:r>
        <w:rPr>
          <w:rFonts w:ascii="Times New Roman" w:cs="Times New Roman" w:eastAsia="Times New Roman" w:hAnsi="Times New Roman"/>
          <w:sz w:val="15"/>
          <w:szCs w:val="15"/>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03" w:lineRule="exact"/>
        <w:rPr>
          <w:sz w:val="20"/>
          <w:szCs w:val="20"/>
          <w:color w:val="auto"/>
        </w:rPr>
      </w:pPr>
    </w:p>
    <w:p>
      <w:pPr>
        <w:ind w:right="20" w:firstLine="416"/>
        <w:spacing w:after="0" w:line="231" w:lineRule="auto"/>
        <w:rPr>
          <w:sz w:val="20"/>
          <w:szCs w:val="20"/>
          <w:color w:val="auto"/>
        </w:rPr>
      </w:pPr>
      <w:r>
        <w:rPr>
          <w:rFonts w:ascii="Times New Roman" w:cs="Times New Roman" w:eastAsia="Times New Roman" w:hAnsi="Times New Roman"/>
          <w:sz w:val="15"/>
          <w:szCs w:val="15"/>
          <w:color w:val="auto"/>
        </w:rPr>
        <w:t>The Quarterly Report on Form 10-Q for the quarter ended October 27, 2018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2540</wp:posOffset>
            </wp:positionV>
            <wp:extent cx="28848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84805" cy="7620"/>
                    </a:xfrm>
                    <a:prstGeom prst="rect">
                      <a:avLst/>
                    </a:prstGeom>
                    <a:noFill/>
                  </pic:spPr>
                </pic:pic>
              </a:graphicData>
            </a:graphic>
          </wp:anchor>
        </w:drawing>
      </w:r>
    </w:p>
    <w:p>
      <w:pPr>
        <w:ind w:left="4540"/>
        <w:spacing w:after="0" w:line="216" w:lineRule="auto"/>
        <w:rPr>
          <w:sz w:val="20"/>
          <w:szCs w:val="20"/>
          <w:color w:val="auto"/>
        </w:rPr>
      </w:pPr>
      <w:r>
        <w:rPr>
          <w:rFonts w:ascii="Times New Roman" w:cs="Times New Roman" w:eastAsia="Times New Roman" w:hAnsi="Times New Roman"/>
          <w:sz w:val="15"/>
          <w:szCs w:val="15"/>
          <w:color w:val="auto"/>
        </w:rPr>
        <w:t>Wahid Nawabi</w:t>
      </w:r>
    </w:p>
    <w:p>
      <w:pPr>
        <w:ind w:left="454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1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2540</wp:posOffset>
            </wp:positionV>
            <wp:extent cx="288480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884805" cy="7620"/>
                    </a:xfrm>
                    <a:prstGeom prst="rect">
                      <a:avLst/>
                    </a:prstGeom>
                    <a:noFill/>
                  </pic:spPr>
                </pic:pic>
              </a:graphicData>
            </a:graphic>
          </wp:anchor>
        </w:drawing>
      </w:r>
    </w:p>
    <w:p>
      <w:pPr>
        <w:ind w:left="4540"/>
        <w:spacing w:after="0" w:line="216" w:lineRule="auto"/>
        <w:rPr>
          <w:sz w:val="20"/>
          <w:szCs w:val="20"/>
          <w:color w:val="auto"/>
        </w:rPr>
      </w:pPr>
      <w:r>
        <w:rPr>
          <w:rFonts w:ascii="Times New Roman" w:cs="Times New Roman" w:eastAsia="Times New Roman" w:hAnsi="Times New Roman"/>
          <w:sz w:val="15"/>
          <w:szCs w:val="15"/>
          <w:color w:val="auto"/>
        </w:rPr>
        <w:t>Teresa P. Covington</w:t>
      </w:r>
    </w:p>
    <w:p>
      <w:pPr>
        <w:ind w:left="4540"/>
        <w:spacing w:after="0"/>
        <w:rPr>
          <w:sz w:val="20"/>
          <w:szCs w:val="20"/>
          <w:color w:val="auto"/>
        </w:rPr>
      </w:pPr>
      <w:r>
        <w:rPr>
          <w:rFonts w:ascii="Times New Roman" w:cs="Times New Roman" w:eastAsia="Times New Roman" w:hAnsi="Times New Roman"/>
          <w:sz w:val="15"/>
          <w:szCs w:val="15"/>
          <w:color w:val="auto"/>
        </w:rPr>
        <w:t>Senior Vice President and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November 29, 2018</w:t>
      </w:r>
    </w:p>
    <w:p>
      <w:pPr>
        <w:spacing w:after="0" w:line="128" w:lineRule="exact"/>
        <w:rPr>
          <w:sz w:val="20"/>
          <w:szCs w:val="20"/>
          <w:color w:val="auto"/>
        </w:rPr>
      </w:pPr>
    </w:p>
    <w:p>
      <w:pPr>
        <w:ind w:right="60" w:firstLine="416"/>
        <w:spacing w:after="0" w:line="246" w:lineRule="auto"/>
        <w:rPr>
          <w:sz w:val="20"/>
          <w:szCs w:val="20"/>
          <w:color w:val="auto"/>
        </w:rPr>
      </w:pPr>
      <w:r>
        <w:rPr>
          <w:rFonts w:ascii="Times New Roman" w:cs="Times New Roman" w:eastAsia="Times New Roman" w:hAnsi="Times New Roman"/>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576897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768975" cy="22225"/>
                    </a:xfrm>
                    <a:prstGeom prst="rect">
                      <a:avLst/>
                    </a:prstGeom>
                    <a:noFill/>
                  </pic:spPr>
                </pic:pic>
              </a:graphicData>
            </a:graphic>
          </wp:anchor>
        </w:drawing>
      </w:r>
    </w:p>
    <w:sectPr>
      <w:pgSz w:w="11900" w:h="16838" w:orient="portrait"/>
      <w:cols w:equalWidth="0" w:num="1">
        <w:col w:w="9080"/>
      </w:cols>
      <w:pgMar w:left="1420" w:top="110"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606"/>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upperLetter"/>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3"/>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decimal"/>
      <w:start w:val="6"/>
    </w:lvl>
  </w:abstractNum>
  <w:abstractNum w:abstractNumId="12">
    <w:nsid w:val="4E6AFB66"/>
    <w:multiLevelType w:val="hybridMultilevel"/>
    <w:lvl w:ilvl="0">
      <w:lvlJc w:val="left"/>
      <w:lvlText w:val="%1."/>
      <w:numFmt w:val="decimal"/>
      <w:start w:val="8"/>
    </w:lvl>
    <w:lvl w:ilvl="1">
      <w:lvlJc w:val="left"/>
      <w:lvlText w:val="(%2)"/>
      <w:numFmt w:val="lowerLetter"/>
      <w:start w:val="1"/>
    </w:lvl>
  </w:abstractNum>
  <w:abstractNum w:abstractNumId="13">
    <w:nsid w:val="25E45D32"/>
    <w:multiLevelType w:val="hybridMultilevel"/>
    <w:lvl w:ilvl="0">
      <w:lvlJc w:val="left"/>
      <w:lvlText w:val="(%1)"/>
      <w:numFmt w:val="decimal"/>
      <w:start w:val="15"/>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png"/><Relationship Id="rId58" Type="http://schemas.openxmlformats.org/officeDocument/2006/relationships/image" Target="media/image49.jpe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pn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44" Type="http://schemas.openxmlformats.org/officeDocument/2006/relationships/hyperlink" Target="http://www.sec.gov/Archives/edgar/data/1368622/000095015007000008/a28119exv3w1.htm" TargetMode="External"/><Relationship Id="rId45"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2019-12-28T17:30:39Z</dcterms:created>
  <dcterms:modified xsi:type="dcterms:W3CDTF">2019-12-28T17:30:39Z</dcterms:modified>
</cp:coreProperties>
</file>