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437d1_8k.htm"/>
      <w:bookmarkStart w:id="1" w:name="kstm2621437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1_edei--DocumentType_c2026072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July 23,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6"/>
      <w:bookmarkEnd w:id="4"/>
      <w:r>
        <w:rPr>
          <w:rFonts w:ascii="Times New Roman;Times;Serif" w:hAnsi="Times New Roman;Times;Serif"/>
          <w:b/>
          <w:i w:val="false"/>
          <w:caps w:val="false"/>
          <w:smallCaps w:val="false"/>
          <w:sz w:val="36"/>
        </w:rPr>
        <w:t>AEROVIRONMENT,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740" w:type="dxa"/>
        <w:jc w:val="left"/>
        <w:tblInd w:w="0" w:type="dxa"/>
        <w:tblLayout w:type="fixed"/>
        <w:tblCellMar>
          <w:top w:w="0" w:type="dxa"/>
          <w:left w:w="0" w:type="dxa"/>
          <w:bottom w:w="0" w:type="dxa"/>
          <w:right w:w="0" w:type="dxa"/>
        </w:tblCellMar>
      </w:tblPr>
      <w:tblGrid>
        <w:gridCol w:w="2495"/>
        <w:gridCol w:w="60"/>
        <w:gridCol w:w="2210"/>
        <w:gridCol w:w="60"/>
        <w:gridCol w:w="2915"/>
      </w:tblGrid>
      <w:tr>
        <w:trPr/>
        <w:tc>
          <w:tcPr>
            <w:tcW w:w="2495" w:type="dxa"/>
            <w:tcBorders/>
            <w:vAlign w:val="center"/>
          </w:tcPr>
          <w:p>
            <w:pPr>
              <w:pStyle w:val="TableContents"/>
              <w:bidi w:val="0"/>
              <w:spacing w:before="0" w:after="283"/>
              <w:jc w:val="center"/>
              <w:rPr>
                <w:rFonts w:ascii="Times New Roman;Times;Serif" w:hAnsi="Times New Roman;Times;Serif"/>
                <w:b/>
                <w:sz w:val="20"/>
              </w:rPr>
            </w:pPr>
            <w:bookmarkStart w:id="5" w:name="xdx_900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5_edei--EntityFileNumber_c20260723"/>
            <w:bookmarkEnd w:id="6"/>
            <w:r>
              <w:rPr>
                <w:rFonts w:ascii="Times New Roman;Times;Serif" w:hAnsi="Times New Roman;Times;Serif"/>
                <w:b/>
                <w:sz w:val="20"/>
              </w:rPr>
              <w:t>001-33261</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7" w:name="xdx_908_edei--EntityTaxIdentificationNum"/>
            <w:bookmarkEnd w:id="7"/>
            <w:r>
              <w:rPr>
                <w:rFonts w:ascii="Times New Roman;Times;Serif" w:hAnsi="Times New Roman;Times;Serif"/>
                <w:b/>
                <w:sz w:val="20"/>
              </w:rPr>
              <w:t>95-2705790</w:t>
            </w:r>
          </w:p>
        </w:tc>
      </w:tr>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incorporation or organization)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283"/>
              <w:jc w:val="center"/>
              <w:rPr/>
            </w:pPr>
            <w:bookmarkStart w:id="8" w:name="xdx_908_edei--EntityAddressAddressLine1_"/>
            <w:bookmarkEnd w:id="8"/>
            <w:r>
              <w:rPr>
                <w:rFonts w:ascii="Times New Roman;Times;Serif" w:hAnsi="Times New Roman;Times;Serif"/>
                <w:b/>
                <w:sz w:val="20"/>
              </w:rPr>
              <w:t xml:space="preserve">241 18th Street South, </w:t>
            </w:r>
            <w:bookmarkStart w:id="9" w:name="xdx_90A_edei--EntityAddressAddressLine2_"/>
            <w:bookmarkEnd w:id="9"/>
            <w:r>
              <w:rPr>
                <w:rFonts w:ascii="Times New Roman;Times;Serif" w:hAnsi="Times New Roman;Times;Serif"/>
                <w:b/>
                <w:sz w:val="20"/>
              </w:rPr>
              <w:t>Suite 650</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r>
      <w:tr>
        <w:trPr/>
        <w:tc>
          <w:tcPr>
            <w:tcW w:w="3275" w:type="dxa"/>
            <w:tcBorders/>
            <w:vAlign w:val="center"/>
          </w:tcPr>
          <w:p>
            <w:pPr>
              <w:pStyle w:val="TableContents"/>
              <w:bidi w:val="0"/>
              <w:spacing w:before="0" w:after="283"/>
              <w:jc w:val="center"/>
              <w:rPr/>
            </w:pPr>
            <w:bookmarkStart w:id="10" w:name="xdx_90D_edei--EntityAddressCityOrTown_c2"/>
            <w:bookmarkEnd w:id="10"/>
            <w:r>
              <w:rPr>
                <w:rFonts w:ascii="Times New Roman;Times;Serif" w:hAnsi="Times New Roman;Times;Serif"/>
                <w:b/>
                <w:sz w:val="20"/>
              </w:rPr>
              <w:t xml:space="preserve">Arlington, </w:t>
            </w:r>
            <w:bookmarkStart w:id="11" w:name="xdx_90C_edei--EntityAddressStateOrProvin"/>
            <w:bookmarkEnd w:id="11"/>
            <w:r>
              <w:rPr>
                <w:rFonts w:ascii="Times New Roman;Times;Serif" w:hAnsi="Times New Roman;Times;Serif"/>
                <w:b/>
                <w:sz w:val="20"/>
              </w:rPr>
              <w:t>Virginia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2" w:name="xdx_901_edei--EntityAddressPostalZipCode"/>
            <w:bookmarkEnd w:id="12"/>
            <w:r>
              <w:rPr>
                <w:rFonts w:ascii="Times New Roman;Times;Serif" w:hAnsi="Times New Roman;Times;Serif"/>
                <w:b/>
                <w:sz w:val="20"/>
              </w:rPr>
              <w:t>22202</w:t>
            </w:r>
          </w:p>
        </w:tc>
      </w:tr>
      <w:tr>
        <w:trPr/>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9_edei--CityAreaCode_c20260723__20"/>
      <w:bookmarkEnd w:id="13"/>
      <w:r>
        <w:rPr>
          <w:rFonts w:ascii="Times New Roman;Times;Serif" w:hAnsi="Times New Roman;Times;Serif"/>
          <w:b/>
          <w:i w:val="false"/>
          <w:caps w:val="false"/>
          <w:smallCaps w:val="false"/>
          <w:sz w:val="20"/>
        </w:rPr>
        <w:t xml:space="preserve">703) </w:t>
      </w:r>
      <w:bookmarkStart w:id="14" w:name="xdx_905_edei--LocalPhoneNumber_c20260723"/>
      <w:bookmarkEnd w:id="14"/>
      <w:r>
        <w:rPr>
          <w:rFonts w:ascii="Times New Roman;Times;Serif" w:hAnsi="Times New Roman;Times;Serif"/>
          <w:b/>
          <w:i w:val="false"/>
          <w:caps w:val="false"/>
          <w:smallCaps w:val="false"/>
          <w:sz w:val="20"/>
        </w:rPr>
        <w:t>418-2828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5" w:name="xdx_901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6" w:name="xdx_908_edei--SolicitingMaterial_c202607"/>
      <w:bookmarkEnd w:id="16"/>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7" w:name="xdx_909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8" w:name="xdx_901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390" w:type="dxa"/>
        <w:jc w:val="left"/>
        <w:tblInd w:w="-10" w:type="dxa"/>
        <w:tblLayout w:type="fixed"/>
        <w:tblCellMar>
          <w:top w:w="28" w:type="dxa"/>
          <w:left w:w="108" w:type="dxa"/>
          <w:bottom w:w="28" w:type="dxa"/>
          <w:right w:w="108" w:type="dxa"/>
        </w:tblCellMar>
      </w:tblPr>
      <w:tblGrid>
        <w:gridCol w:w="3350"/>
        <w:gridCol w:w="1805"/>
        <w:gridCol w:w="4235"/>
      </w:tblGrid>
      <w:tr>
        <w:trPr/>
        <w:tc>
          <w:tcPr>
            <w:tcW w:w="33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Title of each class</w:t>
            </w:r>
          </w:p>
        </w:tc>
        <w:tc>
          <w:tcPr>
            <w:tcW w:w="18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Trading Symbol(s)</w:t>
            </w:r>
          </w:p>
        </w:tc>
        <w:tc>
          <w:tcPr>
            <w:tcW w:w="42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Name of each exchange on which registered</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bookmarkStart w:id="19" w:name="xdx_904_edei--Security12bTitle_c20260723"/>
            <w:bookmarkEnd w:id="19"/>
            <w:r>
              <w:rPr/>
              <w:t>Common Stock, $0.0001 par value</w:t>
            </w:r>
          </w:p>
        </w:tc>
        <w:tc>
          <w:tcPr>
            <w:tcW w:w="18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bookmarkStart w:id="20" w:name="xdx_90E_edei--TradingSymbol_c20260723__2"/>
            <w:bookmarkEnd w:id="20"/>
            <w:r>
              <w:rPr/>
              <w:t>AVAV</w:t>
            </w:r>
          </w:p>
        </w:tc>
        <w:tc>
          <w:tcPr>
            <w:tcW w:w="4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bookmarkStart w:id="21" w:name="xdx_905_edei--SecurityExchangeName_c2026"/>
            <w:bookmarkEnd w:id="21"/>
            <w:r>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2026, Stephen Page, a member of the AeroVironment, Inc. (the “Company”) Board of Directors (the “Board”), notified the Board of his decision to retire from the Board effective upon the expiration of his current term and not stand for re-election as a director of the Company. Mr. Page will continue to serve as a director and as a member of the Board’s Audit Committee and Nominating and Corporate Governance Committee until the completion of his term, which will end at the start of the Company’s 2026 annual meeting of stockholders, anticipated to be held on September 24, 2026 (the “Annual Meeting”). Mr. Page’s decision not to stand for re-election was not due to any disagreement with the Company, its auditors or advisors on any matter relating to the Company or its operations, policies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the Company issued a press release regarding Mr. Page’s decision to retire and not stand for re-reelection to the Board at the Annual Meeting, a copy of which is attached as Exhibit 99.1 to this Current Report on Form 8-K and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of this Current Report on Form 8-K, including Exhibit 99.1 attached hereto, is being furnished and shall not be deemed “filed” for purposes of Section 18 of the Securities Exchange Act of 1934, as amended, or otherwise subject to the liabilities of such section. Such information shall not be incorporated by reference into any registration statement or other document pursuant to the Securities Act of 1933, as amended,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shd w:fill="FFFFFF" w:val="clear"/>
        <w:tblLayout w:type="fixed"/>
        <w:tblCellMar>
          <w:top w:w="0" w:type="dxa"/>
          <w:left w:w="0" w:type="dxa"/>
          <w:bottom w:w="0" w:type="dxa"/>
          <w:right w:w="0" w:type="dxa"/>
        </w:tblCellMar>
      </w:tblPr>
      <w:tblGrid>
        <w:gridCol w:w="695"/>
        <w:gridCol w:w="60"/>
        <w:gridCol w:w="6530"/>
      </w:tblGrid>
      <w:tr>
        <w:trPr/>
        <w:tc>
          <w:tcPr>
            <w:tcW w:w="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w:t>
            </w:r>
          </w:p>
        </w:tc>
        <w:tc>
          <w:tcPr>
            <w:tcW w:w="60" w:type="dxa"/>
            <w:tcBorders/>
            <w:shd w:fill="FFFFFF" w:val="clear"/>
            <w:vAlign w:val="center"/>
          </w:tcPr>
          <w:p>
            <w:pPr>
              <w:pStyle w:val="TableContents"/>
              <w:bidi w:val="0"/>
              <w:spacing w:before="0" w:after="283"/>
              <w:jc w:val="left"/>
              <w:rPr/>
            </w:pPr>
            <w:r>
              <w:rPr/>
              <w:t> </w:t>
            </w:r>
          </w:p>
        </w:tc>
        <w:tc>
          <w:tcPr>
            <w:tcW w:w="6530" w:type="dxa"/>
            <w:tcBorders/>
            <w:shd w:fill="FFFFFF" w:val="clear"/>
            <w:vAlign w:val="center"/>
          </w:tcPr>
          <w:p>
            <w:pPr>
              <w:pStyle w:val="TableContents"/>
              <w:bidi w:val="0"/>
              <w:spacing w:before="0" w:after="283"/>
              <w:jc w:val="left"/>
              <w:rPr/>
            </w:pPr>
            <w:r>
              <w:rPr/>
              <w:t> </w:t>
            </w:r>
          </w:p>
        </w:tc>
      </w:tr>
      <w:tr>
        <w:trPr/>
        <w:tc>
          <w:tcPr>
            <w:tcW w:w="6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w:t>
            </w:r>
          </w:p>
        </w:tc>
        <w:tc>
          <w:tcPr>
            <w:tcW w:w="60" w:type="dxa"/>
            <w:tcBorders/>
            <w:shd w:fill="FFFFFF" w:val="clear"/>
            <w:vAlign w:val="center"/>
          </w:tcPr>
          <w:p>
            <w:pPr>
              <w:pStyle w:val="TableContents"/>
              <w:bidi w:val="0"/>
              <w:spacing w:before="0" w:after="283"/>
              <w:jc w:val="left"/>
              <w:rPr/>
            </w:pPr>
            <w:r>
              <w:rPr/>
              <w:t> </w:t>
            </w:r>
          </w:p>
        </w:tc>
        <w:tc>
          <w:tcPr>
            <w:tcW w:w="653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Description</w:t>
            </w:r>
          </w:p>
        </w:tc>
      </w:tr>
      <w:tr>
        <w:trPr/>
        <w:tc>
          <w:tcPr>
            <w:tcW w:w="695" w:type="dxa"/>
            <w:tcBorders/>
            <w:shd w:fill="FFFFFF" w:val="clear"/>
            <w:vAlign w:val="center"/>
          </w:tcPr>
          <w:p>
            <w:pPr>
              <w:pStyle w:val="TableContents"/>
              <w:bidi w:val="0"/>
              <w:spacing w:before="0" w:after="283"/>
              <w:jc w:val="left"/>
              <w:rPr/>
            </w:pPr>
            <w:hyperlink w:anchor="tm2621437d1_ex99-1.htm">
              <w:r>
                <w:rPr>
                  <w:rStyle w:val="InternetLink"/>
                  <w:rFonts w:ascii="Times New Roman;Times;Serif" w:hAnsi="Times New Roman;Times;Serif"/>
                  <w:sz w:val="20"/>
                </w:rPr>
                <w:t>99.1</w:t>
              </w:r>
            </w:hyperlink>
          </w:p>
        </w:tc>
        <w:tc>
          <w:tcPr>
            <w:tcW w:w="60" w:type="dxa"/>
            <w:tcBorders/>
            <w:shd w:fill="FFFFFF" w:val="clear"/>
            <w:vAlign w:val="center"/>
          </w:tcPr>
          <w:p>
            <w:pPr>
              <w:pStyle w:val="TableContents"/>
              <w:bidi w:val="0"/>
              <w:spacing w:before="0" w:after="283"/>
              <w:jc w:val="left"/>
              <w:rPr/>
            </w:pPr>
            <w:r>
              <w:rPr/>
              <w:t> </w:t>
            </w:r>
          </w:p>
        </w:tc>
        <w:tc>
          <w:tcPr>
            <w:tcW w:w="6530" w:type="dxa"/>
            <w:tcBorders/>
            <w:shd w:fill="FFFFFF" w:val="clear"/>
            <w:vAlign w:val="center"/>
          </w:tcPr>
          <w:p>
            <w:pPr>
              <w:pStyle w:val="TableContents"/>
              <w:bidi w:val="0"/>
              <w:spacing w:before="0" w:after="283"/>
              <w:jc w:val="left"/>
              <w:rPr/>
            </w:pPr>
            <w:hyperlink w:anchor="tm2621437d1_ex99-1.htm">
              <w:r>
                <w:rPr>
                  <w:rStyle w:val="InternetLink"/>
                  <w:rFonts w:ascii="Times New Roman;Times;Serif" w:hAnsi="Times New Roman;Times;Serif"/>
                  <w:sz w:val="20"/>
                </w:rPr>
                <w:t>Press release issued by AeroVironment, Inc., dated July 29, 2026.</w:t>
              </w:r>
            </w:hyperlink>
          </w:p>
        </w:tc>
      </w:tr>
      <w:tr>
        <w:trPr/>
        <w:tc>
          <w:tcPr>
            <w:tcW w:w="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vAlign w:val="center"/>
          </w:tcPr>
          <w:p>
            <w:pPr>
              <w:pStyle w:val="TableContents"/>
              <w:bidi w:val="0"/>
              <w:spacing w:before="0" w:after="283"/>
              <w:jc w:val="left"/>
              <w:rPr/>
            </w:pPr>
            <w:r>
              <w:rPr/>
              <w:t> </w:t>
            </w:r>
          </w:p>
        </w:tc>
        <w:tc>
          <w:tcPr>
            <w:tcW w:w="6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7515" w:type="dxa"/>
        <w:jc w:val="left"/>
        <w:tblInd w:w="0" w:type="dxa"/>
        <w:tblLayout w:type="fixed"/>
        <w:tblCellMar>
          <w:top w:w="0" w:type="dxa"/>
          <w:left w:w="0" w:type="dxa"/>
          <w:bottom w:w="0" w:type="dxa"/>
          <w:right w:w="0" w:type="dxa"/>
        </w:tblCellMar>
      </w:tblPr>
      <w:tblGrid>
        <w:gridCol w:w="1625"/>
        <w:gridCol w:w="320"/>
        <w:gridCol w:w="5570"/>
      </w:tblGrid>
      <w:tr>
        <w:trPr/>
        <w:tc>
          <w:tcPr>
            <w:tcW w:w="1625" w:type="dxa"/>
            <w:tcBorders/>
            <w:vAlign w:val="center"/>
          </w:tcPr>
          <w:p>
            <w:pPr>
              <w:pStyle w:val="TableContents"/>
              <w:bidi w:val="0"/>
              <w:spacing w:before="0" w:after="283"/>
              <w:jc w:val="left"/>
              <w:rPr/>
            </w:pPr>
            <w:r>
              <w:rPr/>
              <w:t> </w:t>
            </w:r>
          </w:p>
        </w:tc>
        <w:tc>
          <w:tcPr>
            <w:tcW w:w="58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AEROVIRONMENT, INC.</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29,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5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Melissa Brown</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Melissa Brown</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Legal Officer &amp; Corporate Secretary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ind w:left="0" w:right="0" w:hanging="0"/>
        <w:jc w:val="left"/>
        <w:rPr/>
      </w:pPr>
      <w:bookmarkStart w:id="23" w:name="tm2621437d1_ex99-1.htm"/>
      <w:bookmarkStart w:id="24" w:name="kstm2621437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center"/>
        <w:rPr/>
      </w:pPr>
      <w:r>
        <w:rPr/>
        <w:drawing>
          <wp:inline distT="0" distB="0" distL="0" distR="0">
            <wp:extent cx="6972300"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972300" cy="933450"/>
                    </a:xfrm>
                    <a:prstGeom prst="rect">
                      <a:avLst/>
                    </a:prstGeom>
                  </pic:spPr>
                </pic:pic>
              </a:graphicData>
            </a:graphic>
          </wp:inline>
        </w:drawing>
      </w:r>
      <w:r>
        <w:rPr/>
        <w:t> </w:t>
      </w:r>
    </w:p>
    <w:p>
      <w:pPr>
        <w:pStyle w:val="TextBody"/>
        <w:bidi w:val="0"/>
        <w:spacing w:before="0" w:after="283"/>
        <w:jc w:val="left"/>
        <w:rPr/>
      </w:pPr>
      <w:r>
        <w:rPr/>
        <w:t> </w:t>
      </w:r>
    </w:p>
    <w:p>
      <w:pPr>
        <w:pStyle w:val="TextBody"/>
        <w:bidi w:val="0"/>
        <w:jc w:val="center"/>
        <w:rPr>
          <w:b/>
          <w:sz w:val="20"/>
        </w:rPr>
      </w:pPr>
      <w:r>
        <w:rPr>
          <w:b/>
          <w:sz w:val="20"/>
        </w:rPr>
        <w:t>AeroVironment Announces Planned Retirement of Stephen F. Page from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ARLINGTON, Va. – July 29, 2026</w:t>
      </w:r>
      <w:r>
        <w:rPr>
          <w:rFonts w:ascii="Times New Roman;Times;Serif" w:hAnsi="Times New Roman;Times;Serif"/>
          <w:b w:val="false"/>
          <w:i w:val="false"/>
          <w:caps w:val="false"/>
          <w:smallCaps w:val="false"/>
          <w:sz w:val="20"/>
        </w:rPr>
        <w:t xml:space="preserve"> – AeroVironment, Inc. (“AV”) (NASDAQ: AVAV) today announced that Stephen F. Page, a member of AV’s Board of Directors (the “Board”), has informed the Board of his decision not to seek re-election and to retire from the Board at the company’s 2026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his 13 years on AV’s Board, Mr. Page provided strategic, financial and governance oversight that supported the company’s growth and evolution into a leading multi-domain defense technology provider.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Since Steve joined AV’s Board 13 years ago, the company has evolved from a pure-play UAS business into a cutting-edge provider of autonomous, space, cyber and directed energy systems,” said Wahid Nawabi, AV’s chairman, president and chief executive officer. “Steve’s financial discipline and governance rigor were a steady hand through that transformation. On behalf of the Board and our entire team, I thank Steve for his dedicated service, and we wish him all the best.”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It has been a privilege to serve on AV’s Board and to support the company as it diversified its platform and sharpened its operational excellence,” said Mr. Page. “I am grateful for the opportunity to work alongside my fellow directors and the company’s management team as we strengthened the company’s position as a leading defense technology innovator. I am proud of what we have accomplished together and remain highly confident that the company is well positioned for continued growth, success and value creation.”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AV</w:t>
      </w:r>
    </w:p>
    <w:p>
      <w:pPr>
        <w:pStyle w:val="TextBody"/>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AeroVironment (“AV”) (NASDAQ: AVAV) is a defense technology leader delivering integrated capabilities across air, land, sea, space, and cyber. The Company develops and deploys autonomous systems, loitering munitions, counter-UAS technologies, space-based platforms, directed energy systems, and cyber and electronic warfare capabilities—built to meet the mission needs of today’s warfighter and tomorrow’s conflicts. At the core of these technologies lies AV_Halo™, a modular, mission-ready suite of AI-powered software tools that empowers warfighters and enables full-battlefield dominance: detect, decide, deliver. With a national manufacturing footprint and a deep innovation pipeline, AV delivers proven systems and future-defining capabilities at speed, scale, and operational relevance. For more information, visit </w:t>
      </w:r>
      <w:r>
        <w:rPr>
          <w:rFonts w:ascii="Times New Roman;Times;Serif" w:hAnsi="Times New Roman;Times;Serif"/>
          <w:b w:val="false"/>
          <w:i w:val="false"/>
          <w:caps w:val="false"/>
          <w:smallCaps w:val="false"/>
          <w:sz w:val="20"/>
          <w:u w:val="single"/>
        </w:rPr>
        <w:t>www.avinc.com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972300" cy="933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972300" cy="9334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may constitute "forward-looking statements" as defined in the Private Securities Litigation Reform Act of 1995. These statements are based on current expectations, forecasts, and assumptions that involve risks and uncertainties, which could cause actual results to differ materially. Factors that may cause such differences include, but are not limited to, our ability to perform under existing contracts and obtain new ones; regulatory changes; competitor activities; market growth; product development challenges; and general economic conditions. For a more detailed discussion of these risks, please refer to AeroVironment’s filings with the Securities and Exchange Commission. We undertake no obligation to update forward-looking statements as a result of new information or future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additional media and information, please follow us:</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14525" cy="304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14525" cy="3048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BJ Koubaroulis</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bj.koubaroulis@avinc.com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703.718.4060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Denise Pacioni</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ir@avinc.com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805.795.4108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1182</Words>
  <Characters>6764</Characters>
  <CharactersWithSpaces>7971</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