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October 28, 2023</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415</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right="206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29, 2023, the number of shares outstanding of the registrant’s common stock, $0.0001 par value, was 28,135,100.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20" w:type="dxa"/>
            <w:vAlign w:val="bottom"/>
            <w:gridSpan w:val="14"/>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4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20" w:type="dxa"/>
            <w:vAlign w:val="bottom"/>
            <w:gridSpan w:val="14"/>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20" w:type="dxa"/>
            <w:vAlign w:val="bottom"/>
          </w:tcPr>
          <w:p>
            <w:pPr>
              <w:spacing w:after="0"/>
              <w:rPr>
                <w:sz w:val="24"/>
                <w:szCs w:val="24"/>
                <w:color w:val="auto"/>
              </w:rPr>
            </w:pPr>
          </w:p>
        </w:tc>
      </w:tr>
      <w:tr>
        <w:trPr>
          <w:trHeight w:val="405"/>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1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980" w:type="dxa"/>
            <w:vAlign w:val="bottom"/>
            <w:gridSpan w:val="17"/>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October 28, 2023 (Unaudited) and April 30, 2023</w:t>
            </w:r>
          </w:p>
        </w:tc>
        <w:tc>
          <w:tcPr>
            <w:tcW w:w="420" w:type="dxa"/>
            <w:vAlign w:val="bottom"/>
            <w:gridSpan w:val="3"/>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October 28,</w:t>
            </w:r>
          </w:p>
        </w:tc>
        <w:tc>
          <w:tcPr>
            <w:tcW w:w="28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2023 (Unaudited) and October 29, 2022 (Unaudited)</w:t>
            </w: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six months</w:t>
            </w: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ended October 28, 2023 (Unaudited) and October 29, 2022 (Unaudited)</w:t>
            </w:r>
          </w:p>
        </w:tc>
        <w:tc>
          <w:tcPr>
            <w:tcW w:w="202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w:t>
            </w:r>
          </w:p>
        </w:tc>
        <w:tc>
          <w:tcPr>
            <w:tcW w:w="440" w:type="dxa"/>
            <w:vAlign w:val="bottom"/>
            <w:gridSpan w:val="4"/>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October 28, 2023 (Unaudited) and October 29, 2022 (Unaudited)</w:t>
            </w: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October 28,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(Unaudited) and October 29, 2022 (Unaudited)</w:t>
            </w:r>
          </w:p>
        </w:tc>
        <w:tc>
          <w:tcPr>
            <w:tcW w:w="54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80" w:type="dxa"/>
            <w:vAlign w:val="bottom"/>
            <w:gridSpan w:val="6"/>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180" w:type="dxa"/>
            <w:vAlign w:val="bottom"/>
            <w:gridSpan w:val="10"/>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7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200" w:type="dxa"/>
            <w:vAlign w:val="bottom"/>
            <w:gridSpan w:val="11"/>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780" w:type="dxa"/>
            <w:vAlign w:val="bottom"/>
            <w:gridSpan w:val="16"/>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9"/>
                <w:szCs w:val="19"/>
                <w:color w:val="auto"/>
              </w:rPr>
            </w:pPr>
          </w:p>
        </w:tc>
        <w:tc>
          <w:tcPr>
            <w:tcW w:w="6220" w:type="dxa"/>
            <w:vAlign w:val="bottom"/>
            <w:gridSpan w:val="18"/>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AeroVironment, Inc.</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100,908</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$158 at October 28, 2023 and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$156 at April 30, 2023</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73,865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181,767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524,045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477,002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82,848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9,231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1,006,700</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824,577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28,834</w:t>
            </w:r>
          </w:p>
        </w:tc>
        <w:tc>
          <w:tcPr>
            <w:tcW w:w="200" w:type="dxa"/>
            <w:vAlign w:val="bottom"/>
          </w:tcPr>
          <w:p>
            <w:pPr>
              <w:spacing w:after="0"/>
              <w:rPr>
                <w:sz w:val="17"/>
                <w:szCs w:val="17"/>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18,946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October 28, 2023 and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shares—28,135,539 shares at October 28, 2023 and 26,216,897 shares at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589,047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(4,452)</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210,756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1,006,700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9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40" w:type="dxa"/>
            <w:vAlign w:val="bottom"/>
          </w:tcPr>
          <w:p>
            <w:pPr>
              <w:spacing w:after="0"/>
              <w:rPr>
                <w:sz w:val="10"/>
                <w:szCs w:val="10"/>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145,779</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62,343</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265,250</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120,317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67,913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99,783</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333,163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220,100</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46,249</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88,152</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160,496</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75,350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141,010</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59,604</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22,025</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(2,309)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(3,912)</w:t>
            </w: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40" w:type="dxa"/>
            <w:vAlign w:val="bottom"/>
          </w:tcPr>
          <w:p>
            <w:pPr>
              <w:spacing w:after="0"/>
              <w:rPr>
                <w:sz w:val="17"/>
                <w:szCs w:val="17"/>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(21,096)</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(10,457)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(7,851)</w:t>
            </w: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net of tax</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(1,773)</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(15,018)</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r>
      <w:tr>
        <w:trPr>
          <w:trHeight w:val="23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 attributable to AeroVironment,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39,735</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(loss) per share attributable to AeroVironment, Inc.</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(0.61)</w:t>
            </w: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26,865,763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24,900,873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26,479,168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24,852,219</w:t>
            </w:r>
          </w:p>
        </w:tc>
        <w:tc>
          <w:tcPr>
            <w:tcW w:w="40" w:type="dxa"/>
            <w:vAlign w:val="bottom"/>
            <w:shd w:val="clear" w:color="auto" w:fill="CCEEFF"/>
          </w:tcPr>
          <w:p>
            <w:pPr>
              <w:spacing w:after="0"/>
              <w:rPr>
                <w:sz w:val="17"/>
                <w:szCs w:val="17"/>
                <w:color w:val="auto"/>
              </w:rPr>
            </w:pPr>
          </w:p>
        </w:tc>
      </w:tr>
      <w:tr>
        <w:trPr>
          <w:trHeight w:val="210"/>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26,956,806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24,900,873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26,569,267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24,852,219</w:t>
            </w:r>
          </w:p>
        </w:tc>
        <w:tc>
          <w:tcPr>
            <w:tcW w:w="4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6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 investments, net of</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expense of $0 for the three and six months ended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October 29, 2022,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r>
      <w:tr>
        <w:trPr>
          <w:trHeight w:val="216"/>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bottom w:val="single" w:sz="8" w:color="CCEEFF"/>
            </w:tcBorders>
          </w:tcPr>
          <w:p>
            <w:pPr>
              <w:spacing w:after="0"/>
              <w:rPr>
                <w:sz w:val="18"/>
                <w:szCs w:val="18"/>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8"/>
                <w:szCs w:val="18"/>
                <w:color w:val="auto"/>
              </w:rPr>
            </w:pPr>
          </w:p>
        </w:tc>
      </w:tr>
      <w:tr>
        <w:trPr>
          <w:trHeight w:val="209"/>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AeroVironment, Inc.</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28, 2023 and October 29, 2022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2"/>
                <w:szCs w:val="12"/>
                <w:color w:val="auto"/>
              </w:rPr>
            </w:pPr>
          </w:p>
        </w:tc>
        <w:tc>
          <w:tcPr>
            <w:tcW w:w="88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ComprehensiveAeroVironment, Inc.Controlling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66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Pr>
          <w:p>
            <w:pPr>
              <w:spacing w:after="0"/>
              <w:rPr>
                <w:sz w:val="11"/>
                <w:szCs w:val="11"/>
                <w:color w:val="auto"/>
              </w:rPr>
            </w:pPr>
          </w:p>
        </w:tc>
        <w:tc>
          <w:tcPr>
            <w:tcW w:w="880" w:type="dxa"/>
            <w:vAlign w:val="bottom"/>
          </w:tcPr>
          <w:p>
            <w:pPr>
              <w:jc w:val="center"/>
              <w:ind w:right="20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29, 2023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26,292,130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$ 386,140</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$ 192,916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(4,515)</w:t>
            </w:r>
          </w:p>
        </w:tc>
        <w:tc>
          <w:tcPr>
            <w:tcW w:w="2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574,545</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574,545</w:t>
            </w:r>
          </w:p>
        </w:tc>
        <w:tc>
          <w:tcPr>
            <w:tcW w:w="0" w:type="dxa"/>
            <w:vAlign w:val="bottom"/>
          </w:tcPr>
          <w:p>
            <w:pPr>
              <w:spacing w:after="0"/>
              <w:rPr>
                <w:sz w:val="1"/>
                <w:szCs w:val="1"/>
                <w:color w:val="auto"/>
              </w:rPr>
            </w:pPr>
          </w:p>
        </w:tc>
      </w:tr>
      <w:tr>
        <w:trPr>
          <w:trHeight w:val="148"/>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17,840</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17,840</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w:t>
            </w:r>
          </w:p>
        </w:tc>
        <w:tc>
          <w:tcPr>
            <w:tcW w:w="0" w:type="dxa"/>
            <w:vAlign w:val="bottom"/>
          </w:tcPr>
          <w:p>
            <w:pPr>
              <w:spacing w:after="0"/>
              <w:rPr>
                <w:sz w:val="1"/>
                <w:szCs w:val="1"/>
                <w:color w:val="auto"/>
              </w:rPr>
            </w:pPr>
          </w:p>
        </w:tc>
      </w:tr>
      <w:tr>
        <w:trPr>
          <w:trHeight w:val="148"/>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53,455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6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807,370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88,119</w:t>
            </w:r>
          </w:p>
        </w:tc>
        <w:tc>
          <w:tcPr>
            <w:tcW w:w="0" w:type="dxa"/>
            <w:vAlign w:val="bottom"/>
          </w:tcPr>
          <w:p>
            <w:pPr>
              <w:spacing w:after="0"/>
              <w:rPr>
                <w:sz w:val="1"/>
                <w:szCs w:val="1"/>
                <w:color w:val="auto"/>
              </w:rPr>
            </w:pPr>
          </w:p>
        </w:tc>
      </w:tr>
      <w:tr>
        <w:trPr>
          <w:trHeight w:val="126"/>
        </w:trPr>
        <w:tc>
          <w:tcPr>
            <w:tcW w:w="26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985,999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0" w:type="dxa"/>
            <w:vAlign w:val="bottom"/>
          </w:tcPr>
          <w:p>
            <w:pPr>
              <w:spacing w:after="0"/>
              <w:rPr>
                <w:sz w:val="1"/>
                <w:szCs w:val="1"/>
                <w:color w:val="auto"/>
              </w:rPr>
            </w:pPr>
          </w:p>
        </w:tc>
      </w:tr>
      <w:tr>
        <w:trPr>
          <w:trHeight w:val="171"/>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business acquisition</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28,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28,135,539</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$ 589,047</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$ 210,756</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(6,077)$</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793,730</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793,730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2"/>
                <w:szCs w:val="12"/>
                <w:color w:val="auto"/>
              </w:rPr>
            </w:pPr>
          </w:p>
        </w:tc>
        <w:tc>
          <w:tcPr>
            <w:tcW w:w="88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ComprehensiveAeroVironment, Inc.Controlling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66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Pr>
          <w:p>
            <w:pPr>
              <w:spacing w:after="0"/>
              <w:rPr>
                <w:sz w:val="11"/>
                <w:szCs w:val="11"/>
                <w:color w:val="auto"/>
              </w:rPr>
            </w:pPr>
          </w:p>
        </w:tc>
        <w:tc>
          <w:tcPr>
            <w:tcW w:w="880" w:type="dxa"/>
            <w:vAlign w:val="bottom"/>
          </w:tcPr>
          <w:p>
            <w:pPr>
              <w:jc w:val="center"/>
              <w:ind w:right="20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24,990,590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$ 268,641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$ 338,838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(7,558)</w:t>
            </w:r>
          </w:p>
        </w:tc>
        <w:tc>
          <w:tcPr>
            <w:tcW w:w="2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599,923</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600,170</w:t>
            </w:r>
          </w:p>
        </w:tc>
        <w:tc>
          <w:tcPr>
            <w:tcW w:w="0" w:type="dxa"/>
            <w:vAlign w:val="bottom"/>
          </w:tcPr>
          <w:p>
            <w:pPr>
              <w:spacing w:after="0"/>
              <w:rPr>
                <w:sz w:val="1"/>
                <w:szCs w:val="1"/>
                <w:color w:val="auto"/>
              </w:rPr>
            </w:pPr>
          </w:p>
        </w:tc>
      </w:tr>
      <w:tr>
        <w:trPr>
          <w:trHeight w:val="148"/>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(6,629)</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48"/>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6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share settlement of 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126"/>
        </w:trPr>
        <w:tc>
          <w:tcPr>
            <w:tcW w:w="26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Deconsolidation of previously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controlled subsidiary</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29, 2022</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25,157,618</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$ 283,789</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$ 332,170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(8,480)$</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607,483</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607,483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October 28, 2023 and October 29, 2022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Inc. Controlling</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329"/>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920" w:type="dxa"/>
            <w:vAlign w:val="bottom"/>
          </w:tcPr>
          <w:p>
            <w:pPr>
              <w:jc w:val="center"/>
              <w:ind w:right="16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8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26,216,897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$ 384,397</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$ 171,021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96"/>
              </w:rPr>
              <w:t>$ 550,970</w:t>
            </w: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39,735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39,735</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39,735</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69"/>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148"/>
        </w:trPr>
        <w:tc>
          <w:tcPr>
            <w:tcW w:w="2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145,368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share settlement of equity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71"/>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807,370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87,956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87,956</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87,956</w:t>
            </w:r>
          </w:p>
        </w:tc>
        <w:tc>
          <w:tcPr>
            <w:tcW w:w="0" w:type="dxa"/>
            <w:vAlign w:val="bottom"/>
          </w:tcPr>
          <w:p>
            <w:pPr>
              <w:spacing w:after="0"/>
              <w:rPr>
                <w:sz w:val="1"/>
                <w:szCs w:val="1"/>
                <w:color w:val="auto"/>
              </w:rPr>
            </w:pPr>
          </w:p>
        </w:tc>
      </w:tr>
      <w:tr>
        <w:trPr>
          <w:trHeight w:val="126"/>
        </w:trPr>
        <w:tc>
          <w:tcPr>
            <w:tcW w:w="24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985,999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8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109,820</w:t>
            </w:r>
          </w:p>
        </w:tc>
        <w:tc>
          <w:tcPr>
            <w:tcW w:w="0" w:type="dxa"/>
            <w:vAlign w:val="bottom"/>
          </w:tcPr>
          <w:p>
            <w:pPr>
              <w:spacing w:after="0"/>
              <w:rPr>
                <w:sz w:val="1"/>
                <w:szCs w:val="1"/>
                <w:color w:val="auto"/>
              </w:rPr>
            </w:pPr>
          </w:p>
        </w:tc>
      </w:tr>
      <w:tr>
        <w:trPr>
          <w:trHeight w:val="171"/>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business acquisition</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8,244</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8,244</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28,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28,135,539</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$ 589,047</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$ 210,756</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(6,077)$</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793,730</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96"/>
              </w:rPr>
              <w:t>$ 793,730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Comprehensive AeroVironment, Inc. Controlling</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7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9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24,951,287</w:t>
            </w:r>
          </w:p>
        </w:tc>
        <w:tc>
          <w:tcPr>
            <w:tcW w:w="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$ 267,248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$ 347,233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6"/>
              </w:rPr>
              <w:t>$ 608,210</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(1,992)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share settlement of equity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71"/>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126"/>
        </w:trPr>
        <w:tc>
          <w:tcPr>
            <w:tcW w:w="24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Deconsolidation of previously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controlled subsidiary</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4,402</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29,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25,157,618</w:t>
            </w:r>
          </w:p>
        </w:tc>
        <w:tc>
          <w:tcPr>
            <w:tcW w:w="34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$ 283,789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$ 332,170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(8,480)$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607,483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6"/>
              </w:rPr>
              <w:t>$ 607,483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39,735</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(15,018)</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cash (used in) provided by operating activities: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32,275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deconsolidation of previously controlled subsidiary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on foreign currency transactions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(gain) on available-for-sale equity securities, net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 discount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(35,175)</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(49,329)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(26,695)</w:t>
            </w:r>
          </w:p>
        </w:tc>
        <w:tc>
          <w:tcPr>
            <w:tcW w:w="0" w:type="dxa"/>
            <w:vAlign w:val="bottom"/>
          </w:tcPr>
          <w:p>
            <w:pPr>
              <w:spacing w:after="0"/>
              <w:rPr>
                <w:sz w:val="1"/>
                <w:szCs w:val="1"/>
                <w:color w:val="auto"/>
              </w:rPr>
            </w:pPr>
          </w:p>
        </w:tc>
      </w:tr>
      <w:tr>
        <w:trPr>
          <w:trHeight w:val="148"/>
        </w:trPr>
        <w:tc>
          <w:tcPr>
            <w:tcW w:w="56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(12,720)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148"/>
        </w:trPr>
        <w:tc>
          <w:tcPr>
            <w:tcW w:w="56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(6,105)</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(12,851)</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(8,664)</w:t>
            </w:r>
          </w:p>
        </w:tc>
        <w:tc>
          <w:tcPr>
            <w:tcW w:w="0" w:type="dxa"/>
            <w:vAlign w:val="bottom"/>
          </w:tcPr>
          <w:p>
            <w:pPr>
              <w:spacing w:after="0"/>
              <w:rPr>
                <w:sz w:val="1"/>
                <w:szCs w:val="1"/>
                <w:color w:val="auto"/>
              </w:rPr>
            </w:pPr>
          </w:p>
        </w:tc>
      </w:tr>
      <w:tr>
        <w:trPr>
          <w:trHeight w:val="142"/>
        </w:trPr>
        <w:tc>
          <w:tcPr>
            <w:tcW w:w="56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(25,590)</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(10,104)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(7,587)</w:t>
            </w: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(2,774)</w:t>
            </w:r>
          </w:p>
        </w:tc>
        <w:tc>
          <w:tcPr>
            <w:tcW w:w="0" w:type="dxa"/>
            <w:vAlign w:val="bottom"/>
          </w:tcPr>
          <w:p>
            <w:pPr>
              <w:spacing w:after="0"/>
              <w:rPr>
                <w:sz w:val="1"/>
                <w:szCs w:val="1"/>
                <w:color w:val="auto"/>
              </w:rPr>
            </w:pP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security investments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(24,156)</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(5,105)</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deconsolidation of previously controlled subsidiary, net of cash deconsolidated</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0" w:type="dxa"/>
            <w:vAlign w:val="bottom"/>
          </w:tcPr>
          <w:p>
            <w:pPr>
              <w:spacing w:after="0"/>
              <w:rPr>
                <w:sz w:val="1"/>
                <w:szCs w:val="1"/>
                <w:color w:val="auto"/>
              </w:rPr>
            </w:pPr>
          </w:p>
        </w:tc>
      </w:tr>
      <w:tr>
        <w:trPr>
          <w:trHeight w:val="142"/>
        </w:trPr>
        <w:tc>
          <w:tcPr>
            <w:tcW w:w="56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(37,635)</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(22,500)</w:t>
            </w: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issuance costs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5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31,544</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42"/>
        </w:trPr>
        <w:tc>
          <w:tcPr>
            <w:tcW w:w="5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(31,951)</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24,186</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100,908</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101,417</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11,054</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4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on available-for-sale investments, net of deferred tax expense of $0 for the six</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months ended October 28, 2023 and October 29, 2022, respectively</w:t>
            </w:r>
          </w:p>
        </w:tc>
        <w:tc>
          <w:tcPr>
            <w:tcW w:w="4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4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0" w:type="dxa"/>
            <w:vAlign w:val="bottom"/>
          </w:tcPr>
          <w:p>
            <w:pPr>
              <w:spacing w:after="0"/>
              <w:rPr>
                <w:sz w:val="1"/>
                <w:szCs w:val="1"/>
                <w:color w:val="auto"/>
              </w:rPr>
            </w:pPr>
          </w:p>
        </w:tc>
      </w:tr>
      <w:tr>
        <w:trPr>
          <w:trHeight w:val="149"/>
        </w:trPr>
        <w:tc>
          <w:tcPr>
            <w:tcW w:w="5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 of inventory to property and equipment, ISR in-service assets</w:t>
            </w: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4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419"/>
        <w:spacing w:after="0" w:line="258"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systems (“UMS”), loitering munitions systems (“LMS”) and related services primarily to organizations within the U.S. Government and to international allied governments.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28, 2023 are not necessarily indicative of the results for the full year ending April 30, 2024. For further information, refer to the consolidated financial statements and footnotes thereto for the year ended April 30, 2023, included in the Company’s Annual Report on Form 10-K.</w:t>
      </w:r>
    </w:p>
    <w:p>
      <w:pPr>
        <w:spacing w:after="0" w:line="18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0"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62"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unaudited condensed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net of tax. Refer to Note 5—Equity Method Investments for further details.</w:t>
      </w:r>
    </w:p>
    <w:p>
      <w:pPr>
        <w:spacing w:after="0" w:line="188"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Aerosystems, Inc. (“Planck”) pursuant to the purchase agreement, and post-acquisition, Planck has been incorporated into the UMS segment. The assets, liabilities and operating results of Planck have been included in the Company’s unaudited condensed consolidated financial statements. Refer to Note 16—Business Acquisitions for further details.</w:t>
      </w:r>
    </w:p>
    <w:p>
      <w:pPr>
        <w:spacing w:after="0" w:line="180" w:lineRule="exact"/>
        <w:rPr>
          <w:sz w:val="20"/>
          <w:szCs w:val="20"/>
          <w:color w:val="auto"/>
        </w:rPr>
      </w:pPr>
    </w:p>
    <w:p>
      <w:pPr>
        <w:ind w:left="40" w:right="359"/>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(“Tomahawk”) pursuant to a merger agreement, and post-acquisition, Tomahawk has been incorporated into the UMS segment. The assets, liabilities and operating results of Tomahawk have been included in the Company’s unaudited condensed consolidated financial statements. Refer to Note 16—Business Acquisitions for further details.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six months ended October 28, 2023.</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reserves for inventory excess and obsolescence have been reclassified from changes in inventories to non-cash adjustments within operating activities on the consolidated statements of cash flows for all periods presented. Reportable segment presentation for the three and six months ended October 29, 2022 has been reclassified to conform to the current year reportable segments: UMS, LMS and MacCready Works (“MW”) resulting from the Company’s reorganization, which was effective May 1, 2023. Refer to Note 18—Segments for further details.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2"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LMS product deliveries, certain Tomahawk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which historically included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In the past, the Company operated its medium unmanned aircraft systems (“MUAS”) in overseas locations to support U.S. military operations under ISR services contracts under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contractor-owned, contractor-operated (“COCO”) arrangement. During the year ended April 30, 2023, all COCO sites were closed. Training services are recognized over time using an output method based on days of training completed.</w:t>
      </w:r>
    </w:p>
    <w:p>
      <w:pPr>
        <w:spacing w:after="0" w:line="162"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Small UAS (“SUAS”), MUAS, unmanned ground vehicles (“UGV”)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Performance obligations satisfied over time accounted for 39% of revenue during each of the three and six months ended October 28, 2023. Performance obligations satisfied over time accounted for 65% and 63% of revenue during the three and six months ended October 29, 2022, respectively. Performance obligations satisfied at a point in time accounted for 61% of revenue during each of the three and six months ended October 28, 2023. Performance obligations satisfied at a point in time accounted for 35% and 37% of revenue during the three and six months ended October 29, 2022, respectively.</w:t>
      </w:r>
    </w:p>
    <w:p>
      <w:pPr>
        <w:spacing w:after="0" w:line="237"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On October 28, 2023, the Company had approximately $487,030,000 of remaining performance obligations under fully funded contracts with its customers, which the Company also refers to as funded backlog. The Company currently expects to recognize approximately 59% of the remaining performance obligations as revenue in fiscal 2024 and the remaining 41% in fiscal 2025.</w:t>
      </w:r>
    </w:p>
    <w:p>
      <w:pPr>
        <w:spacing w:after="0" w:line="18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5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40"/>
        <w:spacing w:after="0" w:line="254"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spacing w:after="0" w:line="192" w:lineRule="exact"/>
        <w:rPr>
          <w:sz w:val="20"/>
          <w:szCs w:val="20"/>
          <w:color w:val="auto"/>
        </w:rPr>
      </w:pPr>
    </w:p>
    <w:p>
      <w:pPr>
        <w:ind w:left="40" w:right="80"/>
        <w:spacing w:after="0" w:line="269" w:lineRule="auto"/>
        <w:rPr>
          <w:sz w:val="20"/>
          <w:szCs w:val="20"/>
          <w:color w:val="auto"/>
        </w:rPr>
      </w:pPr>
      <w:r>
        <w:rPr>
          <w:rFonts w:ascii="Times New Roman" w:cs="Times New Roman" w:eastAsia="Times New Roman" w:hAnsi="Times New Roman"/>
          <w:sz w:val="17"/>
          <w:szCs w:val="17"/>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October 28, 2023 and April 30, 2023 was $1,792,000 and $1,878,000, respectively. The Company recorded the forward loss reserves as the total estimated costs to complete the contracts are in excess of the total remaining consideration of the contracts. No adjustment on the forward loss reserve for any one contract was material to the Company’s unaudited condensed consolidated financial statements for the three and six months ended October 28, 2023, respectively. During the three months ended October 29, 2022, the Company recognized forward loss reserves on two MUAS ISR contracts totaling $1,952,000 related to unfavorable changes in the estimated costs to complete the contracts. The company recorded the forward loss reserves as the total estimated costs to complete the contracts are in excess of the total remaining consideration of the contracts. The aggregate impact of the change in estimate decreased net income by $1,500,000 and diluted loss per share by $0.06. No adjustment on the forward loss reserve for any one contract was material to the Company’s unaudited condensed consolidated financial statements for the six months ended October 29, 2022, respectively.</w:t>
      </w:r>
    </w:p>
    <w:p>
      <w:pPr>
        <w:spacing w:after="0" w:line="179" w:lineRule="exact"/>
        <w:rPr>
          <w:sz w:val="20"/>
          <w:szCs w:val="20"/>
          <w:color w:val="auto"/>
        </w:rPr>
      </w:pPr>
    </w:p>
    <w:p>
      <w:pPr>
        <w:ind w:left="40" w:right="160"/>
        <w:spacing w:after="0" w:line="253"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28, 2023 or October 29, 2022. During the three and six months ended October 28, 2023, the Company revised its estimates of the total expected costs to complete an LMS variant contract. The aggregate impact of these adjustments in contract estimates on revenue related to performance obligations satisfied or partially satisfied in previous periods was an increase to revenue of approximately $1,716,000 and $1,439,000, respectively. During the three months ended October 29, 2022, the Company revised its estimates of the total expected costs to complete an LMS variant contract. The aggregate impact of these adjustments in contract estimates on revenue related to performance obligations satisfied or partially satisfied in previous periods was an increase to revenue of approximately $1,332,000. During the six months ended October 29, 2022, the Company revised its estimates of the total expected costs to complete two LMS variant contracts. The aggregate impact of these adjustments in contract estimates on revenue related to performance obligations satisfied or partially satisfied in previous periods was a decrease to revenue of approximately $2,560,000.</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5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2420" w:type="dxa"/>
            <w:vAlign w:val="bottom"/>
          </w:tcPr>
          <w:p>
            <w:pPr>
              <w:spacing w:after="0"/>
              <w:rPr>
                <w:sz w:val="15"/>
                <w:szCs w:val="15"/>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32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UMS</w:t>
            </w:r>
          </w:p>
        </w:tc>
        <w:tc>
          <w:tcPr>
            <w:tcW w:w="2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$ 132,773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$ 230,980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$ 129,408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LMS</w:t>
            </w:r>
          </w:p>
        </w:tc>
        <w:tc>
          <w:tcPr>
            <w:tcW w:w="3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3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20" w:type="dxa"/>
            <w:vAlign w:val="bottom"/>
            <w:vMerge w:val="restart"/>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9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0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7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5"/>
                <w:szCs w:val="15"/>
                <w:color w:val="auto"/>
              </w:rPr>
            </w:pPr>
          </w:p>
        </w:tc>
        <w:tc>
          <w:tcPr>
            <w:tcW w:w="9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80" w:type="dxa"/>
            <w:vAlign w:val="bottom"/>
            <w:vMerge w:val="continue"/>
          </w:tcPr>
          <w:p>
            <w:pPr>
              <w:spacing w:after="0"/>
              <w:rPr>
                <w:sz w:val="15"/>
                <w:szCs w:val="15"/>
                <w:color w:val="auto"/>
              </w:rPr>
            </w:pPr>
          </w:p>
        </w:tc>
        <w:tc>
          <w:tcPr>
            <w:tcW w:w="25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80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$ 159,879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$ 289,821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$ 166,065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41,095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$ 180,816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$ 333,163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$ 220,100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6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48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28,</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40" w:type="dxa"/>
            <w:vAlign w:val="bottom"/>
            <w:vMerge w:val="continue"/>
          </w:tcPr>
          <w:p>
            <w:pPr>
              <w:spacing w:after="0"/>
              <w:rPr>
                <w:sz w:val="15"/>
                <w:szCs w:val="15"/>
                <w:color w:val="auto"/>
              </w:rPr>
            </w:pPr>
          </w:p>
        </w:tc>
        <w:tc>
          <w:tcPr>
            <w:tcW w:w="2260" w:type="dxa"/>
            <w:vAlign w:val="bottom"/>
            <w:gridSpan w:val="2"/>
          </w:tcPr>
          <w:p>
            <w:pPr>
              <w:jc w:val="center"/>
              <w:ind w:left="1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2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$ 149,959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$ 251,307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$ 151,880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$ 180,816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$ 111,584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$ 333,163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$ 220,100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October 28,</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2260" w:type="dxa"/>
            <w:vAlign w:val="bottom"/>
            <w:gridSpan w:val="2"/>
          </w:tcPr>
          <w:p>
            <w:pPr>
              <w:jc w:val="center"/>
              <w:ind w:left="1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92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69,975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$ 128,101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$ 117,760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$ 180,816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$ 111,584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$ 333,163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$ 220,100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2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and six month period ended October 28, 2023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6" w:lineRule="exact"/>
        <w:rPr>
          <w:sz w:val="20"/>
          <w:szCs w:val="20"/>
          <w:color w:val="auto"/>
        </w:rPr>
      </w:pPr>
    </w:p>
    <w:p>
      <w:pPr>
        <w:ind w:left="40" w:right="320"/>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six month periods ended October 28, 2023 that was included in customer advances balances as of April 30, 2023 was $696,000 and $2,416,000, and revenue recognized for the three and six month periods ended October 29, 2022 that was included in customer advances balances as of April 30, 2022 was $1,080,000 and $3,004,000, respectively.</w:t>
      </w: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40" w:right="119"/>
        <w:spacing w:after="0" w:line="277"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October 28, 2023, the Company’s CODM, the Chief Executive Officer, makes operating decisions, assesses performance and makes resource allocation decisions, including the allocation for research and development (“R&amp;D”). Accordingly, the Company identifies three reportable segments. Refer to Note 18—Segments for further details.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3" w:lineRule="exact"/>
        <w:rPr>
          <w:sz w:val="20"/>
          <w:szCs w:val="20"/>
          <w:color w:val="auto"/>
        </w:rPr>
      </w:pPr>
    </w:p>
    <w:p>
      <w:pPr>
        <w:ind w:left="40" w:right="299"/>
        <w:spacing w:after="0" w:line="272" w:lineRule="auto"/>
        <w:rPr>
          <w:sz w:val="20"/>
          <w:szCs w:val="20"/>
          <w:color w:val="auto"/>
        </w:rPr>
      </w:pPr>
      <w:r>
        <w:rPr>
          <w:rFonts w:ascii="Times New Roman" w:cs="Times New Roman" w:eastAsia="Times New Roman" w:hAnsi="Times New Roman"/>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October 28, 2023 and April 30, 2023, the Company had no reserve for incurred cost claim audits.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Basic earnings (loss) per share is computed using the weighted-average number of common shares outstanding, excluding shares of unvested restricted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4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vMerge w:val="continue"/>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earnings (loss) per share: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26,865,763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24,900,873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and restricted stock units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earnings (loss) per share</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26,956,806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24,900,873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26,569,267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Potentially dilutive shares not included in the computation of diluted weighted-average common shares because their effect would have been anti-dilutive were 1,284 and 1,082 for the three and six months ended October 28, 2023. Due to the net loss for the three and six months ended October 29, 2022,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148,196 and 156,625 for the three and six months ended October 29, 2022,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 recently issued accounting standards are expected to impact the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October 28,</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expense, net. Unrealized loss recorded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(losses) gains recognized during the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on equity securities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period on equity securities sold during 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loss recognized during the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on equity securities still held at the</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date</w:t>
            </w:r>
          </w:p>
        </w:tc>
        <w:tc>
          <w:tcPr>
            <w:tcW w:w="2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October 28,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October 28,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2023,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April 30, 2023, were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7"/>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9"/>
                <w:szCs w:val="19"/>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49"/>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3"/>
        </w:trPr>
        <w:tc>
          <w:tcPr>
            <w:tcW w:w="7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measurement adjustments (realized or unrealized)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Included in selling, 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or losses for the period included in earnings attributable to the change</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 unrealized gains or losses relating to assets or liabilities still held at October 28, 2023</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On May 3, 2021, the Company closed its acquisition of Telerob Gesellschaft für Fernhantierungstechnik mbH (“Telerob GmbH”), including Telerob GmbH’s wholly-owned subsidiary, Telerob USA, Inc. (“Telerob USA,” and collectively with Telerob GmbH, “Telerob”) pursuant to its Share Purchase Agreement (the “Telerob Purchase Agreement”) with Unmanned Systems Investments GmbH (the “Telerob Seller”). Pursuant to the Telerob Purchase Agreement, the Telerob Sellers may receive up to a maximum of €6,000,000 (approximately $6,339,000)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current liabilities on the condensed consolidated balance sheet. The first year earnout of €2,000,000 (approximately $2,116,000) was not achieved. During the fiscal year ended April 30, 2023, the second year earnout of €2,000,000 (approximately $2,116,000) was achieved and was paid in November 2023. The third earnout of €2,000,000 (approximately $2,116,000) is not expected to be achieved.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 placed,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redeemable warrants of Amprius Technologies, Inc. The privately placed, redeemable warrants have an exercise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$12.50 and redemption price of $20.00. The Company measures the fair value of the privately placed, redeemable warrants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using the quoted market price of the public warrants which have an exercise price of $11.50 and a redemption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$18.00 and classifies the warrants as a level 2 fair value measurement. On September 9, 2022, the Company acquired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 shares of Nauticus Robotics, Inc. for $100,000.</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28"/>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43,276</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154,019</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(15,205)</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138,814</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second limited partnership agreement, the Company is committed to contributions totaling $20,000,000 over an expected five year period. During the fiscal year ended April 30, 2023, the Company made total contributions of $5,778,000. The Company made a capital contribution of $1,875,000 during the three months ended October 28, 2023. Under the terms of the second limited partnership agreement, the Company has committed to make additional capital contributions of $12,347,000 to the fund. The Company accounts for investments in limited partnerships as equity method investments as the Company is deemed to have influence when it holds more than a minor interest. For the three and six months ended October 28, 2023, the Company recorded its ownership percentage of the net losses of the limited partnerships, or $(1,393,000) and $(1,414,000), respectively, in equity method investment loss, net of $0 tax in the unaudited condensed consolidated statements of operations, respectively. For the three and six months ended October 29, 2022, the Company recorded 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ownership percentage of the net loss of the limited partnership, or $(1,273,000) and $(1,773,000), respectively, in equity method investment loss, net of $0 tax in the unaudited condensed consolidated statements of operations, respectively. At October 28, 2023 and April 30, 2023, the carrying value of the investments in the limited partnership funds of $19,106,000 and $18,644,000, respectively, was recorded in long-term investments on the unaudited condensed consolidated balance sheet.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 loss, net of tax. For the three and six months ended October 28, 2023 and October 29, 2022, the Company recorded $0 for its ownership percentage of the net loss of Altoy in equity method investment loss, net of tax in the unaudited condensed consolidated statements of operations. At October 28, 2023 and April 30, 2023, the carrying value of the investment in Altoy of $71,000 and $114,000, respectively, was recorded in other assets on the unaudited condensed consolidated balance sheet.</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40" w:right="239"/>
        <w:spacing w:after="0" w:line="281"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six months ended October 28, 2023 and October 29, 2022, respectively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10"/>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6"/>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Intangibles, net</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100,885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184,638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(101,790)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(94,876)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Additions to technology, customer relationships, and trademark and tradenames primarily relate to the Tomahawk acquisition. Refer to Note 16—Business Acquisitions for further details. In addition, during the three months ended October 28, 2023, AeroVironment acquired technology intellectual property of $1,500,000 through an asset purchase agreement with Windward Performance, Ltd. Under the asset purchase agreement AeroVironment acquired intellectual property related to unmanned aircraft for $3,000,000 consisting of $1,500,000 paid at close plus two payments of $750,000 on the first and second anniversaries of the purchase agreement. The additional payments will be expensed to R&amp;D on a straight-line basis over the two year term.</w:t>
      </w:r>
    </w:p>
    <w:p>
      <w:pPr>
        <w:spacing w:after="0" w:line="189"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The weighted average amortization period at each of October 28, 2023 and April 30, 2023 was four years. Amortization expense for the three and six months ended October 28, 2023 was $4,262,000 and $7,276,000, respectively. Amortization expense for the three and six months ended October 29, 2022 was $5,983,000 and $11,852,000,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69,253</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UMS</w:t>
            </w: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MW</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$ 161,547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$ 180,801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to goodwill</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$ 255,527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$ 274,781</w:t>
            </w: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Effective May 1, 2023, the reporting segments for goodwill are UMS, LMS and MW. The UMS segment includes goodwill from the acquisitions of Pulse Aerospace, LLC (“Pulse”), Arcturus UAV, Inc. (“Arcturus”), Telerob, Planck and Tomahawk acquisitions. The Tomahawk acquisition is included in the additions to goodwill. Refer to Note 16—Business Acquisitions for further details. The goodwill change to UMS is attributable to the Telerob acquisition recorded in Euros and translated to dollars at each reporting date. The MW segment includes goodwill from the purchase of certain assets of Intelligent Systems Group business segment (“ISG”) of Progeny Systems Corporation. The MUAS reporting unit, included in the UMS reportable segment, is considered at an increased risk of failing future quantitative goodwill impairment tests as an impairment was recorded during the most recent annual goodwill impairment test performed during the fourth quarter ended April 30, 2023. As of October 28, 2023, the company has not identified any events or circumstances that could trigger an impairment review prior to the Company’s annual impairment test. The annual impairment test for the fiscal year ending April 30, 2024 will be performed during the fourth quarter. The intangibles included in the MUAS reporting unit of $15,668,000 as of October 28, 2023 will also be evaluated for potential impairment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acquisition of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87"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$100,000,000 revolving credit facility, which includes a $25,000,000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90"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83"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8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as amended by the First Amendment to Credit Agreement and Second Amendment to 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October 28, 2023, the Company is in compliance with all amended covenants.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October 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6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 - term loans</w:t>
            </w: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 term loans</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 - revolving credit facility</w:t>
            </w:r>
          </w:p>
        </w:tc>
        <w:tc>
          <w:tcPr>
            <w:tcW w:w="3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653</w:t>
            </w:r>
          </w:p>
        </w:tc>
        <w:tc>
          <w:tcPr>
            <w:tcW w:w="180" w:type="dxa"/>
            <w:vAlign w:val="bottom"/>
            <w:vMerge w:val="continue"/>
          </w:tcPr>
          <w:p>
            <w:pPr>
              <w:spacing w:after="0"/>
              <w:rPr>
                <w:sz w:val="17"/>
                <w:szCs w:val="17"/>
                <w:color w:val="auto"/>
              </w:rPr>
            </w:pPr>
          </w:p>
        </w:tc>
        <w:tc>
          <w:tcPr>
            <w:tcW w:w="18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Future long-term debt principal payments at October 28, 2023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spacing w:after="0" w:line="18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CCEEFF"/>
            </w:tcBorders>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3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4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9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2"/>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October 28, 2023 were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0" w:type="dxa"/>
            <w:vAlign w:val="bottom"/>
          </w:tcPr>
          <w:p>
            <w:pPr>
              <w:spacing w:after="0"/>
              <w:rPr>
                <w:sz w:val="1"/>
                <w:szCs w:val="1"/>
                <w:color w:val="auto"/>
              </w:rPr>
            </w:pPr>
          </w:p>
        </w:tc>
      </w:tr>
      <w:tr>
        <w:trPr>
          <w:trHeight w:val="24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0" w:type="dxa"/>
            <w:vAlign w:val="bottom"/>
          </w:tcPr>
          <w:p>
            <w:pPr>
              <w:spacing w:after="0"/>
              <w:rPr>
                <w:sz w:val="1"/>
                <w:szCs w:val="1"/>
                <w:color w:val="auto"/>
              </w:rPr>
            </w:pPr>
          </w:p>
        </w:tc>
      </w:tr>
      <w:tr>
        <w:trPr>
          <w:trHeight w:val="20"/>
        </w:trPr>
        <w:tc>
          <w:tcPr>
            <w:tcW w:w="6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Loss and Reclassifications Adjustments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500" w:type="dxa"/>
            <w:vAlign w:val="bottom"/>
            <w:gridSpan w:val="5"/>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gridSpan w:val="3"/>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net of $0 and $8 deferred taxes, as of April 30, 2023 and April 30, 2022,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 investments, net of deferred tax expense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$0 for the six months ended October 28, 2023 and October 29, 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net of $0 deferred taxes, as of October 28, 2023 and October 29, 2022,</w:t>
            </w:r>
          </w:p>
        </w:tc>
        <w:tc>
          <w:tcPr>
            <w:tcW w:w="4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6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Customer-Funded Research &amp; Development</w:t>
      </w:r>
    </w:p>
    <w:p>
      <w:pPr>
        <w:spacing w:after="0" w:line="21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$19,078,000 and $43,461,000 for the three and six months ended October 28, 2023. Revenue from customer-funded R&amp;D was approximately $24,937,000 and $47,936,000 for the three and six months ended October 29, 2022, respectively.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Long-Term Incentive Awards</w:t>
      </w:r>
    </w:p>
    <w:p>
      <w:pPr>
        <w:spacing w:after="0" w:line="216" w:lineRule="exact"/>
        <w:rPr>
          <w:sz w:val="20"/>
          <w:szCs w:val="20"/>
          <w:color w:val="auto"/>
        </w:rPr>
      </w:pPr>
    </w:p>
    <w:p>
      <w:pPr>
        <w:ind w:left="40" w:right="539"/>
        <w:spacing w:after="0" w:line="312" w:lineRule="auto"/>
        <w:rPr>
          <w:sz w:val="20"/>
          <w:szCs w:val="20"/>
          <w:color w:val="auto"/>
        </w:rPr>
      </w:pPr>
      <w:r>
        <w:rPr>
          <w:rFonts w:ascii="Times New Roman" w:cs="Times New Roman" w:eastAsia="Times New Roman" w:hAnsi="Times New Roman"/>
          <w:sz w:val="17"/>
          <w:szCs w:val="17"/>
          <w:color w:val="auto"/>
        </w:rPr>
        <w:t>During the three months ended July 29, 2023, the Company granted awards under its 2021 Equity Incentive Plan (the “2021 Plan”) to key employees (“Fiscal 2024 LTIP”). Awards under the Fiscal 2024 LTIP consist of: (i) time-based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restricted stock awards and time-based restricted stock units, which vest in equal tranches in July 2024, July 2025 and July 2026, and (ii) performance-based restricted stock units (“PRSUs”), which vest based on the Company’s achievement of revenue and non-GAAP adjusted earnings before interest, taxes, depreciation and amortization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six months ended October 28, 2023, the Company recorded $1,200,000 and $1,834,000 of compensation expense related to the Fiscal 2024 LTIP, respectively. The Company recorded no compensation expense related to the Fiscal 2024 LTIP for the three and six months ended October 29, 2022. At October 28, 2023, the maximum compensation expense that may be recorded for the performance-based portion of the Fiscal 2024 LTIP is $16,201,000.</w:t>
      </w:r>
    </w:p>
    <w:p>
      <w:pPr>
        <w:spacing w:after="0" w:line="197"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six months ended October 28, 2023, the Company recorded $1,191,000 and $1,852,000 of compensation expense related to the Fiscal 2023 LTIP, respectively. For the three and six months ended October 29, 2022, the Company recorded $664,000 and $1,061,000 of compensation expense related to the Fiscal 2023 LTIP. At October 28, 2023, the maximum compensation expense that may be recorded for the performance-based portion of the Fiscal 2023 LTIP is $11,895,000.</w:t>
      </w:r>
    </w:p>
    <w:p>
      <w:pPr>
        <w:spacing w:after="0" w:line="19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and six months ended October 28, 2023, the Company recorded $356,000 and $488,000 of compensation expense related to the Fiscal 2022 LTIP, respectively. For the three and six months ended October 29, 2022, the Company recorded a reversal of $(311,000) and $(116,000) of compensation expense related to the Fiscal 2022 LTIP, respectively. At October 28, 2023, the maximum compensation expense that may be recorded for the performance-based portion of the Fiscal 2022 LTIP is $9,458,000.</w:t>
      </w:r>
    </w:p>
    <w:p>
      <w:pPr>
        <w:spacing w:after="0" w:line="196" w:lineRule="exact"/>
        <w:rPr>
          <w:sz w:val="20"/>
          <w:szCs w:val="20"/>
          <w:color w:val="auto"/>
        </w:rPr>
      </w:pPr>
    </w:p>
    <w:p>
      <w:pPr>
        <w:ind w:left="40" w:right="259"/>
        <w:spacing w:after="0" w:line="277" w:lineRule="auto"/>
        <w:rPr>
          <w:sz w:val="20"/>
          <w:szCs w:val="20"/>
          <w:color w:val="auto"/>
        </w:rPr>
      </w:pPr>
      <w:r>
        <w:rPr>
          <w:rFonts w:ascii="Times New Roman" w:cs="Times New Roman" w:eastAsia="Times New Roman" w:hAnsi="Times New Roman"/>
          <w:sz w:val="17"/>
          <w:szCs w:val="17"/>
          <w:color w:val="auto"/>
        </w:rPr>
        <w:t>During the three months ended August 1, 2020, the Company also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During the three months ended July 29, 2023, the Company issued a total of 5,772 fully-vested shares of the Company’s common stock to</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settle the PRSUs in the Fiscal 2021 LTIP. For the three and six months ended October 29, 2022, the Company recorded $116,000 and $192,000 of compensation expense related to the Fiscal 2021 LTIP, respectively.</w:t>
      </w:r>
    </w:p>
    <w:p>
      <w:pPr>
        <w:spacing w:after="0" w:line="162"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October 28, 2023, the Company recorded a provision for income taxes of $1,137,000 and $2,451,000, respectively, yielding an effective tax rate of 5.6% for both periods. For the three and six months ended October 29, 2022, the Company recorded a benefit from income taxes of $(10,457,000) and $(7,851,000) yielding an effective tax rate of 66.1% and 37.2%, respectively. The variance from statutory rates for the three and six months ended October 28, 2023 was primarily due to foreign derived intangible income deductions and to federal R&amp;D credits. Historically, the Company calculated the provision for income taxes during interim reporting periods by applying an estimate of the annual effective tax rate (“AETR”) for the full fiscal year to the pretax income or loss for the interim reporting period. For the three and six months ended October 29, 2022, the Company calculated the provision for income taxes using a discrete effective tax rate (“ETR”) method. The Company determined that due to the fact small changes in the Company’s estimated pretax income or loss would result in significant changes in the estimated AETR, the historical method would not provide a reliable estimate for the three and six months ended October 29, 2022. The variance from statutory rates for the three and six months ended October 29, 2022 was primarily due to a combination of federal R&amp;D credits and the foreign-derived intangible income deduction.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Share Repurchase Plan and Issuances</w:t>
      </w:r>
    </w:p>
    <w:p>
      <w:pPr>
        <w:spacing w:after="0" w:line="216"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The Company’s share repurchase program announced September 2015 was terminated by the Company’s Board of Directors in September 2022. There were no repurchases of the Company’s common stock during the six months ended October 29, 2022.</w:t>
      </w:r>
    </w:p>
    <w:p>
      <w:pPr>
        <w:spacing w:after="0" w:line="176" w:lineRule="exact"/>
        <w:rPr>
          <w:sz w:val="20"/>
          <w:szCs w:val="20"/>
          <w:color w:val="auto"/>
        </w:rPr>
      </w:pPr>
    </w:p>
    <w:p>
      <w:pPr>
        <w:ind w:left="40" w:right="99"/>
        <w:spacing w:after="0" w:line="233" w:lineRule="auto"/>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$200,000,000 from time to time through Jefferies LLC as the sales agent. During the three and six months ended October 28, 2023, the Company sold 807,370 shares for total gross proceeds of $91,313,000, total proceeds received of $88,574,000, net of commission expense and $88,437,000 net of equity issuance costs. During the three and six months ended October 29, 2022, the Company sold 125,441 of its shares for total gross proceeds of $12,700,000, total proceeds received of $12,347,000, net of commission expense and $11,778,000 net of equity issuance costs. As of October 28, 2023, the Company has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sold 1,917,100 of its shares for total gross proceeds of $200,000,000, total proceeds received of $193,999,000, net of commission expense and $193,086,000 net of equity issuance costs.</w:t>
      </w:r>
    </w:p>
    <w:p>
      <w:pPr>
        <w:spacing w:after="0" w:line="199"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Tomahawk Acquisition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a leader in AI-enabled robotic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control systems. Pursuant to the merger agreement, the Company paid a total purchase price of $134,467,000 consisting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985,999 in restricted common stock of the Company valued at $109,820,000 and $27,205,000 cash-on-hand, net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$3,048,000 cash acquired, plus a $490,000 holdback for 100% of Tomahawk equity. The fair value of the shares issued was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closing price on September 15, 2023, the close of the Tomahawk purchase agreement. Tomahawk is incorporated into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AeroVironment’s UMS segment. The acquisition will enable deeper integration of both companies’ technology, leading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enhanced interoperability and interconnectivity of unmanned systems through a singular platform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with similar control features. The Company accounted for the acquisition under the acquisition method of accounting for business combinations.</w:t>
      </w:r>
    </w:p>
    <w:p>
      <w:pPr>
        <w:spacing w:after="0" w:line="162"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provisional allocation of the purchase price over the estimated fair value of the assets and liabilities assumed in the acquisition of Tomahawk. The purchase price allocation is expected to be finalized as soon as practicable within the measurement period, but not later than one year following the acquisition date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Unbilled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September 15,</w:t>
      </w:r>
    </w:p>
    <w:p>
      <w:pPr>
        <w:spacing w:after="0" w:line="8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515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17" w:lineRule="exact"/>
        <w:rPr>
          <w:sz w:val="20"/>
          <w:szCs w:val="20"/>
          <w:color w:val="auto"/>
        </w:rPr>
      </w:pPr>
    </w:p>
    <w:p>
      <w:pPr>
        <w:ind w:left="567" w:hanging="567"/>
        <w:spacing w:after="0"/>
        <w:tabs>
          <w:tab w:leader="none" w:pos="5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2,314</w:t>
      </w:r>
    </w:p>
    <w:p>
      <w:pPr>
        <w:spacing w:after="0" w:line="38" w:lineRule="exact"/>
        <w:rPr>
          <w:rFonts w:ascii="Times New Roman" w:cs="Times New Roman" w:eastAsia="Times New Roman" w:hAnsi="Times New Roman"/>
          <w:sz w:val="17"/>
          <w:szCs w:val="17"/>
          <w:color w:val="auto"/>
        </w:rPr>
      </w:pPr>
    </w:p>
    <w:p>
      <w:pPr>
        <w:ind w:left="7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w:t>
      </w:r>
    </w:p>
    <w:p>
      <w:pPr>
        <w:spacing w:after="0" w:line="21"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1,789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1,337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39,000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3,603</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94,776</w:t>
      </w:r>
    </w:p>
    <w:p>
      <w:pPr>
        <w:spacing w:after="0" w:line="9" w:lineRule="exact"/>
        <w:rPr>
          <w:sz w:val="20"/>
          <w:szCs w:val="20"/>
          <w:color w:val="auto"/>
        </w:rPr>
      </w:pPr>
    </w:p>
    <w:p>
      <w:pPr>
        <w:ind w:left="387" w:hanging="387"/>
        <w:spacing w:after="0"/>
        <w:tabs>
          <w:tab w:leader="none" w:pos="387" w:val="left"/>
        </w:tabs>
        <w:numPr>
          <w:ilvl w:val="0"/>
          <w:numId w:val="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153,313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3,788</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620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411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855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51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18,846</w:t>
      </w:r>
    </w:p>
    <w:p>
      <w:pPr>
        <w:spacing w:after="0" w:line="23" w:lineRule="exact"/>
        <w:rPr>
          <w:sz w:val="20"/>
          <w:szCs w:val="20"/>
          <w:color w:val="auto"/>
        </w:rPr>
      </w:pPr>
    </w:p>
    <w:p>
      <w:pPr>
        <w:ind w:left="387" w:hanging="387"/>
        <w:spacing w:after="0"/>
        <w:tabs>
          <w:tab w:leader="none" w:pos="387" w:val="left"/>
        </w:tabs>
        <w:numPr>
          <w:ilvl w:val="0"/>
          <w:numId w:val="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87" w:hanging="387"/>
        <w:spacing w:after="0"/>
        <w:tabs>
          <w:tab w:leader="none" w:pos="3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109,820</w:t>
      </w:r>
    </w:p>
    <w:p>
      <w:pPr>
        <w:spacing w:after="0" w:line="38" w:lineRule="exact"/>
        <w:rPr>
          <w:rFonts w:ascii="Times New Roman" w:cs="Times New Roman" w:eastAsia="Times New Roman" w:hAnsi="Times New Roman"/>
          <w:sz w:val="17"/>
          <w:szCs w:val="17"/>
          <w:color w:val="auto"/>
        </w:rPr>
      </w:pPr>
    </w:p>
    <w:p>
      <w:pPr>
        <w:ind w:left="4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24,157</w:t>
      </w:r>
    </w:p>
    <w:p>
      <w:pPr>
        <w:spacing w:after="0" w:line="20" w:lineRule="exact"/>
        <w:rPr>
          <w:rFonts w:ascii="Times New Roman" w:cs="Times New Roman" w:eastAsia="Times New Roman" w:hAnsi="Times New Roman"/>
          <w:sz w:val="17"/>
          <w:szCs w:val="17"/>
          <w:color w:val="auto"/>
        </w:rPr>
      </w:pPr>
    </w:p>
    <w:p>
      <w:pPr>
        <w:ind w:left="7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490</w:t>
      </w:r>
    </w:p>
    <w:p>
      <w:pPr>
        <w:spacing w:after="0" w:line="21" w:lineRule="exact"/>
        <w:rPr>
          <w:sz w:val="20"/>
          <w:szCs w:val="20"/>
          <w:color w:val="auto"/>
        </w:rPr>
      </w:pPr>
    </w:p>
    <w:p>
      <w:pPr>
        <w:ind w:left="387" w:hanging="387"/>
        <w:spacing w:after="0"/>
        <w:tabs>
          <w:tab w:leader="none" w:pos="387" w:val="left"/>
        </w:tabs>
        <w:numPr>
          <w:ilvl w:val="0"/>
          <w:numId w:val="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213" w:space="720"/>
            <w:col w:w="1086"/>
          </w:cols>
          <w:pgMar w:left="1440" w:top="513" w:right="1440" w:bottom="1440" w:gutter="0" w:footer="0" w:header="0"/>
          <w:type w:val="continuous"/>
        </w:sectPr>
      </w:pPr>
    </w:p>
    <w:p>
      <w:pPr>
        <w:spacing w:after="0" w:line="5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Tomahawk and expected future customers in the UMS market. For income tax purposes the acquisition is treated as a stock acquisition, and none of the goodwill is expected to be deductible.</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jc w:val="both"/>
        <w:ind w:left="40" w:right="159"/>
        <w:spacing w:after="0" w:line="289" w:lineRule="auto"/>
        <w:rPr>
          <w:sz w:val="20"/>
          <w:szCs w:val="20"/>
          <w:color w:val="auto"/>
        </w:rPr>
      </w:pPr>
      <w:r>
        <w:rPr>
          <w:rFonts w:ascii="Times New Roman" w:cs="Times New Roman" w:eastAsia="Times New Roman" w:hAnsi="Times New Roman"/>
          <w:sz w:val="17"/>
          <w:szCs w:val="17"/>
          <w:color w:val="auto"/>
        </w:rPr>
        <w:t>Tomahawk revenue and loss from operations for the three months ended October 28, 2023 since acquisition on September 15, 2023 was $3,342,000 and $(2,045,000), respectively. The following unaudited pro forma summary presents condensed consolidated information of the Company as if the business acquisition had occurred on May 1, 2022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7"/>
        </w:trPr>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9"/>
        </w:trPr>
        <w:tc>
          <w:tcPr>
            <w:tcW w:w="39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225,755</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r>
    </w:tbl>
    <w:p>
      <w:pPr>
        <w:spacing w:after="0" w:line="395"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Planck Acquisition</w:t>
      </w:r>
    </w:p>
    <w:p>
      <w:pPr>
        <w:spacing w:after="0" w:line="22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 leading provider of advanced unmanned aircraft navigation solutions based in San Diego, California. Pursuant to the purchase agreement, the Company paid a total purchase price of $5,105,000 from cash-on-hand plus a $500,000 holdback for certain assets of Planck, which was paid during the three months ended October 28, 2023. Planck is a small technology company incorporated into AeroVironment’s UMS segment for the MUAS product line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Planck. During the three months ended July 29, 2023, the Company finalized its determination of the fair value of the assets and liabilities assumed in the acquisition of Planck and no significant changes were recorded from the original estimation (in thousands):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August 17,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Backlog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5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Supplemental Pro Forma Information (unaudited)</w:t>
      </w:r>
    </w:p>
    <w:p>
      <w:pPr>
        <w:spacing w:after="0" w:line="229"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condensed consolidated information of the Company as if the business acquisition had occurred on May 1, 2021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3"/>
        </w:trPr>
        <w:tc>
          <w:tcPr>
            <w:tcW w:w="4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9"/>
        </w:trPr>
        <w:tc>
          <w:tcPr>
            <w:tcW w:w="43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223,016</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r>
    </w:tbl>
    <w:p>
      <w:pPr>
        <w:spacing w:after="0" w:line="395"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Planck revenue for the three months ended October 29, 2022 since acquisition on August 17, 2022 was $68,000. The Company did not have any material, nonrecurring pro forma adjustments directly attributable to the business acquisition included in the reported pro forma revenue and earnings.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2023.</w:t>
      </w:r>
    </w:p>
    <w:p>
      <w:pPr>
        <w:spacing w:after="0" w:line="18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2023. The net fair value of plan assets (in thousands) is recorded in other assets on the unaudited condensed consolidated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578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Funded status of the plan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8915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880" w:hanging="87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(3,192)</w:t>
      </w:r>
    </w:p>
    <w:p>
      <w:pPr>
        <w:spacing w:after="0" w:line="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3,870</w:t>
      </w:r>
    </w:p>
    <w:p>
      <w:pPr>
        <w:spacing w:after="0" w:line="9" w:lineRule="exact"/>
        <w:rPr>
          <w:sz w:val="20"/>
          <w:szCs w:val="20"/>
          <w:color w:val="auto"/>
        </w:rPr>
      </w:pPr>
    </w:p>
    <w:p>
      <w:pPr>
        <w:ind w:left="1100" w:hanging="1090"/>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891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820" w:space="720"/>
            <w:col w:w="1479"/>
          </w:cols>
          <w:pgMar w:left="1440" w:top="513" w:right="1440" w:bottom="1440" w:gutter="0" w:footer="0" w:header="0"/>
          <w:type w:val="continuous"/>
        </w:sectPr>
      </w:pPr>
    </w:p>
    <w:p>
      <w:pPr>
        <w:spacing w:after="0" w:line="5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2.4% and pension increase for in-payment benefits of 1.5% for October 28, 2023 and April 30, 2023.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2024. The Company assumed expected return on plan assets of 2.9% for October 28, 2023 and April 30, 2023.</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Expected benefits payments as of April 30, 2023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2029-2033</w:t>
            </w:r>
          </w:p>
        </w:tc>
        <w:tc>
          <w:tcPr>
            <w:tcW w:w="4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4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1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3"/>
        </w:trPr>
        <w:tc>
          <w:tcPr>
            <w:tcW w:w="35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226"/>
        </w:trPr>
        <w:tc>
          <w:tcPr>
            <w:tcW w:w="3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3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spacing w:after="0" w:line="174"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i w:val="1"/>
          <w:iCs w:val="1"/>
          <w:color w:val="auto"/>
        </w:rPr>
        <w:t>Unmanned Systems</w:t>
      </w:r>
      <w:r>
        <w:rPr>
          <w:rFonts w:ascii="Times New Roman" w:cs="Times New Roman" w:eastAsia="Times New Roman" w:hAnsi="Times New Roman"/>
          <w:sz w:val="18"/>
          <w:szCs w:val="18"/>
          <w:color w:val="auto"/>
        </w:rPr>
        <w:t>—The UMS segment, which consists of the former SUAS, MUAS and UGV segments and the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Tomahawk, focuses primarily on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medium UAS products designed to operate reliably at medium altitudes with longer range while carrying larger payloads including airborne platforms, payloads and payload integration, and ground support equipment and other items and services related generally to unmanned aircraft systems historically including ISR services; UGV products designed to help responders remove, contain or neutralize these hazards in situations where improvised explosive devices, caustic chemicals, nuclear, radiological or biological hazards or violent individuals represent significant danger to humans; and AI-enabled common control and communication solutions that allow any unmanned system to be controlled from a common user interface while aggregating data from multiple platforms to provide real time intelligence.</w:t>
      </w:r>
    </w:p>
    <w:p>
      <w:pPr>
        <w:spacing w:after="0" w:line="192"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i w:val="1"/>
          <w:iCs w:val="1"/>
          <w:color w:val="auto"/>
        </w:rPr>
        <w:t>Loitering Munitions Systems</w:t>
      </w:r>
      <w:r>
        <w:rPr>
          <w:rFonts w:ascii="Times New Roman" w:cs="Times New Roman" w:eastAsia="Times New Roman" w:hAnsi="Times New Roman"/>
          <w:sz w:val="18"/>
          <w:szCs w:val="18"/>
          <w:color w:val="auto"/>
        </w:rPr>
        <w:t>—The LMS segment, which consists of the former Tactical Missile Systems segment, focuses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spacing w:after="0" w:line="183"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i w:val="1"/>
          <w:iCs w:val="1"/>
          <w:color w:val="auto"/>
        </w:rPr>
        <w:t>MacCready Works</w:t>
      </w:r>
      <w:r>
        <w:rPr>
          <w:rFonts w:ascii="Times New Roman" w:cs="Times New Roman" w:eastAsia="Times New Roman" w:hAnsi="Times New Roman"/>
          <w:sz w:val="18"/>
          <w:szCs w:val="18"/>
          <w:color w:val="auto"/>
        </w:rPr>
        <w:t>—The MW segment, which consists of the former MacCready Works and High Altitude Pseudo-Satellite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(“HAPS”) segments,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income (loss) from operations and adjusted income (loss) from operations for the periods indicated. Adjusted income (loss) from operations is defined as income (loss) from operations before intangible amortization, amortization of purchase accounting adjustment related to increasing the carrying value of certain assets to fair value, and acquisition related expenses.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13"/>
                <w:szCs w:val="13"/>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28, 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29, 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October 28, 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UMS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October 29, 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income from operations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40" w:right="119"/>
        <w:spacing w:after="0" w:line="257" w:lineRule="auto"/>
        <w:rPr>
          <w:sz w:val="20"/>
          <w:szCs w:val="20"/>
          <w:color w:val="auto"/>
        </w:rPr>
      </w:pPr>
      <w:r>
        <w:rPr>
          <w:rFonts w:ascii="Times New Roman" w:cs="Times New Roman" w:eastAsia="Times New Roman" w:hAnsi="Times New Roman"/>
          <w:sz w:val="18"/>
          <w:szCs w:val="18"/>
          <w:color w:val="auto"/>
        </w:rPr>
        <w:t>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tbl>
      <w:tblPr>
        <w:tblLayout w:type="fixed"/>
        <w:tblInd w:w="40" w:type="dxa"/>
        <w:tblCellMar>
          <w:top w:w="0" w:type="dxa"/>
          <w:left w:w="0" w:type="dxa"/>
          <w:bottom w:w="0" w:type="dxa"/>
          <w:right w:w="0" w:type="dxa"/>
        </w:tblCellMar>
      </w:tblPr>
      <w:tr>
        <w:trPr>
          <w:trHeight w:val="13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UMS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LMS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October 28, 2023</w:t>
            </w:r>
          </w:p>
        </w:tc>
        <w:tc>
          <w:tcPr>
            <w:tcW w:w="4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MW</w:t>
            </w:r>
          </w:p>
        </w:tc>
        <w:tc>
          <w:tcPr>
            <w:tcW w:w="4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1,006,700</w:t>
            </w:r>
          </w:p>
        </w:tc>
        <w:tc>
          <w:tcPr>
            <w:tcW w:w="0" w:type="dxa"/>
            <w:vAlign w:val="bottom"/>
          </w:tcPr>
          <w:p>
            <w:pPr>
              <w:spacing w:after="0"/>
              <w:rPr>
                <w:sz w:val="1"/>
                <w:szCs w:val="1"/>
                <w:color w:val="auto"/>
              </w:rPr>
            </w:pPr>
          </w:p>
        </w:tc>
      </w:tr>
      <w:tr>
        <w:trPr>
          <w:trHeight w:val="353"/>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UMS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MW</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474,417</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103,375</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207,135</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2023, as updated by our subsequent filings under the Securities and Exchange Act of 1934, as amended (the “Exchange Act”).</w:t>
      </w:r>
    </w:p>
    <w:p>
      <w:pPr>
        <w:spacing w:after="0" w:line="19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2023.</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7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Revenue for LMS product deliveries, certain Tomahawk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which historically included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During the year ended April 30, 2023, all of our MUAS COCO sites were closed.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312" w:lineRule="auto"/>
        <w:rPr>
          <w:sz w:val="20"/>
          <w:szCs w:val="20"/>
          <w:color w:val="auto"/>
        </w:rPr>
      </w:pPr>
      <w:r>
        <w:rPr>
          <w:rFonts w:ascii="Times New Roman" w:cs="Times New Roman" w:eastAsia="Times New Roman" w:hAnsi="Times New Roman"/>
          <w:sz w:val="17"/>
          <w:szCs w:val="17"/>
          <w:color w:val="auto"/>
        </w:rPr>
        <w:t>performed, which correspond with, and thereby best depict, transfer of control to the customer. Contract costs include labor, materials, subcontractors’ costs, other direct costs, and indirect costs applicable on government and commercial contracts.</w:t>
      </w:r>
    </w:p>
    <w:p>
      <w:pPr>
        <w:spacing w:after="0" w:line="140"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Our Unmanned Systems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six months ended October 28, 2023 and October 29, 2022, changes in accounting estimates on contracts recognized over time are presented below.</w:t>
      </w:r>
    </w:p>
    <w:p>
      <w:pPr>
        <w:spacing w:after="0" w:line="188"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28, 2023 and October 29, 2022,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28, 2023, favorable cumulative catch-up adjustments of $4.1 million were primarily due to final cost adjustments on seven contracts. During the three months ended October 28, 2023, we revised our estimates of the total expected costs to complete an LMS variant contract. The aggregate impact of these adjustments in contract estimates on revenue related to performance obligations satisfied or partially satisfied in previous periods was an increase to revenue of approximately $1.7 million. For the same period, unfavorable cumulative catch-up adjustments of $1.3 million were primarily related to higher than expected costs on seven contracts, which individually were not material.</w:t>
      </w:r>
    </w:p>
    <w:p>
      <w:pPr>
        <w:spacing w:after="0" w:line="187"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29, 2022, favorable cumulative catch-up adjustments of $2.6 million were primarily due to final cost adjustments on eight contracts. During the three months ended October 29, 2022, we revised our estimates of the total expected costs to complete an LMS variant contract. The aggregate impact of these adjustments in contract estimates on revenue related to performance obligations satisfied or partially satisfied in previous periods was an increase to revenue of approximately $1.3 million. For the same period, unfavorable cumulative catch-up adjustments of $1.5 million were primarily related to higher than expected costs on six contracts, which individually were not material.</w:t>
      </w:r>
    </w:p>
    <w:p>
      <w:pPr>
        <w:spacing w:after="0" w:line="187"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Also during the three months ended October 29, 2022, the Company recognized forward loss reserves on three MUAS ISR contracts totaling $2.3 million related to unfavorable changes in the estimated costs to complete the contracts. The company recorded the forward loss reserves as the total estimated costs to complete the contracts are in excess of the total remaining consideration of the contracts. The aggregate impact of the change in estimate decreased net income by $1.5 million and diluted loss per share by $0.06.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82" w:lineRule="auto"/>
        <w:rPr>
          <w:sz w:val="20"/>
          <w:szCs w:val="20"/>
          <w:color w:val="auto"/>
        </w:rPr>
      </w:pPr>
      <w:r>
        <w:rPr>
          <w:rFonts w:ascii="Times New Roman" w:cs="Times New Roman" w:eastAsia="Times New Roman" w:hAnsi="Times New Roman"/>
          <w:sz w:val="18"/>
          <w:szCs w:val="18"/>
          <w:color w:val="auto"/>
        </w:rPr>
        <w:t>For the six months ended October 28, 2023 and October 29, 2022,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(unfavorable)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For the six months ended October 28, 2023, favorable cumulative catch-up adjustments of $5.6 million were primarily due to final cost adjustments on 10 contracts. During the six months ended October 28, 2023, we revised our estimates of the total expected costs to complete an LMS variant contract. The aggregate impact of these adjustments in contract estimates on revenue related to performance obligations satisfied or partially satisfied in previous periods was an increase to revenue of approximately $1.4 million. For the same period, unfavorable cumulative catch-up adjustments of $2.0 million were primarily related to higher than expected costs on 10 contracts, which individually were not material.</w:t>
      </w:r>
    </w:p>
    <w:p>
      <w:pPr>
        <w:spacing w:after="0" w:line="187"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For the six months ended October 29, 2022, favorable cumulative catch-up adjustments of $2.0 million were primarily due to final cost adjustments on 20 contracts, which individually were not material. For the same period, unfavorable cumulative catch-up adjustments of $3.4 million were primarily related to higher than expected costs on four contracts. During the six months ended October 29, 2022, we revised our estimates of the total expected costs to complete two LMS variant contracts. The aggregate impact of these adjustments in contract estimates on revenue related to performance obligations satisfied or partially satisfied in previous periods was a decrease to revenue of approximately $2.6 million.</w:t>
      </w:r>
    </w:p>
    <w:p>
      <w:pPr>
        <w:spacing w:after="0" w:line="187"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Also during the six months ended October 29, 2022, the Company recognized forward loss reserves on three MUAS ISR contracts totaling $2.3 million related to unfavorable changes in the estimated costs to complete the contracts. The company recorded the forward loss reserves as the total estimated costs to complete the contracts are in excess of the total remaining consideration of the contracts. The aggregate impact of the change in estimate decreased net income by $1.5 million and diluted loss per share by $0.06.</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fiscal year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 during the fiscal year ended April 30, 2023.</w:t>
      </w:r>
    </w:p>
    <w:p>
      <w:pPr>
        <w:spacing w:after="0" w:line="18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Our MUAS reporting unit is considered at an increased risk of failing future quantitative goodwill impairment tests as an impairment was recorded during the most recent annual goodwill impairment test performed during the fourth quarter ended April 30, 2023. As of October 28, 2023, we have not identified any events or circumstances that could trigger an impairment review prior to the Company’s annual impairment test. The intangibles included in the MUAS reporting unit of $15.7 million as of October 28, 2023 will also be evaluated for potential impairment during the fourth quarter goodwill impairment test.</w:t>
      </w:r>
    </w:p>
    <w:p>
      <w:pPr>
        <w:spacing w:after="0" w:line="187"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89" w:lineRule="auto"/>
        <w:rPr>
          <w:sz w:val="20"/>
          <w:szCs w:val="20"/>
          <w:color w:val="auto"/>
        </w:rPr>
      </w:pPr>
      <w:r>
        <w:rPr>
          <w:rFonts w:ascii="Times New Roman" w:cs="Times New Roman" w:eastAsia="Times New Roman" w:hAnsi="Times New Roman"/>
          <w:sz w:val="17"/>
          <w:szCs w:val="17"/>
          <w:color w:val="auto"/>
        </w:rPr>
        <w:t>Due to our fixed year end date of April 30, our first and fourth quarters each consist of approximately 13 weeks. The second and third quarters each consist of exactly 13 weeks. Our first three quarters end on a Saturday. Our 2024 fiscal year ends on April 30, 2024 and our fiscal quarters end on July 29, 2023, October 28, 2023 and January 27, 2024, respectively.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28, 2023 Compared to Three Months Ended October 29, 2022</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18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299"/>
        <w:spacing w:after="0" w:line="312" w:lineRule="auto"/>
        <w:rPr>
          <w:sz w:val="20"/>
          <w:szCs w:val="20"/>
          <w:color w:val="auto"/>
        </w:rPr>
      </w:pPr>
      <w:r>
        <w:rPr>
          <w:rFonts w:ascii="Times New Roman" w:cs="Times New Roman" w:eastAsia="Times New Roman" w:hAnsi="Times New Roman"/>
          <w:sz w:val="17"/>
          <w:szCs w:val="17"/>
          <w:color w:val="auto"/>
        </w:rPr>
        <w:t>We have identified three reportable segments, Unmanned Systems (“UMS”), Loitering Munitions Systems (“LMS”) and MacCready Works (“MW”). The UMS segment consists of our small UAS, including our recent Tomahawk acquisition,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4" w:lineRule="auto"/>
        <w:rPr>
          <w:sz w:val="20"/>
          <w:szCs w:val="20"/>
          <w:color w:val="auto"/>
        </w:rPr>
      </w:pPr>
      <w:r>
        <w:rPr>
          <w:rFonts w:ascii="Times New Roman" w:cs="Times New Roman" w:eastAsia="Times New Roman" w:hAnsi="Times New Roman"/>
          <w:sz w:val="17"/>
          <w:szCs w:val="17"/>
          <w:color w:val="auto"/>
        </w:rPr>
        <w:t>medium UAS and UGV product lines. The LMS segment consists of our renamed existing tactical missile systems product lines. The MW segment consists of our MacCready Works products and services and the development of High Altitude Pseudo-Satellite systems (“HAPS”).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13"/>
                <w:szCs w:val="13"/>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28, 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29, 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income from operations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We recorded intangible amortization expense and other purchase accounting adjustments in the following categories on the accompanying unaudited condensed consolidated statements of operations: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3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7,578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October 28, 2023 was $180.8 million, as compared to $111.6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October 29, 2022, representing an increase of $69.2 million, or 62%. The increase in revenue was due to an increase in product revenue of $83.4 million, partially offset by a decrease in service revenue of $14.2 million. The increase in product revenue was primarily due to increases in UMS and LMS product revenue. The decrease in service revenue was due to a decrease in UMS, LMS and MW service revenue. We expect the lower levels of UMS service revenues to continue through fiscal 2024 due to the closure of all COCO site locations during fiscal year 2023. With the higher backlog, the increase in the UMS product revenues as compared to the prior year period is expected to continue for the remainder of the fiscal year ending April 30, 2024.</w:t>
      </w:r>
    </w:p>
    <w:p>
      <w:pPr>
        <w:spacing w:after="0" w:line="185"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October 28, 2023 was $105.5 million, as compared to $85.7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October 29, 2022, representing an increase of $19.8 million, or 23%. The increase in cost of sales was a result of an increase in product cost of sales of $39.6 million, partially offset by a decrease in service costs of sales of $19.8 million. The increase in product costs of sales was primarily due to an increase in product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revenue, partially offset by a favorable product mix. The decrease in service cost of sales was primarily due to a decrease in service revenue. Cost of sales for the three months ended October 28, 2023 included $3.2 million of intangible amortization and other related non-cash purchase accounting expenses as compared to $4.0 million for the three months ended October 29, 2022. Cost of services for the three months ended October 29, 2022 also included $7.6 million of depreciation of in-service ISR assets. As a percentage of revenue, cost of sales decreased from 77% to 58%, primarily due to an increase in the proportion of product revenue to total revenue, a favorable product mix and the prior year COCO operations costs.</w:t>
      </w:r>
    </w:p>
    <w:p>
      <w:pPr>
        <w:spacing w:after="0" w:line="18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October 28, 2023 was $75.4 million, as compared to $25.9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October 29, 2022, representing an increase of $49.5 million, or 191%. The increase in gross margin was primarily due to an increase in product margin of $43.8 million and an increase in service margin of $5.6 million. The increase in product margin was primarily due to the increase in product sales and a favorable product mix. The increase in service margin was primarily due to the decrease of $7.6 million of depreciation of in-service ISR assets, partially offset by a decrease in service revenue. As a percentage of revenue, gross margin increased from 23% to 42%, primarily due to an increase in the proportion of product revenue to total revenue, a favorable product mix and the prior year costs related to COCO operations costs.</w:t>
      </w:r>
    </w:p>
    <w:p>
      <w:pPr>
        <w:spacing w:after="0" w:line="185"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October 28, 2023 was $28.1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of revenue, as compared to SG&amp;A expense of $23.6 million, or 21% of revenue, for the three months ended October 29, 2022. The increase in SG&amp;A expense was primarily due to an increase in employee related expenses, partially offset by a decrease in intangible amortization and other non-cash purchase accounting expenses largely driven by the accelerated amortization of COCO customer relationships recorded during the three months ended April 30, 2023.</w:t>
      </w:r>
    </w:p>
    <w:p>
      <w:pPr>
        <w:spacing w:after="0" w:line="179"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October 28, 2023 was $22.0 million, or 12%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$16.6 million, or 15% of revenue, for the three months ended October 29, 2022, primarily due to an increase in development activities regarding enhanced capabilities for our products, development of new product lines and support for our acquired businesses.</w:t>
      </w:r>
    </w:p>
    <w:p>
      <w:pPr>
        <w:spacing w:after="0" w:line="176"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October 28, 2023 was $2.0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$2.3 million for the three months ended October 29, 2022. The decrease in interest expense, net was primarily due to lower average outstanding balances on our debt facility, partially offset by higher interest rates.</w:t>
      </w:r>
    </w:p>
    <w:p>
      <w:pPr>
        <w:spacing w:after="0" w:line="171" w:lineRule="exact"/>
        <w:rPr>
          <w:sz w:val="20"/>
          <w:szCs w:val="20"/>
          <w:color w:val="auto"/>
        </w:rPr>
      </w:pPr>
    </w:p>
    <w:p>
      <w:pPr>
        <w:jc w:val="both"/>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October 28, 2023 was $2.9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net of $0.8 million for the three months ended October 29, 2022 primarily due to unrealized losses associated with decreases in the fair market value for equity security investments.</w:t>
      </w:r>
    </w:p>
    <w:p>
      <w:pPr>
        <w:spacing w:after="0" w:line="171" w:lineRule="exact"/>
        <w:rPr>
          <w:sz w:val="20"/>
          <w:szCs w:val="20"/>
          <w:color w:val="auto"/>
        </w:rPr>
      </w:pPr>
    </w:p>
    <w:p>
      <w:pPr>
        <w:ind w:left="4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Our effective income tax rate was 5.6% for the three months ended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2023, as compared to (66.1)% for the three months ended October 29, 2022. The increase in our effective income tax rate was primarily due to an increase in income before income taxes combined with an increase in projected full year income before income taxes and increases in expected foreign-derived intangible income deductions and federal R&amp;D tax credits. The effective income tax rate for the three months ended October 28, 2023 was primarily impacted by expected federal R&amp;D tax credits and foreign-derived intangible income deductions.</w:t>
      </w:r>
    </w:p>
    <w:p>
      <w:pPr>
        <w:spacing w:after="0" w:line="182"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three months ended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2023 was $1.4 million as compared to equity method investment loss, net of tax of $1.3 million for the three months ended October 29,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28, 2023 Compared to Six Months Ended October 29, 2022</w:t>
      </w:r>
    </w:p>
    <w:p>
      <w:pPr>
        <w:spacing w:after="0" w:line="18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following tables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4"/>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192,153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loss, net of tax</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October 28, 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from operations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60,890</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UMS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October 29,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purchase accounting adjustments</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income from operations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six months ended October 28, 2023 was $333.2 million, as compared to $220.1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October 29, 2022, representing an increase of $113.1 million, or 51%. The increase in revenue was due to an increase in product revenue of $144.9 million, partially offset by a decrease in service revenue of $31.9 million. The increase in product revenue was primarily due to an increase in UMS, LMS and MW product revenue. The decrease in service revenue was primarily due to a decrease in UMS and LMS service revenue, partially offset by an increase in MW service revenue. We expect the lower levels of UMS service revenues to continue through fiscal 2024 due to the closure of all COCO site locations during fiscal year 2023. With the higher backlog, the increase in the UMS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revenues as compared to the prior year period is expected to continue for the remainder of the fiscal year ending April 30, 2024.</w:t>
      </w:r>
    </w:p>
    <w:p>
      <w:pPr>
        <w:spacing w:after="0" w:line="15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six months ended October 28, 2023 was $192.2 million, as compared to $160.5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October 29, 2022, representing an increase of $31.7 million, or 20%. The increase in cost of sales was a result of an increase in product cost of sales of $68.3 million, partially offset by a decrease in service costs of sales of $36.6 million. The increase in product cost of sales was primarily due to an increase in product revenue, partially offset by a favorable product mix. The decrease in service cost of sales was primarily due to a decrease in service revenue. Cost of sales for the six months ended October 28, 2023 included $5.6 million of intangible amortization and other related non-cash purchase accounting expenses as compared to $7.1 million for the six months ended October 29, 2022. Cost of services for the six months ended October 29, 2022 also included $11.8 million of depreciation of in-service ISR assets. As a percentage of revenue, cost of sales decreased from 73% to 58%, primarily due to an increase in the proportion of product revenue to total revenue, a favorable product mix and the prior year COCO operation costs.</w:t>
      </w:r>
    </w:p>
    <w:p>
      <w:pPr>
        <w:spacing w:after="0" w:line="185"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six months ended October 28, 2023 was $141.0 million, as compared to $59.6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October 29, 2022, representing an increase of $81.4 million, or 137%. The increase in gross margin was due to an increase in product margin of $76.6 million and an increase in service margin of $4.8 million. The increase in product margin was primarily due to the increase in product sales combined with a favorable product mix. The increase in service margin was primarily due to the decrease of $11.8 million of depreciation of in-service ISR assets, partially offset by a decrease in service revenue. As a percentage of revenue, gross margin increased from 27% to 42%, primarily due to an increase in the proportion of product revenue to total revenue, a favorable product mix and the prior year COCO operations costs.</w:t>
      </w:r>
    </w:p>
    <w:p>
      <w:pPr>
        <w:spacing w:after="0" w:line="185"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six months ended October 28, 2023 was $52.0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of revenue, as compared to SG&amp;A expense of $45.6 million, or 21% of revenue, for the six months ended October 29, 2022. The increase in SG&amp;A expense was primarily due to an increase in employee related expenses, partially offset by a decrease in intangible amortization and other non-cash purchase accounting expenses largely driven by the accelerated amortization of COCO customer relationships recorded during the three months ended April 30, 2023.</w:t>
      </w:r>
    </w:p>
    <w:p>
      <w:pPr>
        <w:spacing w:after="0" w:line="179" w:lineRule="exact"/>
        <w:rPr>
          <w:sz w:val="20"/>
          <w:szCs w:val="20"/>
          <w:color w:val="auto"/>
        </w:rPr>
      </w:pPr>
    </w:p>
    <w:p>
      <w:pPr>
        <w:ind w:left="4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six months ended October 28, 2023 was $37.5 million, or 11%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$31.6 million, or 14% of revenue, for the six months ended October 29, 2022, primarily due to an increase in development activities regarding enhanced capabilities for our products, development of new product lines and to support our acquired businesses.</w:t>
      </w:r>
    </w:p>
    <w:p>
      <w:pPr>
        <w:spacing w:after="0" w:line="176" w:lineRule="exact"/>
        <w:rPr>
          <w:sz w:val="20"/>
          <w:szCs w:val="20"/>
          <w:color w:val="auto"/>
        </w:rPr>
      </w:pPr>
    </w:p>
    <w:p>
      <w:pPr>
        <w:ind w:left="4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six months ended October 28, 2023 was $4.0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$3.9 million for the six months ended October 29, 2022. The increase in interest expense, net was primarily due to higher interest rates on our debt facility, partially offset by lower average outstanding balances.</w:t>
      </w:r>
    </w:p>
    <w:p>
      <w:pPr>
        <w:spacing w:after="0" w:line="171"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net, for the six months ended October 28, 2023 was $(4.0) million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other income, net of $0.4 million for the six months ended October 29, 2022. The increase in other expense, net is primarily due to unrealized losses associated with decreases in fair market value for equity security investments.</w:t>
      </w:r>
    </w:p>
    <w:p>
      <w:pPr>
        <w:spacing w:after="0" w:line="171"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Our effective income tax rate was 5.6% for the six months ended October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as compared to (37.2)% for the six months ended October 29, 2022. The increase in our effective income tax rate was in part due to an increase in year to date actual and projected full year income before income taxes combined with increases in expected foreign-derived intangible income deductions and federal R&amp;D tax credits. The effective income tax rate for the six months ended October 28, 2023 was primarily impacted by expected federal R&amp;D tax credits and foreign-derived intangible income deductions.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six months ended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2023 was $1.4 million as compared to $1.8 million for the six months ended October 29, 2022.</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October 28, 2023, our funded backlog was approximately $487.0 million, as compared to $424.1 million as of April 30, 2023.</w:t>
      </w:r>
    </w:p>
    <w:p>
      <w:pPr>
        <w:spacing w:after="0" w:line="176"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$173.2 million as of October 28, 2023.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SUAS because values for each of the other domains within the contract have not been disclosed by the customer, and we cannot be certain that we will secure all task orders issued against the contract.</w:t>
      </w:r>
    </w:p>
    <w:p>
      <w:pPr>
        <w:spacing w:after="0" w:line="18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79"/>
        <w:spacing w:after="0" w:line="227" w:lineRule="auto"/>
        <w:rPr>
          <w:sz w:val="20"/>
          <w:szCs w:val="20"/>
          <w:color w:val="auto"/>
        </w:rPr>
      </w:pPr>
      <w:r>
        <w:rPr>
          <w:rFonts w:ascii="Times New Roman" w:cs="Times New Roman" w:eastAsia="Times New Roman" w:hAnsi="Times New Roman"/>
          <w:sz w:val="18"/>
          <w:szCs w:val="18"/>
          <w:color w:val="auto"/>
        </w:rPr>
        <w:t>On September 8, 2022 we filed an S-3 shelf registration statement to offer and sell shares of our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During the three and six months ended October 28, 2023, we sold 807,370 shares for total gross proceeds of $91.3 million, total proceeds received of $88.6 million, net of commission expense and $88.4 million net of equity issuance costs. As of October 28, 2023, we have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sold 1,917,100 of our shares for total gross proceeds of $200.0 million and $194.0 million proceeds received, net of commission expense and $193.1 million net of equity issuance costs.</w:t>
      </w:r>
    </w:p>
    <w:p>
      <w:pPr>
        <w:spacing w:after="0" w:line="204"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$11.4 million as of October 28, 2023. As of October 28, 2023, approximately $88.6 million was available under the Revolving Facility. Borrowings under the Revolving Facility may be used for working capital and other general corporate purposes. Refer to Note 9—Debt to our unaudited condensed consolidated financial statements in Part I, Item 1 of this Quarterly Report on Form 10-Q for further details. In addition, Telerob has a line of credit of €7.0 million ($7.4 million) available for issuing letters of credit of which €2.0 million ($2.1 million) was outstanding as of October 28,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4"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introducing new products and enhancing existing products, marketing acceptance and adoption of our products and services, and possible acquisition of entities.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9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During the fiscal year ended April 30, 2022, we made certain commitments outside of the ordinary course of business, including capital contribution commitments to a second limited partnership fund. Under the terms of a new limited partnership agreement, we have committed to make capital contributions to such fund totaling $20.0 million, inclusive of the expected reinvestment of distributions from our existing limited partnership fund, of which $12.3 million was remaining at October 28, 2023. The contributions are anticipated to be paid over the next four fiscal years. The UGV second year earnout of €2.0 million (approximately $2.1 million) was paid in November 2023. The Tomahawk acquisition closed on September 15, 2023, and we paid a total purchase price of $134.5 million consisting of $109.8 million in stock and $24.2 million from cash on hand, net of cash acquired. Due to the new internal revenue service tax capitalization rules, Section 174, we expect an increase in cash paid for U.S. federal income taxes during the fiscal year ended April 30, 2024 relative to prior periods. On November 30, 2023, we prepaid $15.5 million of the Term Loan principle.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six months ended October 28, 2023 and October 29, 2022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28"/>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six months ended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2023 increased by $57.5 million to $25.6 million, as compared to net cash provided by operating activities of $31.9 million for the six months ended October 29, 2022. The increase in net cash used in operating activities was primarily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due to a decrease in cash as a result of changes in operating assets and liabilities of $107.9 million, largely related to unbilled receivables and retentions, inventories, accounts payable, and prepaid expenses and other assets due to year over year timing differences as well as a decrease in non-cash expenses of $4.4 million primarily due to a decrease in depreciation and amortization, partially offset by an increase in net income of $54.8 million.</w:t>
      </w:r>
    </w:p>
    <w:p>
      <w:pPr>
        <w:spacing w:after="0" w:line="176"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Investing Activities. </w:t>
      </w:r>
      <w:r>
        <w:rPr>
          <w:rFonts w:ascii="Times New Roman" w:cs="Times New Roman" w:eastAsia="Times New Roman" w:hAnsi="Times New Roman"/>
          <w:sz w:val="18"/>
          <w:szCs w:val="18"/>
          <w:color w:val="auto"/>
        </w:rPr>
        <w:t>Net cash used in investing activities increased by $41.1 million to $37.6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six months ended October 28, 2023, as compared to net cash provided by investing activities of $3.4 million for the six months ended October 29, 2022. The increase in net cash used in investing activities was primarily due to a decrease in net redemptions of available-for-sale investments of $24.6 million and an increase in business acquisitions, net of cash acquired of $19.1 million, partially offset by a decrease in equity securities investments of $5.1 million.</w:t>
      </w:r>
    </w:p>
    <w:p>
      <w:pPr>
        <w:spacing w:after="0" w:line="179"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increased by $42.5 million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$31.5 million for the six months ended October 28, 2023, as compared to net cash used in financing activities of $10.9 million for the six months ended October 29, 2022. The increase in net cash provided by financing activities was primarily due to an increase in proceeds from shares issued of $76.7 million, partially offset by an increase in the principal payment of the term loan of $32.5 million.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Please refer to Note 1—Organization and Significant Accounting Policies to our unaudited condensed consolidated financial statements in Part I, Item 1 of this Quarterly Report on Form 10-Q for the conclusion that we did not adopt any accounting standards during the six months ended October 28, 2023.</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$80.0 million and bears a variable interest rate. The market interest rate has increased significantly, and if market interest rates continue to increase, interest due on the Credit Facilities would increase.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28, 2023, the end of the period covered by this Quarterly Report on Form 10-Q.</w:t>
      </w:r>
    </w:p>
    <w:p>
      <w:pPr>
        <w:spacing w:after="0" w:line="180"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October 28, 2023, the end of the period covered by this Quarterly Report on Form 10-Q, our disclosure controls and procedures were effective and were operating at a reasonable assurance level.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On September 15, 2023, we acquired Tomahawk, and, as a result, we have begun integrating certain processes, systems and controls relating to Tomahawk into our existing system of internal control over financial reporting in accordance with our integration plans. We do not believe these represent a material change. There were no changes in our internal control over financial reporting or in other factors identified in connection with the evaluation required by paragraph (d) of Rules 13a-15 or 15d-15 under the Exchange Act that occurred during the quarter ended October 28,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On August 30, 2023, a securities class action complaint was filed in the U.S. District Court for the Eastern District of Virginia by Jesse Joseph Bissing naming AeroVironment; Wahid Nawabi, our President and Chief Executive Officer; and Kevin McDonnell, our Senior Vice President and Chief Financial Officer, as defendants. See Bissing v. AeroVironment, Inc., No. 1:23-cv-01160 (E.D. Va.). On November 1, 2023, the plaintiff filed a notice to voluntarily dismiss the action in its entirety, without prejudice, against all defendants. The court ordered the dismissal on November 3, 2023. The complaint asserted violations of Sections 10(b) and 20(a) of the Securities Exchange Act of 1934, as amended, and Rule 10b-5 promulgated thereunder, claiming that the defendants made false and materially misleading statements regarding revenue and earnings guidance issued by the company for our fiscal year 2022. The plaintiff sought to represent a proposed class of all persons who purchased or otherwise acquired our common stock during the period June 29, 2021 through December 7, 2021.</w:t>
      </w:r>
    </w:p>
    <w:p>
      <w:pPr>
        <w:spacing w:after="0" w:line="194"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Written and oral discovery are ongoing.</w:t>
      </w:r>
    </w:p>
    <w:p>
      <w:pPr>
        <w:spacing w:after="0" w:line="183"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I, Item 1A, “Risk Factors,” of our Annual Report on Form 10-K for the fiscal year ended April 30, 2023. Please refer to that section for disclosures regarding the risks and uncertainties related to our business.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right="99"/>
        <w:spacing w:after="0" w:line="312" w:lineRule="auto"/>
        <w:rPr>
          <w:sz w:val="20"/>
          <w:szCs w:val="20"/>
          <w:color w:val="auto"/>
        </w:rPr>
      </w:pPr>
      <w:r>
        <w:rPr>
          <w:rFonts w:ascii="Times New Roman" w:cs="Times New Roman" w:eastAsia="Times New Roman" w:hAnsi="Times New Roman"/>
          <w:sz w:val="17"/>
          <w:szCs w:val="17"/>
          <w:color w:val="auto"/>
        </w:rPr>
        <w:t>During the three months ended October 28, 2023,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6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60" w:type="dxa"/>
            <w:vAlign w:val="bottom"/>
            <w:gridSpan w:val="13"/>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7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6"/>
                <w:szCs w:val="16"/>
                <w:color w:val="auto"/>
              </w:rPr>
            </w:pPr>
          </w:p>
        </w:tc>
        <w:tc>
          <w:tcPr>
            <w:tcW w:w="7560" w:type="dxa"/>
            <w:vAlign w:val="bottom"/>
            <w:tcBorders>
              <w:top w:val="single" w:sz="8" w:color="auto"/>
              <w:bottom w:val="single" w:sz="8" w:color="0000EE"/>
            </w:tcBorders>
            <w:gridSpan w:val="13"/>
          </w:tcPr>
          <w:p>
            <w:pPr>
              <w:spacing w:after="0" w:line="189"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Agreement and Plan of Merger, dated as of August 18, 2023, by and among AeroVironment, Inc., Tropic</w:t>
              </w:r>
            </w:hyperlink>
          </w:p>
        </w:tc>
        <w:tc>
          <w:tcPr>
            <w:tcW w:w="440" w:type="dxa"/>
            <w:vAlign w:val="bottom"/>
            <w:tcBorders>
              <w:top w:val="single" w:sz="8" w:color="auto"/>
            </w:tcBorders>
            <w:gridSpan w:val="2"/>
          </w:tcPr>
          <w:p>
            <w:pPr>
              <w:spacing w:after="0"/>
              <w:rPr>
                <w:sz w:val="16"/>
                <w:szCs w:val="16"/>
                <w:color w:val="auto"/>
              </w:rPr>
            </w:pP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Merger Sub, Inc., Tomahawk Robotics, Inc., and Shareholder Representative Services LLC, solely in its</w:t>
              </w:r>
            </w:hyperlink>
          </w:p>
        </w:tc>
        <w:tc>
          <w:tcPr>
            <w:tcW w:w="500" w:type="dxa"/>
            <w:vAlign w:val="bottom"/>
            <w:gridSpan w:val="4"/>
          </w:tcPr>
          <w:p>
            <w:pPr>
              <w:spacing w:after="0"/>
              <w:rPr>
                <w:sz w:val="19"/>
                <w:szCs w:val="19"/>
                <w:color w:val="auto"/>
              </w:rPr>
            </w:pP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capacity as the Stockholder Representative.</w:t>
              </w:r>
            </w:hyperlink>
          </w:p>
        </w:tc>
        <w:tc>
          <w:tcPr>
            <w:tcW w:w="4860" w:type="dxa"/>
            <w:vAlign w:val="bottom"/>
            <w:gridSpan w:val="13"/>
          </w:tcPr>
          <w:p>
            <w:pPr>
              <w:spacing w:after="0"/>
              <w:rPr>
                <w:sz w:val="19"/>
                <w:szCs w:val="19"/>
                <w:color w:val="auto"/>
              </w:rPr>
            </w:pPr>
          </w:p>
        </w:tc>
      </w:tr>
      <w:tr>
        <w:trPr>
          <w:trHeight w:val="237"/>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0"/>
                <w:szCs w:val="20"/>
                <w:color w:val="auto"/>
              </w:rPr>
            </w:pPr>
          </w:p>
        </w:tc>
        <w:tc>
          <w:tcPr>
            <w:tcW w:w="5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Amended and Restated Certificate of Incorporation of AeroVironment, Inc.</w:t>
              </w:r>
            </w:hyperlink>
          </w:p>
        </w:tc>
        <w:tc>
          <w:tcPr>
            <w:tcW w:w="2560" w:type="dxa"/>
            <w:vAlign w:val="bottom"/>
            <w:gridSpan w:val="10"/>
          </w:tcPr>
          <w:p>
            <w:pPr>
              <w:spacing w:after="0"/>
              <w:rPr>
                <w:sz w:val="20"/>
                <w:szCs w:val="20"/>
                <w:color w:val="auto"/>
              </w:rPr>
            </w:pPr>
          </w:p>
        </w:tc>
      </w:tr>
      <w:tr>
        <w:trPr>
          <w:trHeight w:val="22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9"/>
                <w:szCs w:val="19"/>
                <w:color w:val="auto"/>
              </w:rPr>
            </w:pPr>
          </w:p>
        </w:tc>
        <w:tc>
          <w:tcPr>
            <w:tcW w:w="8000" w:type="dxa"/>
            <w:vAlign w:val="bottom"/>
            <w:gridSpan w:val="1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Fourth Amended and Restated Bylaws of AeroVironment, Inc., amended as of December 1, 2022</w:t>
              </w:r>
            </w:hyperlink>
            <w:r>
              <w:rPr>
                <w:rFonts w:ascii="Times New Roman" w:cs="Times New Roman" w:eastAsia="Times New Roman" w:hAnsi="Times New Roman"/>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7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First Amendment to Lease, dated March 11, 2022, between AeroVironment, Inc. and BCORE Defender</w:t>
            </w:r>
          </w:p>
        </w:tc>
        <w:tc>
          <w:tcPr>
            <w:tcW w:w="520" w:type="dxa"/>
            <w:vAlign w:val="bottom"/>
            <w:gridSpan w:val="5"/>
          </w:tcPr>
          <w:p>
            <w:pPr>
              <w:spacing w:after="0"/>
              <w:rPr>
                <w:sz w:val="19"/>
                <w:szCs w:val="19"/>
                <w:color w:val="auto"/>
              </w:rPr>
            </w:pP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CA1W01, LLC, for the property located at 85 Moreland Road, Simi Valley, California.</w:t>
            </w: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7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Joinder Agreement, dated October 30, 2023, between AeroVironment, Inc. and Bank of America, N.A.</w:t>
            </w:r>
          </w:p>
        </w:tc>
        <w:tc>
          <w:tcPr>
            <w:tcW w:w="580" w:type="dxa"/>
            <w:vAlign w:val="bottom"/>
            <w:gridSpan w:val="7"/>
          </w:tcPr>
          <w:p>
            <w:pPr>
              <w:spacing w:after="0"/>
              <w:rPr>
                <w:sz w:val="20"/>
                <w:szCs w:val="20"/>
                <w:color w:val="auto"/>
              </w:rPr>
            </w:pPr>
          </w:p>
        </w:tc>
      </w:tr>
      <w:tr>
        <w:trPr>
          <w:trHeight w:val="22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200" w:type="dxa"/>
            <w:vAlign w:val="bottom"/>
          </w:tcPr>
          <w:p>
            <w:pPr>
              <w:spacing w:after="0"/>
              <w:rPr>
                <w:sz w:val="19"/>
                <w:szCs w:val="19"/>
                <w:color w:val="auto"/>
              </w:rPr>
            </w:pPr>
          </w:p>
        </w:tc>
        <w:tc>
          <w:tcPr>
            <w:tcW w:w="4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AeroVironment, Inc. 2023 Employee Stock Purchase Plan</w:t>
              </w:r>
            </w:hyperlink>
          </w:p>
        </w:tc>
        <w:tc>
          <w:tcPr>
            <w:tcW w:w="3800" w:type="dxa"/>
            <w:vAlign w:val="bottom"/>
            <w:gridSpan w:val="12"/>
          </w:tcPr>
          <w:p>
            <w:pPr>
              <w:spacing w:after="0"/>
              <w:rPr>
                <w:sz w:val="19"/>
                <w:szCs w:val="19"/>
                <w:color w:val="auto"/>
              </w:rPr>
            </w:pPr>
          </w:p>
        </w:tc>
      </w:tr>
      <w:tr>
        <w:trPr>
          <w:trHeight w:val="22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9"/>
                <w:szCs w:val="19"/>
                <w:color w:val="auto"/>
              </w:rPr>
            </w:pPr>
          </w:p>
        </w:tc>
        <w:tc>
          <w:tcPr>
            <w:tcW w:w="7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of the Securities</w:t>
            </w:r>
          </w:p>
        </w:tc>
        <w:tc>
          <w:tcPr>
            <w:tcW w:w="480" w:type="dxa"/>
            <w:vAlign w:val="bottom"/>
            <w:gridSpan w:val="3"/>
          </w:tcPr>
          <w:p>
            <w:pPr>
              <w:spacing w:after="0"/>
              <w:rPr>
                <w:sz w:val="19"/>
                <w:szCs w:val="19"/>
                <w:color w:val="auto"/>
              </w:rPr>
            </w:pP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0"/>
                <w:szCs w:val="20"/>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c>
          <w:tcPr>
            <w:tcW w:w="540" w:type="dxa"/>
            <w:vAlign w:val="bottom"/>
            <w:gridSpan w:val="6"/>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 as</w:t>
            </w:r>
          </w:p>
        </w:tc>
      </w:tr>
      <w:tr>
        <w:trPr>
          <w:trHeight w:val="223"/>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r>
              <w:rPr>
                <w:rFonts w:ascii="Times New Roman" w:cs="Times New Roman" w:eastAsia="Times New Roman" w:hAnsi="Times New Roman"/>
                <w:sz w:val="18"/>
                <w:szCs w:val="18"/>
                <w:color w:val="000000"/>
              </w:rPr>
              <w:t>.</w:t>
            </w:r>
          </w:p>
        </w:tc>
        <w:tc>
          <w:tcPr>
            <w:tcW w:w="260" w:type="dxa"/>
            <w:vAlign w:val="bottom"/>
          </w:tcPr>
          <w:p>
            <w:pPr>
              <w:spacing w:after="0"/>
              <w:rPr>
                <w:sz w:val="19"/>
                <w:szCs w:val="19"/>
                <w:color w:val="auto"/>
              </w:rPr>
            </w:pPr>
          </w:p>
        </w:tc>
      </w:tr>
      <w:tr>
        <w:trPr>
          <w:trHeight w:val="20"/>
        </w:trPr>
        <w:tc>
          <w:tcPr>
            <w:tcW w:w="920" w:type="dxa"/>
            <w:vAlign w:val="bottom"/>
            <w:gridSpan w:val="2"/>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3120" w:type="dxa"/>
            <w:vAlign w:val="bottom"/>
            <w:gridSpan w:val="11"/>
          </w:tcPr>
          <w:p>
            <w:pPr>
              <w:spacing w:after="0" w:line="20" w:lineRule="exact"/>
              <w:rPr>
                <w:sz w:val="1"/>
                <w:szCs w:val="1"/>
                <w:color w:val="auto"/>
              </w:rPr>
            </w:pPr>
          </w:p>
        </w:tc>
      </w:tr>
      <w:tr>
        <w:trPr>
          <w:trHeight w:val="277"/>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43"/>
        </w:trPr>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5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8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960" w:hanging="695"/>
        <w:spacing w:after="0"/>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360" w:right="219" w:hanging="316"/>
        <w:spacing w:after="0" w:line="226" w:lineRule="exact"/>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2.1 to the Company’s Current Report on Form 8-K filed August 22, 2023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360" w:right="139" w:hanging="316"/>
        <w:spacing w:after="0" w:line="216" w:lineRule="exact"/>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March 9, 2007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360" w:right="279" w:hanging="316"/>
        <w:spacing w:after="0" w:line="216" w:lineRule="exact"/>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December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360" w:right="199" w:hanging="316"/>
        <w:spacing w:after="0" w:line="258"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Appendix A to the Company’s Definitive Proxy Statement on Schedule 14A filed August 17, 2023 (File No. 001-33261).</w:t>
      </w:r>
    </w:p>
    <w:p>
      <w:pPr>
        <w:spacing w:after="0" w:line="169" w:lineRule="exact"/>
        <w:rPr>
          <w:sz w:val="20"/>
          <w:szCs w:val="20"/>
          <w:color w:val="auto"/>
        </w:rPr>
      </w:pPr>
    </w:p>
    <w:p>
      <w:pPr>
        <w:ind w:left="360" w:right="79" w:hanging="316"/>
        <w:spacing w:after="0" w:line="258" w:lineRule="auto"/>
        <w:tabs>
          <w:tab w:leader="none" w:pos="3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December 5, 2023</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FIRST AMENDMENT TO LEASE</w:t>
      </w:r>
    </w:p>
    <w:p>
      <w:pPr>
        <w:spacing w:after="0" w:line="23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THIS FIRST AMENDMENT TO LEASE (this "Amendment") is entered into as of the __</w:t>
      </w:r>
      <w:r>
        <w:rPr>
          <w:rFonts w:ascii="Times New Roman" w:cs="Times New Roman" w:eastAsia="Times New Roman" w:hAnsi="Times New Roman"/>
          <w:sz w:val="20"/>
          <w:szCs w:val="20"/>
          <w:u w:val="single" w:color="auto"/>
          <w:color w:val="auto"/>
        </w:rPr>
        <w:t>10th</w:t>
      </w:r>
      <w:r>
        <w:rPr>
          <w:rFonts w:ascii="Times New Roman" w:cs="Times New Roman" w:eastAsia="Times New Roman" w:hAnsi="Times New Roman"/>
          <w:sz w:val="20"/>
          <w:szCs w:val="20"/>
          <w:color w:val="auto"/>
        </w:rPr>
        <w:t>__ day of September, 2023, by and between BCORE DEFENDER CA1W03, LLC, a Delaware limited liability company ("Landlord") and AEROVIRONMENT, INC., a Delaware corporation ("Tenant").</w:t>
      </w:r>
    </w:p>
    <w:p>
      <w:pPr>
        <w:spacing w:after="0" w:line="18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WHEREAS, Landlord and Tenant entered into that certain Lease dated as of March 11, 2022 (the "Lease") covering approximately 105,083 rentable square feet of space (the "Premises"), being the entire rentable area of the building located at 85 Moreland Road, Simi Valley, California 93065 (the "Building"), as more particularly described therein;</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the Term of the Lease is currently scheduled to expire on June 30, 2025, and Tenant desires to extend the Term of the Lease for a period of forty-seven (47) months to expire on May 31, 2029; and</w:t>
      </w:r>
    </w:p>
    <w:p>
      <w:pPr>
        <w:spacing w:after="0" w:line="18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WHEREAS, Landlord and Tenant desire to amend the Lease to reflect their agreements as to the terms and conditions governing the extension of the Term of the Lease.</w:t>
      </w:r>
    </w:p>
    <w:p>
      <w:pPr>
        <w:spacing w:after="0" w:line="17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between the parties herein contained, Landlord and Tenant hereby agree as follows:</w:t>
      </w:r>
    </w:p>
    <w:p>
      <w:pPr>
        <w:spacing w:after="0" w:line="173" w:lineRule="exact"/>
        <w:rPr>
          <w:sz w:val="20"/>
          <w:szCs w:val="20"/>
          <w:color w:val="auto"/>
        </w:rPr>
      </w:pPr>
    </w:p>
    <w:p>
      <w:pPr>
        <w:ind w:left="200" w:right="219" w:firstLine="9"/>
        <w:spacing w:after="0" w:line="269" w:lineRule="auto"/>
        <w:tabs>
          <w:tab w:leader="none" w:pos="8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the Lease is hereby extended for a period of forty-seven (47) months to expire on May 31, 2029, unless sooner terminated in accordance with the terms of the Lease.</w:t>
      </w:r>
    </w:p>
    <w:p>
      <w:pPr>
        <w:spacing w:after="0" w:line="172" w:lineRule="exact"/>
        <w:rPr>
          <w:rFonts w:ascii="Times New Roman" w:cs="Times New Roman" w:eastAsia="Times New Roman" w:hAnsi="Times New Roman"/>
          <w:sz w:val="20"/>
          <w:szCs w:val="20"/>
          <w:color w:val="auto"/>
        </w:rPr>
      </w:pPr>
    </w:p>
    <w:p>
      <w:pPr>
        <w:jc w:val="both"/>
        <w:ind w:left="200" w:right="219" w:firstLine="9"/>
        <w:spacing w:after="0" w:line="254" w:lineRule="auto"/>
        <w:tabs>
          <w:tab w:leader="none" w:pos="8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From and after the date hereof and continuing through October 31, 2023, Tenant shall continue to pay Base Rent for the Premises in accordance with the terms of the Lease. Commencing on November 1, 2023, Tenant shall pay Base Rent for the Premises as follows:</w:t>
      </w:r>
    </w:p>
    <w:p>
      <w:pPr>
        <w:spacing w:after="0" w:line="204" w:lineRule="exact"/>
        <w:rPr>
          <w:sz w:val="20"/>
          <w:szCs w:val="20"/>
          <w:color w:val="auto"/>
        </w:rPr>
      </w:pPr>
    </w:p>
    <w:tbl>
      <w:tblPr>
        <w:tblLayout w:type="fixed"/>
        <w:tblInd w:w="2170" w:type="dxa"/>
        <w:tblCellMar>
          <w:top w:w="0" w:type="dxa"/>
          <w:left w:w="0" w:type="dxa"/>
          <w:bottom w:w="0" w:type="dxa"/>
          <w:right w:w="0" w:type="dxa"/>
        </w:tblCellMar>
      </w:tblPr>
      <w:tr>
        <w:trPr>
          <w:trHeight w:val="243"/>
        </w:trPr>
        <w:tc>
          <w:tcPr>
            <w:tcW w:w="2300" w:type="dxa"/>
            <w:vAlign w:val="bottom"/>
            <w:tcBorders>
              <w:top w:val="single" w:sz="8" w:color="auto"/>
              <w:left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4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Monthly Base Rent</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11/1/23 – 11/30/23</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$115,591.30</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12/1/23 – 12/31/23</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$0.00</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1/1/24 – 10/31/24</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$115,591.30</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11/1/24 – 10/31/25</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$120,214.95</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11/1/25 – 10/31/26</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$125,023.55</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11/1/26 – 10/31/27</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$130,024.49</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11/1/27 – 10/31/28</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$135,225.47</w:t>
            </w:r>
          </w:p>
        </w:tc>
      </w:tr>
      <w:tr>
        <w:trPr>
          <w:trHeight w:val="223"/>
        </w:trPr>
        <w:tc>
          <w:tcPr>
            <w:tcW w:w="23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11/1/28 – 5/31/29</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$140,634.49</w:t>
            </w:r>
          </w:p>
        </w:tc>
      </w:tr>
    </w:tbl>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All such Base Rent shall be payable in accordance with the terms of the Lease.</w:t>
      </w:r>
    </w:p>
    <w:p>
      <w:pPr>
        <w:spacing w:after="0" w:line="229" w:lineRule="exact"/>
        <w:rPr>
          <w:sz w:val="20"/>
          <w:szCs w:val="20"/>
          <w:color w:val="auto"/>
        </w:rPr>
      </w:pPr>
    </w:p>
    <w:p>
      <w:pPr>
        <w:jc w:val="both"/>
        <w:ind w:left="200" w:right="219" w:firstLine="9"/>
        <w:spacing w:after="0" w:line="249" w:lineRule="auto"/>
        <w:tabs>
          <w:tab w:leader="none" w:pos="8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Rent</w:t>
      </w:r>
      <w:r>
        <w:rPr>
          <w:rFonts w:ascii="Times New Roman" w:cs="Times New Roman" w:eastAsia="Times New Roman" w:hAnsi="Times New Roman"/>
          <w:sz w:val="20"/>
          <w:szCs w:val="20"/>
          <w:color w:val="auto"/>
        </w:rPr>
        <w:t>. From and after the date hereof and continuing through the Term of the Lease, as extended hereby (including during the period from December 1, 2023, through December 31, 2023), Tenant shall continue to pay all Additional Rent, including Tenant's Share of Estimated Expenses and all other sums payable under the Lease, in accordance with the terms of the Lease.</w:t>
      </w:r>
    </w:p>
    <w:p>
      <w:pPr>
        <w:spacing w:after="0" w:line="189"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Acceptance of Premises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TENANT ACKNOWLEDGES THAT TENANT CURRENTLY</w:t>
      </w:r>
    </w:p>
    <w:p>
      <w:pPr>
        <w:spacing w:after="0" w:line="25" w:lineRule="exact"/>
        <w:rPr>
          <w:rFonts w:ascii="Times New Roman" w:cs="Times New Roman" w:eastAsia="Times New Roman" w:hAnsi="Times New Roman"/>
          <w:sz w:val="20"/>
          <w:szCs w:val="20"/>
          <w:color w:val="auto"/>
        </w:rPr>
      </w:pPr>
    </w:p>
    <w:p>
      <w:pPr>
        <w:jc w:val="both"/>
        <w:ind w:left="200" w:right="219"/>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OCCUPIES THE PREMISES AND HEREBY ACCEPTS THE PREMISES, THE BUILDING AND THE PROJECT (INCLUDING THE SUITABILITY OF THE PREMISES FOR THE PERMITTED USE) IN "AS IS" CONDITION WITH ANY AND ALL FAULTS AND LATENT OR PATENT DEFECTS AND WITHOUT RELYING UPON ANY REPRESENTATION OR WARRANTY</w:t>
      </w: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49" w:name="page50"/>
    <w:bookmarkEnd w:id="49"/>
    <w:p>
      <w:pPr>
        <w:jc w:val="center"/>
        <w:ind w:left="200" w:right="219"/>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(EXPRESS OR IMPLIED) OF LANDLORD OR ANY REPRESENTATIVE OF LANDLORD. LANDLORD  HAS  NOT  MADE  AND  DOES  NOT  HEREBY  MAKE  AND  HEREBY SPECIFICALLY DISCLAIMS ANY REPRESENTATIONS OR WARRANTIES OF ANY KIND OR CHARACTER WHATSOEVER, EXPRESS OR IMPLIED, WITH RESPECT TO THE PREMISES AND ITS CONDITION (INCLUDING WITHOUT LIMITATION ANY REPRESENTATION OR WARRANTY  REGARDING  QUALITY  OF  CONSTRUCTION,  STATE  OF  REPAIR, WORKMANSHIP, MERCHANTABILITY, HABITABILITY, SUITABILITY OR FITNESS FOR ANY  PARTICULAR  PURPOSE)  AND  TENANT  HAS  NOT  RELIED  ON  ANY  SUCH REPRESENTATIONS OR WARRANTIES. </w:t>
      </w:r>
      <w:r>
        <w:rPr>
          <w:rFonts w:ascii="Times New Roman" w:cs="Times New Roman" w:eastAsia="Times New Roman" w:hAnsi="Times New Roman"/>
          <w:sz w:val="19"/>
          <w:szCs w:val="19"/>
          <w:color w:val="auto"/>
        </w:rPr>
        <w:t>Landlord shall not be required to perform any leasehold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improvements or, except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provide any improvement allowance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connection with this Amendment.</w:t>
      </w:r>
    </w:p>
    <w:p>
      <w:pPr>
        <w:spacing w:after="0" w:line="207" w:lineRule="exact"/>
        <w:rPr>
          <w:sz w:val="20"/>
          <w:szCs w:val="20"/>
          <w:color w:val="auto"/>
        </w:rPr>
      </w:pPr>
    </w:p>
    <w:p>
      <w:pPr>
        <w:ind w:left="860" w:hanging="651"/>
        <w:spacing w:after="0"/>
        <w:tabs>
          <w:tab w:leader="none" w:pos="8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Renewal Option</w:t>
      </w:r>
      <w:r>
        <w:rPr>
          <w:rFonts w:ascii="Times New Roman" w:cs="Times New Roman" w:eastAsia="Times New Roman" w:hAnsi="Times New Roman"/>
          <w:sz w:val="20"/>
          <w:szCs w:val="20"/>
          <w:color w:val="auto"/>
        </w:rPr>
        <w:t>. Tenant shall have the following renewal option:</w:t>
      </w:r>
    </w:p>
    <w:p>
      <w:pPr>
        <w:spacing w:after="0" w:line="229" w:lineRule="exact"/>
        <w:rPr>
          <w:rFonts w:ascii="Times New Roman" w:cs="Times New Roman" w:eastAsia="Times New Roman" w:hAnsi="Times New Roman"/>
          <w:sz w:val="20"/>
          <w:szCs w:val="20"/>
          <w:color w:val="auto"/>
        </w:rPr>
      </w:pPr>
    </w:p>
    <w:p>
      <w:pPr>
        <w:jc w:val="both"/>
        <w:ind w:left="200" w:right="219" w:firstLine="657"/>
        <w:spacing w:after="0" w:line="242" w:lineRule="auto"/>
        <w:tabs>
          <w:tab w:leader="none" w:pos="149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(i) that Landlord has not given Tenant 2 or more notices of separate default, whether or not the defaults are cured, during the 12 month period immediately preceding the exercise of the Extension Option (as defined below), (ii) that there then exists no Event of Default by Tenant under the Lease, nor any event that with the giving of notice and/or the passage of time would constitute an Event of Default, and (iii) that Tenant is the sole occupant of the Premises, Tenant shall have the right and option (the "Extension Option") to extend the Term of the Lease for one additional period of five (5) years (an "Extension Period"), exercisable by giving Landlord prior written notice not earlier than nine (9) months nor later than six (6) months prior to the expiration of the Term of the Lease, as extended hereby, of Tenant’s election to extend the Term of the Lease; it being agreed that time is of the essence and that this option is personal to Tenant and is non-transferable to any assignee or sublessee (regardless of whether any such assignment or sublease was made with or without Landlord's consent) or other party.</w:t>
      </w:r>
    </w:p>
    <w:p>
      <w:pPr>
        <w:spacing w:after="0" w:line="203"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Extension Period shall be under the same terms and conditions as provided in the Lease except as follows:</w:t>
      </w:r>
    </w:p>
    <w:p>
      <w:pPr>
        <w:spacing w:after="0" w:line="173" w:lineRule="exact"/>
        <w:rPr>
          <w:sz w:val="20"/>
          <w:szCs w:val="20"/>
          <w:color w:val="auto"/>
        </w:rPr>
      </w:pPr>
    </w:p>
    <w:p>
      <w:pPr>
        <w:jc w:val="both"/>
        <w:ind w:left="1500" w:right="219" w:hanging="643"/>
        <w:spacing w:after="0" w:line="254"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Extension Period shall begin on the day after the expiration of the Term of the Lease, as extended hereby, and thereafter the expiration date of the Lease shall be deemed to be the last day of the Extension Period;</w:t>
      </w:r>
    </w:p>
    <w:p>
      <w:pPr>
        <w:spacing w:after="0" w:line="187" w:lineRule="exact"/>
        <w:rPr>
          <w:rFonts w:ascii="Times New Roman" w:cs="Times New Roman" w:eastAsia="Times New Roman" w:hAnsi="Times New Roman"/>
          <w:sz w:val="20"/>
          <w:szCs w:val="20"/>
          <w:color w:val="auto"/>
        </w:rPr>
      </w:pPr>
    </w:p>
    <w:p>
      <w:pPr>
        <w:ind w:left="1500" w:right="239" w:hanging="643"/>
        <w:spacing w:after="0" w:line="269"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further options to extend other than as set forth in subsection (a) above; and</w:t>
      </w:r>
    </w:p>
    <w:p>
      <w:pPr>
        <w:spacing w:after="0" w:line="172" w:lineRule="exact"/>
        <w:rPr>
          <w:rFonts w:ascii="Times New Roman" w:cs="Times New Roman" w:eastAsia="Times New Roman" w:hAnsi="Times New Roman"/>
          <w:sz w:val="20"/>
          <w:szCs w:val="20"/>
          <w:color w:val="auto"/>
        </w:rPr>
      </w:pPr>
    </w:p>
    <w:p>
      <w:pPr>
        <w:jc w:val="both"/>
        <w:ind w:left="1500" w:right="219" w:hanging="643"/>
        <w:spacing w:after="0" w:line="249"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Rent for the first year of the Extension Period shall be equal to the greater of (i) the Base Rent payable in the immediately preceding calendar month, increased by 4% (the "Annual Percentage Increase"), and (ii) the fair market rental value of the Premises (collectively, the "FMR") as of the date the Tenant exercises its Extension Option.</w:t>
      </w:r>
    </w:p>
    <w:p>
      <w:pPr>
        <w:spacing w:after="0" w:line="193" w:lineRule="exact"/>
        <w:rPr>
          <w:rFonts w:ascii="Times New Roman" w:cs="Times New Roman" w:eastAsia="Times New Roman" w:hAnsi="Times New Roman"/>
          <w:sz w:val="20"/>
          <w:szCs w:val="20"/>
          <w:color w:val="auto"/>
        </w:rPr>
      </w:pPr>
    </w:p>
    <w:p>
      <w:pPr>
        <w:jc w:val="both"/>
        <w:ind w:left="1500" w:right="219" w:hanging="643"/>
        <w:spacing w:after="0" w:line="254"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Rent for each year after the first year of the Extension Period shall be equal to the Base Rent payable during the preceding calendar month, increased by the Annual Percentage Increase.</w:t>
      </w:r>
    </w:p>
    <w:p>
      <w:pPr>
        <w:spacing w:after="0" w:line="187" w:lineRule="exact"/>
        <w:rPr>
          <w:rFonts w:ascii="Times New Roman" w:cs="Times New Roman" w:eastAsia="Times New Roman" w:hAnsi="Times New Roman"/>
          <w:sz w:val="20"/>
          <w:szCs w:val="20"/>
          <w:color w:val="auto"/>
        </w:rPr>
      </w:pPr>
    </w:p>
    <w:p>
      <w:pPr>
        <w:ind w:left="1500" w:right="239" w:hanging="643"/>
        <w:spacing w:after="0" w:line="269"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avoidance of doubt, Landlord may update and charge Additional Rent as provided for in the Lease.</w:t>
      </w:r>
    </w:p>
    <w:p>
      <w:pPr>
        <w:spacing w:after="0" w:line="173" w:lineRule="exact"/>
        <w:rPr>
          <w:sz w:val="20"/>
          <w:szCs w:val="20"/>
          <w:color w:val="auto"/>
        </w:rPr>
      </w:pPr>
    </w:p>
    <w:p>
      <w:pPr>
        <w:jc w:val="both"/>
        <w:ind w:left="200" w:right="219" w:firstLine="657"/>
        <w:spacing w:after="0" w:line="254" w:lineRule="auto"/>
        <w:tabs>
          <w:tab w:leader="none" w:pos="149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FMR, Landlord shall take into account and make appropriate adjustments to reflect current market terms, conditions and concessions for similar renewal transactions in similar industrial buildings that are then generally available in the market where the Premises are located,</w:t>
      </w: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0" w:name="page51"/>
    <w:bookmarkEnd w:id="50"/>
    <w:p>
      <w:pPr>
        <w:jc w:val="both"/>
        <w:ind w:left="200" w:right="219"/>
        <w:spacing w:after="0"/>
        <w:rPr>
          <w:sz w:val="20"/>
          <w:szCs w:val="20"/>
          <w:color w:val="auto"/>
        </w:rPr>
      </w:pPr>
      <w:r>
        <w:rPr>
          <w:rFonts w:ascii="Times New Roman" w:cs="Times New Roman" w:eastAsia="Times New Roman" w:hAnsi="Times New Roman"/>
          <w:sz w:val="20"/>
          <w:szCs w:val="20"/>
          <w:color w:val="auto"/>
        </w:rPr>
        <w:t>including any other renewal transactions (and taking into account whether such terms, conditions and concessions are being made available by Landlord) as of the date Tenant exercises its Extension Option. Landlord can decide not to calculate the FMR, in which case the Base Rent for the first year of the Extension Period shall be equal to the Base Rent payable in the immediately preceding calendar month increased by the Annual Percentage Increase. In the alternative, within 15 days after Landlord receives notice of Tenant's exercise of the Extension Option, Landlord will give notice to Tenant (the "FMR Notice") of Landlord's opinion of the FMR and comparing the FMR to the Base Rent payable in the immediately preceding calendar month. If Tenant does not respond to the FMR Notice within 15 days after delivery, Landlord’s opinion of the FMR shall be deemed accepted as the Base Rent due for the first year of the Extension Period. If, during such 15-day period, Tenant gives Landlord notice that Tenant contests Landlord's determination of the FMR (an "Objection Notice"), which notice must contain therein Tenant's opinion of the FMR, the parties will attempt to arrive at a mutually agreeable FMR. If, within 15 days after Landlord's receipt of the Objection Notice the parties have not agreed on the FMR, then Tenant shall have the option, upon written notice to Landlord to (i) rescind its exercise of the option to extend the Term of the Lease, in which case such option, thereafter, shall be void; (ii) have the FMR determined by one or more Qualified Brokers (defined hereunder); or (iii) accept Landlord's determination of FMR. If Tenant has not provided any such written notice within said 15 days, it shall be deemed that Tenant has elected option (iii) above. If Tenant elects option (ii) above, then Landlord and Tenant shall each, at their own expense, appoint a qualified and impartial commercial real estate broker with at least 10 years' experience in leasing comparable industrial space in the sub-market where the Property is located (each a "Qualified Broker") to determine the FMR, each such determination to be made in writing and in accordance with this Section within 15 days after such appointment. If the determination of FMR by the two appointed Qualified Brokers is within five percent (5%) of one another, the average of the two determinations shall be the FMR. If the determinations differ by more than five percent (5%), then the two Qualified Brokers shall select a third Qualified Broker, who shall select one of their two determinations, and that amount shall be the FMR. In such event, the parties shall share the cost of such third Qualified Broker. The parties shall be responsible for the costs and fees of their separate Qualified Brokers, and shall equally share in the costs and fees of the third Qualified Broker, if applicable.</w:t>
      </w:r>
    </w:p>
    <w:p>
      <w:pPr>
        <w:spacing w:after="0" w:line="216" w:lineRule="exact"/>
        <w:rPr>
          <w:sz w:val="20"/>
          <w:szCs w:val="20"/>
          <w:color w:val="auto"/>
        </w:rPr>
      </w:pPr>
    </w:p>
    <w:p>
      <w:pPr>
        <w:ind w:left="1500" w:hanging="643"/>
        <w:spacing w:after="0"/>
        <w:tabs>
          <w:tab w:leader="none" w:pos="15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request to amend the Lease to reflect the extension of the Lease as described</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Section.</w:t>
      </w:r>
    </w:p>
    <w:p>
      <w:pPr>
        <w:spacing w:after="0" w:line="207" w:lineRule="exact"/>
        <w:rPr>
          <w:rFonts w:ascii="Times New Roman" w:cs="Times New Roman" w:eastAsia="Times New Roman" w:hAnsi="Times New Roman"/>
          <w:sz w:val="20"/>
          <w:szCs w:val="20"/>
          <w:color w:val="auto"/>
        </w:rPr>
      </w:pPr>
    </w:p>
    <w:p>
      <w:pPr>
        <w:jc w:val="both"/>
        <w:ind w:left="200" w:right="219" w:firstLine="9"/>
        <w:spacing w:after="0" w:line="243" w:lineRule="auto"/>
        <w:tabs>
          <w:tab w:leader="none" w:pos="8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Tenant warrants that it has had no dealings with any real estate broker or agent in connection with the negotiation of this Amendment other than Jones Lang LaSalle ("Landlord's Broker") and CBRE, Inc. ("Tenant's Broker") that it knows of no other real estate brokers or agents who are or might be entitled to a commission in connection with this Amendment. Landlord agrees to pay a commission to Landlord's Broker and to Tenant's Broker pursuant to separate written agreements between Landlord and such brokers. Tenant agrees to indemnify and hold Landlord harmless from and against any liability or claim arising with respect to any brokers or agents other than Tenant's Broker claiming a commission by, through, or under Tenant in connection with this Amendment.</w:t>
      </w:r>
    </w:p>
    <w:p>
      <w:pPr>
        <w:spacing w:after="0" w:line="202" w:lineRule="exact"/>
        <w:rPr>
          <w:rFonts w:ascii="Times New Roman" w:cs="Times New Roman" w:eastAsia="Times New Roman" w:hAnsi="Times New Roman"/>
          <w:sz w:val="20"/>
          <w:szCs w:val="20"/>
          <w:color w:val="auto"/>
        </w:rPr>
      </w:pPr>
    </w:p>
    <w:p>
      <w:pPr>
        <w:jc w:val="both"/>
        <w:ind w:left="200" w:right="219" w:firstLine="9"/>
        <w:spacing w:after="0" w:line="258" w:lineRule="auto"/>
        <w:tabs>
          <w:tab w:leader="none" w:pos="84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Estoppel</w:t>
      </w:r>
      <w:r>
        <w:rPr>
          <w:rFonts w:ascii="Times New Roman" w:cs="Times New Roman" w:eastAsia="Times New Roman" w:hAnsi="Times New Roman"/>
          <w:sz w:val="19"/>
          <w:szCs w:val="19"/>
          <w:color w:val="auto"/>
        </w:rPr>
        <w:t>. Tenant hereby represents, warrants and agrees that: (i) there exists no breach, default or event of default by Landlord under the Lease, or any event or condition which, with the giving of notice or passage of time or both, would constitute a breach, default or event of default by Landlord under the Lease; (ii) the Lease continues to be a legal, valid and binding agreement and obligation of Tenant; and (iii) Tenant has no current offset or defense to its performance or obligations under the Lease. Tenant hereby waives and releases all demands, charges, claims, accounts or causes of action of any nature against Landlord or Landlord's employees or agents, including without limitation, both known and unknown demands, charges, claims, accounts, and causes of action that have previously arisen out of or in connection with the Lease.</w:t>
      </w: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 w:name="page52"/>
    <w:bookmarkEnd w:id="51"/>
    <w:p>
      <w:pPr>
        <w:jc w:val="both"/>
        <w:ind w:left="200" w:right="219" w:firstLine="9"/>
        <w:spacing w:after="0" w:line="24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Tenant and each person signing this Amendment on behalf of Tenant represents to Landlord as follows: (i) Tenant is validly existing under the laws of the State of Delaware, (ii) Tenant has and is qualified to do business in California, (iii) Tenant has the full right and authority to enter into this Amendment, and (iv) each person signing on behalf of Tenant was and continues to be authorized to do so.</w:t>
      </w:r>
    </w:p>
    <w:p>
      <w:pPr>
        <w:spacing w:after="0" w:line="193" w:lineRule="exact"/>
        <w:rPr>
          <w:rFonts w:ascii="Times New Roman" w:cs="Times New Roman" w:eastAsia="Times New Roman" w:hAnsi="Times New Roman"/>
          <w:sz w:val="20"/>
          <w:szCs w:val="20"/>
          <w:color w:val="auto"/>
        </w:rPr>
      </w:pPr>
    </w:p>
    <w:p>
      <w:pPr>
        <w:ind w:left="200" w:right="219" w:firstLine="9"/>
        <w:spacing w:after="0" w:line="26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All defined terms used but not otherwise defined herein shall have the same meaning assigned to them in the Lease.</w:t>
      </w:r>
    </w:p>
    <w:p>
      <w:pPr>
        <w:spacing w:after="0" w:line="172" w:lineRule="exact"/>
        <w:rPr>
          <w:rFonts w:ascii="Times New Roman" w:cs="Times New Roman" w:eastAsia="Times New Roman" w:hAnsi="Times New Roman"/>
          <w:sz w:val="20"/>
          <w:szCs w:val="20"/>
          <w:color w:val="auto"/>
        </w:rPr>
      </w:pPr>
    </w:p>
    <w:p>
      <w:pPr>
        <w:jc w:val="both"/>
        <w:ind w:left="200" w:right="219" w:firstLine="9"/>
        <w:spacing w:after="0" w:line="254"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Lease</w:t>
      </w:r>
      <w:r>
        <w:rPr>
          <w:rFonts w:ascii="Times New Roman" w:cs="Times New Roman" w:eastAsia="Times New Roman" w:hAnsi="Times New Roman"/>
          <w:sz w:val="20"/>
          <w:szCs w:val="20"/>
          <w:color w:val="auto"/>
        </w:rPr>
        <w:t>. Except as amended hereby, the Lease shall remain in full force and effect in accordance with its terms and is hereby ratified. In the event of a conflict between the Lease and this Amendment, this Amendment shall control.</w:t>
      </w:r>
    </w:p>
    <w:p>
      <w:pPr>
        <w:spacing w:after="0" w:line="187" w:lineRule="exact"/>
        <w:rPr>
          <w:rFonts w:ascii="Times New Roman" w:cs="Times New Roman" w:eastAsia="Times New Roman" w:hAnsi="Times New Roman"/>
          <w:sz w:val="20"/>
          <w:szCs w:val="20"/>
          <w:color w:val="auto"/>
        </w:rPr>
      </w:pPr>
    </w:p>
    <w:p>
      <w:pPr>
        <w:jc w:val="both"/>
        <w:ind w:left="200" w:right="219" w:firstLine="9"/>
        <w:spacing w:after="0" w:line="254"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w:t>
      </w:r>
      <w:r>
        <w:rPr>
          <w:rFonts w:ascii="Times New Roman" w:cs="Times New Roman" w:eastAsia="Times New Roman" w:hAnsi="Times New Roman"/>
          <w:sz w:val="20"/>
          <w:szCs w:val="20"/>
          <w:color w:val="auto"/>
        </w:rPr>
        <w:t>. Landlord and Landlord's agents have made no representations or promises, express or implied, in connection with this Amendment except as expressly set forth herein and Tenant has not relied on any representations except as expressly set forth herein.</w:t>
      </w:r>
    </w:p>
    <w:p>
      <w:pPr>
        <w:spacing w:after="0" w:line="187"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the laws of the State of California.</w:t>
      </w:r>
    </w:p>
    <w:p>
      <w:pPr>
        <w:spacing w:after="0" w:line="229" w:lineRule="exact"/>
        <w:rPr>
          <w:rFonts w:ascii="Times New Roman" w:cs="Times New Roman" w:eastAsia="Times New Roman" w:hAnsi="Times New Roman"/>
          <w:sz w:val="20"/>
          <w:szCs w:val="20"/>
          <w:color w:val="auto"/>
        </w:rPr>
      </w:pPr>
    </w:p>
    <w:p>
      <w:pPr>
        <w:jc w:val="both"/>
        <w:ind w:left="200" w:right="219" w:firstLine="9"/>
        <w:spacing w:after="0" w:line="24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Lease, contains all of the agreements of the parties hereto with respect to any matter covered or mentioned in this Amendment or the Lease, and no prior agreement, understanding or representation pertaining to any such matter shall be effective for any purpose.</w:t>
      </w:r>
    </w:p>
    <w:p>
      <w:pPr>
        <w:spacing w:after="0" w:line="193" w:lineRule="exact"/>
        <w:rPr>
          <w:rFonts w:ascii="Times New Roman" w:cs="Times New Roman" w:eastAsia="Times New Roman" w:hAnsi="Times New Roman"/>
          <w:sz w:val="20"/>
          <w:szCs w:val="20"/>
          <w:color w:val="auto"/>
        </w:rPr>
      </w:pPr>
    </w:p>
    <w:p>
      <w:pPr>
        <w:jc w:val="both"/>
        <w:ind w:left="200" w:right="219" w:firstLine="9"/>
        <w:spacing w:after="0" w:line="246"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 determination that any provision of this Amendment is unenforceable or invalid shall not affect the enforceability or validity of any other provision hereof and any determination that the application of any provision of this Amendment to any person or circumstance is illegal or unenforceable shall not affect the enforceability or validity of such provision as it may apply to any other persons or circumstances.</w:t>
      </w:r>
    </w:p>
    <w:p>
      <w:pPr>
        <w:spacing w:after="0" w:line="198" w:lineRule="exact"/>
        <w:rPr>
          <w:rFonts w:ascii="Times New Roman" w:cs="Times New Roman" w:eastAsia="Times New Roman" w:hAnsi="Times New Roman"/>
          <w:sz w:val="20"/>
          <w:szCs w:val="20"/>
          <w:color w:val="auto"/>
        </w:rPr>
      </w:pPr>
    </w:p>
    <w:p>
      <w:pPr>
        <w:ind w:left="200" w:right="219" w:firstLine="9"/>
        <w:spacing w:after="0" w:line="26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Each exhibit attached to this Amendment is hereby incorporated into and made a part of this Amendment.</w:t>
      </w:r>
    </w:p>
    <w:p>
      <w:pPr>
        <w:spacing w:after="0" w:line="172" w:lineRule="exact"/>
        <w:rPr>
          <w:rFonts w:ascii="Times New Roman" w:cs="Times New Roman" w:eastAsia="Times New Roman" w:hAnsi="Times New Roman"/>
          <w:sz w:val="20"/>
          <w:szCs w:val="20"/>
          <w:color w:val="auto"/>
        </w:rPr>
      </w:pPr>
    </w:p>
    <w:p>
      <w:pPr>
        <w:ind w:left="200" w:right="219" w:firstLine="9"/>
        <w:spacing w:after="0" w:line="26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The section headings contained in this Amendment are for convenience only and shall in no way enlarge or limit the scope or meaning of the various and several sections hereof.</w:t>
      </w:r>
    </w:p>
    <w:p>
      <w:pPr>
        <w:spacing w:after="0" w:line="172" w:lineRule="exact"/>
        <w:rPr>
          <w:rFonts w:ascii="Times New Roman" w:cs="Times New Roman" w:eastAsia="Times New Roman" w:hAnsi="Times New Roman"/>
          <w:sz w:val="20"/>
          <w:szCs w:val="20"/>
          <w:color w:val="auto"/>
        </w:rPr>
      </w:pPr>
    </w:p>
    <w:p>
      <w:pPr>
        <w:ind w:left="200" w:right="219" w:firstLine="9"/>
        <w:spacing w:after="0" w:line="269"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terms and provisions hereof shall be binding upon and inure to the benefit of the parties hereto and their respective successors and assigns.</w:t>
      </w:r>
    </w:p>
    <w:p>
      <w:pPr>
        <w:spacing w:after="0" w:line="172" w:lineRule="exact"/>
        <w:rPr>
          <w:rFonts w:ascii="Times New Roman" w:cs="Times New Roman" w:eastAsia="Times New Roman" w:hAnsi="Times New Roman"/>
          <w:sz w:val="20"/>
          <w:szCs w:val="20"/>
          <w:color w:val="auto"/>
        </w:rPr>
      </w:pPr>
    </w:p>
    <w:p>
      <w:pPr>
        <w:jc w:val="both"/>
        <w:ind w:left="200" w:right="219" w:firstLine="9"/>
        <w:spacing w:after="0" w:line="246"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of Amendment Not Offer</w:t>
      </w:r>
      <w:r>
        <w:rPr>
          <w:rFonts w:ascii="Times New Roman" w:cs="Times New Roman" w:eastAsia="Times New Roman" w:hAnsi="Times New Roman"/>
          <w:sz w:val="20"/>
          <w:szCs w:val="20"/>
          <w:color w:val="auto"/>
        </w:rPr>
        <w:t>. The submission by Landlord to Tenant of this Amendment for Tenant's consideration shall have no binding force or effect, shall not constitute an option, and shall not confer any rights upon Tenant or impose any obligations upon Landlord irrespective of any reliance thereon, change of position or partial performance. This Amendment is effective and binding on Landlord only upon the execution and delivery of this Amendment by Landlord and Tenant.</w:t>
      </w:r>
    </w:p>
    <w:p>
      <w:pPr>
        <w:spacing w:after="0" w:line="198" w:lineRule="exact"/>
        <w:rPr>
          <w:rFonts w:ascii="Times New Roman" w:cs="Times New Roman" w:eastAsia="Times New Roman" w:hAnsi="Times New Roman"/>
          <w:sz w:val="20"/>
          <w:szCs w:val="20"/>
          <w:color w:val="auto"/>
        </w:rPr>
      </w:pPr>
    </w:p>
    <w:p>
      <w:pPr>
        <w:jc w:val="both"/>
        <w:ind w:left="200" w:right="219" w:firstLine="9"/>
        <w:spacing w:after="0" w:line="244" w:lineRule="auto"/>
        <w:tabs>
          <w:tab w:leader="none" w:pos="8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 Electronic Signatures</w:t>
      </w:r>
      <w:r>
        <w:rPr>
          <w:rFonts w:ascii="Times New Roman" w:cs="Times New Roman" w:eastAsia="Times New Roman" w:hAnsi="Times New Roman"/>
          <w:sz w:val="20"/>
          <w:szCs w:val="20"/>
          <w:color w:val="auto"/>
        </w:rPr>
        <w:t>. This Amendment may be executed in any number of counterparts with the same effect as if all parties hereto had signed the same document. Notwithstanding any law or presumption to the contrary, this Amendment may be executed electronically or by facsimile or pdf and each party has the right to rely upon an electronic, facsimile or pdf counterpart of this Amendment signed by the other party to the same extent as if such party had received an original counterpart, and such counterpart of this Amendment shall be deemed valid and binding and admissible by either party against the other as if same were an original ink signature.</w:t>
      </w: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2" w:name="page53"/>
    <w:bookmarkEnd w:id="52"/>
    <w:p>
      <w:pPr>
        <w:ind w:left="860"/>
        <w:spacing w:after="0"/>
        <w:rPr>
          <w:sz w:val="20"/>
          <w:szCs w:val="20"/>
          <w:color w:val="auto"/>
        </w:rPr>
      </w:pPr>
      <w:r>
        <w:rPr>
          <w:rFonts w:ascii="Times New Roman" w:cs="Times New Roman" w:eastAsia="Times New Roman" w:hAnsi="Times New Roman"/>
          <w:sz w:val="19"/>
          <w:szCs w:val="19"/>
          <w:color w:val="auto"/>
        </w:rPr>
        <w:t>IN WITNESS WHEREOF, the parties have executed this Amendment as of the date first set forth</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above.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BCORE DEFENDER CA1W03, LLC,</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/s/John V. Pharris</w:t>
            </w:r>
            <w:r>
              <w:rPr>
                <w:rFonts w:ascii="Times New Roman" w:cs="Times New Roman" w:eastAsia="Times New Roman" w:hAnsi="Times New Roman"/>
                <w:sz w:val="20"/>
                <w:szCs w:val="20"/>
                <w:color w:val="auto"/>
              </w:rPr>
              <w: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10"/>
        </w:trPr>
        <w:tc>
          <w:tcPr>
            <w:tcW w:w="256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Name: John V. Pharris ​</w:t>
            </w:r>
          </w:p>
        </w:tc>
        <w:tc>
          <w:tcPr>
            <w:tcW w:w="66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56"/>
        </w:trPr>
        <w:tc>
          <w:tcPr>
            <w:tcW w:w="25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-174625</wp:posOffset>
            </wp:positionV>
            <wp:extent cx="374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7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AEROVIRONMENT, INC.,</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/s/Melissa Brown</w:t>
            </w:r>
            <w:r>
              <w:rPr>
                <w:rFonts w:ascii="Times New Roman" w:cs="Times New Roman" w:eastAsia="Times New Roman" w:hAnsi="Times New Roman"/>
                <w:sz w:val="20"/>
                <w:szCs w:val="20"/>
                <w:color w:val="auto"/>
              </w:rPr>
              <w:t>​  ​</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10"/>
        </w:trPr>
        <w:tc>
          <w:tcPr>
            <w:tcW w:w="25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Name: Melissa Brown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_</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SVP, General 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TENANT WORK</w:t>
      </w:r>
    </w:p>
    <w:p>
      <w:pPr>
        <w:spacing w:after="0" w:line="233" w:lineRule="exact"/>
        <w:rPr>
          <w:sz w:val="20"/>
          <w:szCs w:val="20"/>
          <w:color w:val="auto"/>
        </w:rPr>
      </w:pPr>
    </w:p>
    <w:p>
      <w:pPr>
        <w:ind w:left="860" w:hanging="651"/>
        <w:spacing w:after="0"/>
        <w:tabs>
          <w:tab w:leader="none" w:pos="8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Work; Completion by Tenant; Allowance.</w:t>
      </w:r>
    </w:p>
    <w:p>
      <w:pPr>
        <w:spacing w:after="0" w:line="229" w:lineRule="exact"/>
        <w:rPr>
          <w:rFonts w:ascii="Times New Roman" w:cs="Times New Roman" w:eastAsia="Times New Roman" w:hAnsi="Times New Roman"/>
          <w:sz w:val="20"/>
          <w:szCs w:val="20"/>
          <w:color w:val="auto"/>
        </w:rPr>
      </w:pPr>
    </w:p>
    <w:p>
      <w:pPr>
        <w:jc w:val="both"/>
        <w:ind w:left="200" w:right="219" w:firstLine="657"/>
        <w:spacing w:after="0" w:line="241" w:lineRule="auto"/>
        <w:tabs>
          <w:tab w:leader="none" w:pos="149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and its contractor(s), at Tenant's sole cost and expense, shall complete improvements to the Premises in accordance with </w:t>
      </w:r>
      <w:r>
        <w:rPr>
          <w:rFonts w:ascii="Times New Roman" w:cs="Times New Roman" w:eastAsia="Times New Roman" w:hAnsi="Times New Roman"/>
          <w:sz w:val="20"/>
          <w:szCs w:val="20"/>
          <w:u w:val="single" w:color="auto"/>
          <w:color w:val="auto"/>
        </w:rPr>
        <w:t>Schedule A1</w:t>
      </w:r>
      <w:r>
        <w:rPr>
          <w:rFonts w:ascii="Times New Roman" w:cs="Times New Roman" w:eastAsia="Times New Roman" w:hAnsi="Times New Roman"/>
          <w:sz w:val="20"/>
          <w:szCs w:val="20"/>
          <w:color w:val="auto"/>
        </w:rPr>
        <w:t xml:space="preserve"> attached hereto (the "Tenant Work"), which is hereby approved by Landlord subject to Tenant's compliance with the "Alterations; Liens" Section of the Lease (including obtaining Landlord's approval of the final plans therefor). The Tenant Work shall constitute Alterations for all purposes under the Lease, and Tenant shall comply with the terms of the "Alterations; Liens" Section of the Lease in performing the Tenant Work. Any approval by Landlord of the Tenant Work or the documents set forth in Schedule A1 attached hereto shall not be a representation or warranty of Landlord that the Tenant Work or such documents are adequate for any use or comply with applicable insurance requirements, but shall merely be the consent of Landlord thereto. Tenant shall be responsible for all elements of the design of the Tenant Work (including without limitation, compliance with law, functionality of design, the structural integrity of the design, the configuration of the Premises and the placement of the Tenant's Property). The Tenant Work shall be performed in such a manner and at such times as do not to interfere with the operation of the Building. Tenant shall expeditiously, diligently and in good faith use its commercially reasonable efforts to cause the Tenant Work to be commenced promptly after the date hereof and to be completed promptly after the date hereof. Any warranties from Tenant's contractor(s) shall be for the benefit of Landlord as well as Tenant and Tenant shall deliver such warranties to Landlord upon receipt.</w:t>
      </w:r>
    </w:p>
    <w:p>
      <w:pPr>
        <w:spacing w:after="0" w:line="205"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Tenant is not then in default under the Lease, within 30 days after the date of Landlord's receipt of all of the Tenant Deliverables (as herein defined), Landlord shall reimburse Tenant for the cost therefor in an amount (the "Allowance") equal to the lesser of (i) $105,083.00 (plus the Additional Allowance as defined in subsection (c) below, if applicable), or (ii) the reasonable, documented and out-of-pocket costs actually incurred by Tenant in connection with the construction of the Tenant Work (the "Tenant's Cost"), provided Landlord will not reimburse for any furniture or equipment. For purposes hereof, the "Tenant Deliverables" shall mean: (1) bona fide, third party invoices for the actual, out-of-pocket costs of constructing the Tenant Work; (2) full and final waivers of lien from all persons performing work or supplying or fabricating materials in connection with the Tenant Work fully executed and in recordable form; and (3) as-built plans of the Tenant Work. Subject to subsection (c) below, Landlord shall have no further obligations to pay for any costs incurred in connection with the Tenant Work. No reimbursement of the Allowance, or, if applicable, the Additional Allowance, shall be made by Landlord until Tenant has first paid to, as applicable, the general contractor, architects, engineers, and other consultants, from Tenant's own funds (and provided reasonable evidence thereof to Landlord) the anticipated amount by which the Tenant's Cost exceeds the amount of the Allowance, and, if applicable, Additional Allowance. Notwithstanding the foregoing, if, on or before November 1, 2024, all Tenant Deliverables have not been submitted to Landlord then this subsection (b) shall be deemed terminated and of no further force or effect and Landlord shall have no obligation to reimburse Tenant as set forth herein. Subject to the foregoing, in the event that, following completion of the Tenant Work, any portion of the Allowance remains unexpended after payment of all costs and expenses incurred in connection with the Tenant Work, up to the entire remaining amount of the Allowance shall, upon Landlord's receipt of written request from Tenant on or before November 1, 2024, be applied by Landlord as a credit against Base Rent next due and payable under the Lease, as amended.</w:t>
      </w:r>
    </w:p>
    <w:p>
      <w:pPr>
        <w:spacing w:after="0" w:line="191" w:lineRule="exact"/>
        <w:rPr>
          <w:rFonts w:ascii="Times New Roman" w:cs="Times New Roman" w:eastAsia="Times New Roman" w:hAnsi="Times New Roman"/>
          <w:sz w:val="19"/>
          <w:szCs w:val="19"/>
          <w:color w:val="auto"/>
        </w:rPr>
      </w:pPr>
    </w:p>
    <w:p>
      <w:pPr>
        <w:jc w:val="both"/>
        <w:ind w:left="200" w:right="219" w:firstLine="657"/>
        <w:spacing w:after="0" w:line="254" w:lineRule="auto"/>
        <w:tabs>
          <w:tab w:leader="none" w:pos="149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is not in default at the time Tenant notifies Landlord of its election to receive the Additional Allowance, and the cost of the Tenant Work exceeds the Allowance, Tenant shall have the right to receive an additional allowance of up to $105,083.00 (the "Additional Allowance") to be applied toward</w:t>
      </w: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4" w:name="page55"/>
    <w:bookmarkEnd w:id="54"/>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the cost of the Tenant Work. If Tenant elects to receive the Additional Allowance, Tenant shall provide Landlord written notice of such election prior to November 1, 2024. In the event Landlord provides any portion of the Additional Allowance, Base Rent payable with respect to the Premises shall be increased by an amount which will fully amortize the actual Additional Allowance paid by Landlord over the Term of the Lease, as extended, commencing on the first day of the calendar month following Tenant's election to receive the Additional Allowance, and Landlord and Tenant shall enter into an amendment of the Lease to reflect such increase in Base Rent; provided that such increase shall be effective whether or not an amendment is executed. In the event that the Lease or Tenant's right to possession is terminated as a result of an Event of Default by Tenant, the entire unamortized balance of the Additional Allowance paid by Landlord shall become immediately due and payable and, except to the extent required by Applicable Law, shall not be subject to mitigation or reduction in connection with a reletting of the Premises by Landlord.</w:t>
      </w:r>
    </w:p>
    <w:p>
      <w:pPr>
        <w:spacing w:after="0" w:line="6" w:lineRule="exact"/>
        <w:rPr>
          <w:sz w:val="20"/>
          <w:szCs w:val="20"/>
          <w:color w:val="auto"/>
        </w:rPr>
      </w:pPr>
    </w:p>
    <w:p>
      <w:pPr>
        <w:jc w:val="both"/>
        <w:ind w:left="200" w:right="219" w:firstLine="106"/>
        <w:spacing w:after="0" w:line="246" w:lineRule="auto"/>
        <w:rPr>
          <w:sz w:val="20"/>
          <w:szCs w:val="20"/>
          <w:color w:val="auto"/>
        </w:rPr>
      </w:pPr>
      <w:r>
        <w:rPr>
          <w:rFonts w:ascii="Times New Roman" w:cs="Times New Roman" w:eastAsia="Times New Roman" w:hAnsi="Times New Roman"/>
          <w:sz w:val="20"/>
          <w:szCs w:val="20"/>
          <w:color w:val="auto"/>
        </w:rPr>
        <w:t>Landlord shall disburse the Additional Allowance, if applicable, in accordance with the terms and conditions as are provided for herein with respect to the Allowance.</w:t>
      </w:r>
    </w:p>
    <w:p>
      <w:pPr>
        <w:spacing w:after="0" w:line="195" w:lineRule="exact"/>
        <w:rPr>
          <w:sz w:val="20"/>
          <w:szCs w:val="20"/>
          <w:color w:val="auto"/>
        </w:rPr>
      </w:pPr>
    </w:p>
    <w:p>
      <w:pPr>
        <w:jc w:val="both"/>
        <w:ind w:left="200" w:right="219" w:firstLine="657"/>
        <w:spacing w:after="0" w:line="245" w:lineRule="auto"/>
        <w:tabs>
          <w:tab w:leader="none" w:pos="14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indemnify, protect, defend (by counsel acceptable to Landlord) and hold harmless Landlord and the Indemnitees from and against Losses, which may be imposed upon, incurred or suffered by or asserted against Landlord or any of the Indemnitees at any time prior to, during or after the Term arising out of or in connection with the Tenant Work, except to the extent caused by Landlord's gross negligence or willful misconduct. The obligations of Tenant under this subsection shall survive the Lease Expiration Date, as extended hereby.</w:t>
      </w:r>
    </w:p>
    <w:p>
      <w:pPr>
        <w:spacing w:after="0" w:line="197"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agrees to accept the Premises in its "as-is" condition and configuration, it being agreed that Landlord shall not be required to perform any work or incur any costs in connection with the construction or demolition of any improvements in the Premises, other than payment of the Allowance, and, if applicable, Additional Allowance, subject to the conditions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SCOPE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169545</wp:posOffset>
            </wp:positionV>
            <wp:extent cx="5349240" cy="6172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34924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49240" cy="6163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349240" cy="616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233" w:lineRule="exact"/>
        <w:rPr>
          <w:sz w:val="20"/>
          <w:szCs w:val="20"/>
          <w:color w:val="auto"/>
        </w:rPr>
      </w:pPr>
    </w:p>
    <w:p>
      <w:pPr>
        <w:jc w:val="both"/>
        <w:ind w:firstLine="635"/>
        <w:spacing w:after="0" w:line="244" w:lineRule="auto"/>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October 30, 2023, is by and between Tomahawk Robotics, Inc., a Delaware corporation (the “</w:t>
      </w:r>
      <w:r>
        <w:rPr>
          <w:rFonts w:ascii="Times New Roman" w:cs="Times New Roman" w:eastAsia="Times New Roman" w:hAnsi="Times New Roman"/>
          <w:sz w:val="20"/>
          <w:szCs w:val="20"/>
          <w:u w:val="single" w:color="auto"/>
          <w:color w:val="auto"/>
        </w:rPr>
        <w:t>New Subsidiary</w:t>
      </w:r>
      <w:r>
        <w:rPr>
          <w:rFonts w:ascii="Times New Roman" w:cs="Times New Roman" w:eastAsia="Times New Roman" w:hAnsi="Times New Roman"/>
          <w:sz w:val="20"/>
          <w:szCs w:val="20"/>
          <w:color w:val="auto"/>
        </w:rPr>
        <w:t>”), and Bank of America, N.A., in its capacity as the Administrative Agent under that certain Credit Agreement, dated as of February 19, 2021 (as amended, restated, amended and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terms defined therein being used herein as therein defined), by and among the AeroVironment, Inc., a Delaware corporation, the Guarantors party thereto, the Lenders from time to time party thereto, Bank of America, N.A., as the Administrative Agent, the Swingline Lender, and an L/C Issuer, and the other L/C Issuers party thereto.</w:t>
      </w:r>
    </w:p>
    <w:p>
      <w:pPr>
        <w:spacing w:after="0" w:line="186"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20"/>
          <w:szCs w:val="20"/>
          <w:color w:val="auto"/>
        </w:rPr>
        <w:t>The Loan Parties are required by Section 6.12 of the Credit Agreement to cause the New Subsidiary to become a Guarantor. Accordingly, the New Subsidiary hereby agrees as follows with the Administrative Agent, for the benefit of the Secured Parties:</w:t>
      </w:r>
    </w:p>
    <w:p>
      <w:pPr>
        <w:spacing w:after="0" w:line="188" w:lineRule="exact"/>
        <w:rPr>
          <w:sz w:val="20"/>
          <w:szCs w:val="20"/>
          <w:color w:val="auto"/>
        </w:rPr>
      </w:pPr>
    </w:p>
    <w:p>
      <w:pPr>
        <w:jc w:val="both"/>
        <w:ind w:firstLine="647"/>
        <w:spacing w:after="0" w:line="243"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acknowledges, agrees and confirms that,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each Secured Party, as provided in Article X of the Credit Agreement, the prompt payment when due, whether at stated maturity, by required prepayment, upon acceleration, demand or otherwise, and at all times thereafter, of any and all Secured Obligations strictly in accordance with the terms thereof.</w:t>
      </w:r>
    </w:p>
    <w:p>
      <w:pPr>
        <w:spacing w:after="0" w:line="185" w:lineRule="exact"/>
        <w:rPr>
          <w:rFonts w:ascii="Times New Roman" w:cs="Times New Roman" w:eastAsia="Times New Roman" w:hAnsi="Times New Roman"/>
          <w:sz w:val="20"/>
          <w:szCs w:val="20"/>
          <w:color w:val="auto"/>
        </w:rPr>
      </w:pPr>
    </w:p>
    <w:p>
      <w:pPr>
        <w:jc w:val="both"/>
        <w:ind w:firstLine="647"/>
        <w:spacing w:after="0" w:line="243" w:lineRule="auto"/>
        <w:tabs>
          <w:tab w:leader="none" w:pos="12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acknowledges, agrees and confirms that, by its execution of this Agreement, the New Subsidiary will be deemed to be a party to the Security Agreement, and shall have all the obligations of an “Obligor” (as such term is defined in the Security Agreement) thereunder as if it had executed the Security Agreement. The New Subsidiary hereby ratifies, as of the date hereof, and agrees to be bound by, all of the terms, provisions and conditions contained in the Security Agreement. Without limiting generality of the foregoing terms of this paragraph 2, the New Subsidiary hereby grants to the Administrative Agent, for the benefit of the Secured Parties, a continuing security interest in, and a right of set off against, any and all right, title and interest of the New Subsidiary in and to the Collateral (as such term is defined in the Security Agreement) of the New Subsidiary.</w:t>
      </w:r>
    </w:p>
    <w:p>
      <w:pPr>
        <w:spacing w:after="0" w:line="189" w:lineRule="exact"/>
        <w:rPr>
          <w:rFonts w:ascii="Times New Roman" w:cs="Times New Roman" w:eastAsia="Times New Roman" w:hAnsi="Times New Roman"/>
          <w:sz w:val="20"/>
          <w:szCs w:val="20"/>
          <w:color w:val="auto"/>
        </w:rPr>
      </w:pPr>
    </w:p>
    <w:p>
      <w:pPr>
        <w:ind w:left="1300" w:hanging="653"/>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represents and warrants to the Administrative Agent, for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of the Secured Parties, that:</w:t>
      </w:r>
    </w:p>
    <w:p>
      <w:pPr>
        <w:spacing w:after="0" w:line="200" w:lineRule="exact"/>
        <w:rPr>
          <w:sz w:val="20"/>
          <w:szCs w:val="20"/>
          <w:color w:val="auto"/>
        </w:rPr>
      </w:pPr>
    </w:p>
    <w:p>
      <w:pPr>
        <w:jc w:val="both"/>
        <w:ind w:left="660" w:firstLine="644"/>
        <w:spacing w:after="0" w:line="246" w:lineRule="auto"/>
        <w:tabs>
          <w:tab w:leader="none" w:pos="195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is complete and accurate list as of the date hereof of (i) each Subsidiary, joint venture and partnership and other equity investments of the New Subsidiary, (ii) the number of shares of each class of Equity Interests in each such Subsidiary outstanding, (iii) the number and percentage of outstanding shares of each class of Equity Interests of such Subsidiary owned by the New Subsidiary and its Subsidiaries, and (iv) the class or nature of such Equity Interests (i.e. voting, non-voting, preferred, etc.).</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hereto is a complete and accurate list as of the date hereof of the New Subsidiary’s (i) exact legal name, (ii) any former legal names in the four (4) months prior to the Closing Date,</w:t>
      </w:r>
    </w:p>
    <w:p>
      <w:pPr>
        <w:spacing w:after="0" w:line="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jurisdictions in which such Loan Party is qualified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58" w:name="page59"/>
    <w:bookmarkEnd w:id="58"/>
    <w:p>
      <w:pPr>
        <w:jc w:val="both"/>
        <w:ind w:left="200"/>
        <w:spacing w:after="0" w:line="254" w:lineRule="auto"/>
        <w:rPr>
          <w:sz w:val="20"/>
          <w:szCs w:val="20"/>
          <w:color w:val="auto"/>
        </w:rPr>
      </w:pPr>
      <w:r>
        <w:rPr>
          <w:rFonts w:ascii="Times New Roman" w:cs="Times New Roman" w:eastAsia="Times New Roman" w:hAnsi="Times New Roman"/>
          <w:sz w:val="20"/>
          <w:szCs w:val="20"/>
          <w:color w:val="auto"/>
        </w:rPr>
        <w:t>business, (iv) address of its chief executive office address (and address of its principal place of business address if different than its chief executive office), (v) U.S. federal taxpayer identification number, and (vi) organization identification number.</w:t>
      </w:r>
    </w:p>
    <w:p>
      <w:pPr>
        <w:spacing w:after="0" w:line="174" w:lineRule="exact"/>
        <w:rPr>
          <w:sz w:val="20"/>
          <w:szCs w:val="20"/>
          <w:color w:val="auto"/>
        </w:rPr>
      </w:pPr>
    </w:p>
    <w:p>
      <w:pPr>
        <w:jc w:val="both"/>
        <w:ind w:left="200" w:firstLine="644"/>
        <w:spacing w:after="0" w:line="245"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attached hereto is a list of all Intellectual Property registered or pending registration with the United States Copyright Office or the United States Patent and Trademark Office and owned by the New Subsidiary as of the date hereof. As of the date hereof, none of the Intellectual Property owned by the New Subsidiary or any of its Subsidiaries is subject to any licensing agreement or similar arrangement (other than non-exclusive outbound licenses entered into in the ordinary course of business) except as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attached hereto.</w:t>
      </w:r>
    </w:p>
    <w:p>
      <w:pPr>
        <w:spacing w:after="0" w:line="197"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 as of the date hereof, is a description of all deposit accounts and securities accounts of the New Subsidiary, including (i) in the case of a deposit account, the name of the depository institution and balance (as of the date hereof), held in such deposit account and whether such account is an Excluded Account, and (ii) in the case of a securities account, the name of the securities intermediary or issuer and the aggregate market value (as of the date hereof) held in such securities account.</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9"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attached hereto is a list of all real property located in the United States that is owned or leased by the New Subsidiary as of the date hereof (in each case, including (i) the number of buildings located on such property, (ii) the property address, and (iii) the city, county, state and zip code which such property is located.</w:t>
      </w:r>
    </w:p>
    <w:p>
      <w:pPr>
        <w:spacing w:after="0" w:line="179"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attached hereto is a list of all Commercial Tort Claims (as defined in the Security Agreement) initiated by or in favor of the New Subsidiary seeking damages in excess of $1,000,000 as of the date hereof.</w:t>
      </w:r>
    </w:p>
    <w:p>
      <w:pPr>
        <w:spacing w:after="0" w:line="187"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7</w:t>
      </w:r>
      <w:r>
        <w:rPr>
          <w:rFonts w:ascii="Times New Roman" w:cs="Times New Roman" w:eastAsia="Times New Roman" w:hAnsi="Times New Roman"/>
          <w:sz w:val="20"/>
          <w:szCs w:val="20"/>
          <w:color w:val="auto"/>
        </w:rPr>
        <w:t xml:space="preserve"> attached hereto is a list of all Instruments, Documents or Tangible Chattel Paper (each as defined in the Security Agreement) of the New Subsidiary required to be pledged and delivered to the Administrative Agent pursuant to Section 4(a) of the Security Agreement.</w:t>
      </w:r>
    </w:p>
    <w:p>
      <w:pPr>
        <w:spacing w:after="0" w:line="17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xml:space="preserve"> attached hereto, the New Subsidiary has not (i) been party to a merger, consolidation or other change in structure, (ii) used any tradename, or (iii) changed its legal name, in each case, in the five (5) years prior to the date hereof.</w:t>
      </w:r>
    </w:p>
    <w:p>
      <w:pPr>
        <w:spacing w:after="0" w:line="174" w:lineRule="exact"/>
        <w:rPr>
          <w:rFonts w:ascii="Times New Roman" w:cs="Times New Roman" w:eastAsia="Times New Roman" w:hAnsi="Times New Roman"/>
          <w:sz w:val="20"/>
          <w:szCs w:val="20"/>
          <w:color w:val="auto"/>
        </w:rPr>
      </w:pPr>
    </w:p>
    <w:p>
      <w:pPr>
        <w:jc w:val="both"/>
        <w:ind w:left="-460" w:firstLine="647"/>
        <w:spacing w:after="0" w:line="254" w:lineRule="auto"/>
        <w:tabs>
          <w:tab w:leader="none" w:pos="8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the New Subsidiary for purposes of all notices and other communications is the address designated for all Loan Parties on Schedule 1.01(a) to the Credit Agreement or such other address as the New Subsidiary may from time to time notify the Administrative Agent in writing.</w:t>
      </w:r>
    </w:p>
    <w:p>
      <w:pPr>
        <w:spacing w:after="0" w:line="187" w:lineRule="exact"/>
        <w:rPr>
          <w:rFonts w:ascii="Times New Roman" w:cs="Times New Roman" w:eastAsia="Times New Roman" w:hAnsi="Times New Roman"/>
          <w:sz w:val="20"/>
          <w:szCs w:val="20"/>
          <w:color w:val="auto"/>
        </w:rPr>
      </w:pPr>
    </w:p>
    <w:p>
      <w:pPr>
        <w:jc w:val="both"/>
        <w:ind w:left="-460" w:firstLine="647"/>
        <w:spacing w:after="0" w:line="254" w:lineRule="auto"/>
        <w:tabs>
          <w:tab w:leader="none" w:pos="8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waives acceptance by the Administrative Agent and the other Secured Parties of the guaranty by the New Subsidiary under Article X of the Credit Agreement upon the execution of this Agreement by the New Subsidiary.</w:t>
      </w:r>
    </w:p>
    <w:p>
      <w:pPr>
        <w:spacing w:after="0" w:line="174" w:lineRule="exact"/>
        <w:rPr>
          <w:rFonts w:ascii="Times New Roman" w:cs="Times New Roman" w:eastAsia="Times New Roman" w:hAnsi="Times New Roman"/>
          <w:sz w:val="20"/>
          <w:szCs w:val="20"/>
          <w:color w:val="auto"/>
        </w:rPr>
      </w:pPr>
    </w:p>
    <w:p>
      <w:pPr>
        <w:jc w:val="both"/>
        <w:ind w:left="-460" w:firstLine="647"/>
        <w:spacing w:after="0" w:line="245" w:lineRule="auto"/>
        <w:tabs>
          <w:tab w:leader="none" w:pos="83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Subject to Section 11.18 of the Credit Agreement, this Agreement may be in the form of an Electronic Record and may be executed using Electronic Signatures,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483235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59" w:name="page60"/>
    <w:bookmarkEnd w:id="59"/>
    <w:p>
      <w:pPr>
        <w:spacing w:after="0" w:line="269" w:lineRule="auto"/>
        <w:rPr>
          <w:sz w:val="20"/>
          <w:szCs w:val="20"/>
          <w:color w:val="auto"/>
        </w:rPr>
      </w:pPr>
      <w:r>
        <w:rPr>
          <w:rFonts w:ascii="Times New Roman" w:cs="Times New Roman" w:eastAsia="Times New Roman" w:hAnsi="Times New Roman"/>
          <w:sz w:val="20"/>
          <w:szCs w:val="20"/>
          <w:color w:val="auto"/>
        </w:rPr>
        <w:t>facsimile and .pdf, and shall be considered an original, and shall have the same legal effect, validity and enforceability as a paper record.</w:t>
      </w:r>
    </w:p>
    <w:p>
      <w:pPr>
        <w:spacing w:after="0" w:line="159" w:lineRule="exact"/>
        <w:rPr>
          <w:sz w:val="20"/>
          <w:szCs w:val="20"/>
          <w:color w:val="auto"/>
        </w:rPr>
      </w:pPr>
    </w:p>
    <w:p>
      <w:pPr>
        <w:jc w:val="both"/>
        <w:ind w:firstLine="647"/>
        <w:spacing w:after="0" w:line="249"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505460</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0" w:name="page61"/>
    <w:bookmarkEnd w:id="60"/>
    <w:p>
      <w:pPr>
        <w:jc w:val="both"/>
        <w:ind w:firstLine="647"/>
        <w:spacing w:after="0" w:line="254" w:lineRule="auto"/>
        <w:rPr>
          <w:sz w:val="20"/>
          <w:szCs w:val="20"/>
          <w:color w:val="auto"/>
        </w:rPr>
      </w:pPr>
      <w:r>
        <w:rPr>
          <w:rFonts w:ascii="Times New Roman" w:cs="Times New Roman" w:eastAsia="Times New Roman" w:hAnsi="Times New Roman"/>
          <w:sz w:val="20"/>
          <w:szCs w:val="20"/>
          <w:color w:val="auto"/>
        </w:rPr>
        <w:t>IN WITNESS WHEREOF, the New Subsidiary has caused this Agreement to be duly executed by an authorized officer, and the Administrative Agent has caused the same to be accepted by an authorized officer, in each case, as of the day and year first written above.</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TOMAHAWK ROBOTICS,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Truesdell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Bradley Truesdell</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1" w:name="page62"/>
    <w:bookmarkEnd w:id="61"/>
    <w:p>
      <w:pPr>
        <w:ind w:left="462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62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Rose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wp:posOffset>
            </wp:positionV>
            <wp:extent cx="2940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Rose Thomas</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Title: AVP Agency Management Officer II</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749935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Subsidiaries, Joint Ventures, Partnerships and Other Equity Investments</w:t>
      </w: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596900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2</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New Subsidiary Information</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680" w:type="dxa"/>
            <w:vAlign w:val="bottom"/>
            <w:tcBorders>
              <w:top w:val="single" w:sz="8" w:color="auto"/>
              <w:left w:val="single" w:sz="8" w:color="auto"/>
              <w:right w:val="single" w:sz="8" w:color="auto"/>
            </w:tcBorders>
          </w:tcPr>
          <w:p>
            <w:pPr>
              <w:ind w:left="16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1620" w:type="dxa"/>
            <w:vAlign w:val="bottom"/>
            <w:tcBorders>
              <w:top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Former Legal</w:t>
            </w:r>
          </w:p>
        </w:tc>
        <w:tc>
          <w:tcPr>
            <w:tcW w:w="1660" w:type="dxa"/>
            <w:vAlign w:val="bottom"/>
            <w:tcBorders>
              <w:top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Jurisdictions</w:t>
            </w:r>
          </w:p>
        </w:tc>
        <w:tc>
          <w:tcPr>
            <w:tcW w:w="1660" w:type="dxa"/>
            <w:vAlign w:val="bottom"/>
            <w:tcBorders>
              <w:top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Chief</w:t>
            </w:r>
          </w:p>
        </w:tc>
        <w:tc>
          <w:tcPr>
            <w:tcW w:w="1640" w:type="dxa"/>
            <w:vAlign w:val="bottom"/>
            <w:tcBorders>
              <w:top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US Federal</w:t>
            </w:r>
          </w:p>
        </w:tc>
        <w:tc>
          <w:tcPr>
            <w:tcW w:w="1680" w:type="dxa"/>
            <w:vAlign w:val="bottom"/>
            <w:tcBorders>
              <w:top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Organization</w:t>
            </w: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Name</w:t>
            </w: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Qualified to do</w:t>
            </w: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Executive</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Taxpayer ID</w:t>
            </w:r>
          </w:p>
        </w:tc>
        <w:tc>
          <w:tcPr>
            <w:tcW w:w="1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Identification</w:t>
            </w:r>
          </w:p>
        </w:tc>
      </w:tr>
      <w:tr>
        <w:trPr>
          <w:trHeight w:val="252"/>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Office</w:t>
            </w:r>
          </w:p>
        </w:tc>
        <w:tc>
          <w:tcPr>
            <w:tcW w:w="16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Number</w:t>
            </w:r>
          </w:p>
        </w:tc>
        <w:tc>
          <w:tcPr>
            <w:tcW w:w="16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Number</w:t>
            </w:r>
          </w:p>
        </w:tc>
      </w:tr>
      <w:tr>
        <w:trPr>
          <w:trHeight w:val="200"/>
        </w:trPr>
        <w:tc>
          <w:tcPr>
            <w:tcW w:w="1680" w:type="dxa"/>
            <w:vAlign w:val="bottom"/>
            <w:tcBorders>
              <w:left w:val="single" w:sz="8" w:color="auto"/>
              <w:right w:val="single" w:sz="8" w:color="auto"/>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Tomahawk</w:t>
            </w:r>
          </w:p>
        </w:tc>
        <w:tc>
          <w:tcPr>
            <w:tcW w:w="162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N/A</w:t>
            </w:r>
          </w:p>
        </w:tc>
        <w:tc>
          <w:tcPr>
            <w:tcW w:w="166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Delaware,</w:t>
            </w:r>
          </w:p>
        </w:tc>
        <w:tc>
          <w:tcPr>
            <w:tcW w:w="166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2326 Irwin</w:t>
            </w:r>
          </w:p>
        </w:tc>
        <w:tc>
          <w:tcPr>
            <w:tcW w:w="164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83-3905852</w:t>
            </w:r>
          </w:p>
        </w:tc>
        <w:tc>
          <w:tcPr>
            <w:tcW w:w="16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7066184</w:t>
            </w:r>
          </w:p>
        </w:tc>
      </w:tr>
      <w:tr>
        <w:trPr>
          <w:trHeight w:val="230"/>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Robotics, Inc.</w:t>
            </w:r>
          </w:p>
        </w:tc>
        <w:tc>
          <w:tcPr>
            <w:tcW w:w="16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Florida</w:t>
            </w: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Street,</w:t>
            </w:r>
          </w:p>
        </w:tc>
        <w:tc>
          <w:tcPr>
            <w:tcW w:w="16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29"/>
        </w:trPr>
        <w:tc>
          <w:tcPr>
            <w:tcW w:w="168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Melbourne,</w:t>
            </w:r>
          </w:p>
        </w:tc>
        <w:tc>
          <w:tcPr>
            <w:tcW w:w="16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52"/>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FL, 32901</w:t>
            </w:r>
          </w:p>
        </w:tc>
        <w:tc>
          <w:tcPr>
            <w:tcW w:w="16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1229"/>
        </w:trPr>
        <w:tc>
          <w:tcPr>
            <w:tcW w:w="1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873" w:right="97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3</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Trademarks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280" w:type="dxa"/>
            <w:vAlign w:val="bottom"/>
            <w:tcBorders>
              <w:top w:val="single" w:sz="8" w:color="auto"/>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20"/>
                <w:szCs w:val="20"/>
                <w:b w:val="1"/>
                <w:bCs w:val="1"/>
                <w:color w:val="auto"/>
              </w:rPr>
              <w:t>Mark</w:t>
            </w:r>
          </w:p>
        </w:tc>
        <w:tc>
          <w:tcPr>
            <w:tcW w:w="1660" w:type="dxa"/>
            <w:vAlign w:val="bottom"/>
            <w:tcBorders>
              <w:top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Serial Number</w:t>
            </w:r>
          </w:p>
        </w:tc>
        <w:tc>
          <w:tcPr>
            <w:tcW w:w="1740" w:type="dxa"/>
            <w:vAlign w:val="bottom"/>
            <w:tcBorders>
              <w:top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Filing Date</w:t>
            </w:r>
          </w:p>
        </w:tc>
        <w:tc>
          <w:tcPr>
            <w:tcW w:w="1840" w:type="dxa"/>
            <w:vAlign w:val="bottom"/>
            <w:tcBorders>
              <w:top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Registration</w:t>
            </w:r>
          </w:p>
        </w:tc>
        <w:tc>
          <w:tcPr>
            <w:tcW w:w="1420" w:type="dxa"/>
            <w:vAlign w:val="bottom"/>
            <w:tcBorders>
              <w:top w:val="single" w:sz="8" w:color="auto"/>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0"/>
                <w:szCs w:val="20"/>
                <w:b w:val="1"/>
                <w:bCs w:val="1"/>
                <w:color w:val="auto"/>
              </w:rPr>
              <w:t>Registration</w:t>
            </w:r>
          </w:p>
        </w:tc>
      </w:tr>
      <w:tr>
        <w:trPr>
          <w:trHeight w:val="256"/>
        </w:trPr>
        <w:tc>
          <w:tcPr>
            <w:tcW w:w="3280" w:type="dxa"/>
            <w:vAlign w:val="bottom"/>
            <w:tcBorders>
              <w:left w:val="single" w:sz="8" w:color="auto"/>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252"/>
        </w:trPr>
        <w:tc>
          <w:tcPr>
            <w:tcW w:w="32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88215764</w:t>
            </w:r>
          </w:p>
        </w:tc>
        <w:tc>
          <w:tcPr>
            <w:tcW w:w="1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12/04/2018</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6185761</w:t>
            </w:r>
          </w:p>
        </w:tc>
        <w:tc>
          <w:tcPr>
            <w:tcW w:w="1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10/27/2020</w:t>
            </w:r>
          </w:p>
        </w:tc>
      </w:tr>
      <w:tr>
        <w:trPr>
          <w:trHeight w:val="349"/>
        </w:trPr>
        <w:tc>
          <w:tcPr>
            <w:tcW w:w="32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252"/>
        </w:trPr>
        <w:tc>
          <w:tcPr>
            <w:tcW w:w="32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88215775</w:t>
            </w:r>
          </w:p>
        </w:tc>
        <w:tc>
          <w:tcPr>
            <w:tcW w:w="1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12/04/2018</w:t>
            </w: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6522848</w:t>
            </w:r>
          </w:p>
        </w:tc>
        <w:tc>
          <w:tcPr>
            <w:tcW w:w="14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10/29/2021</w:t>
            </w:r>
          </w:p>
        </w:tc>
      </w:tr>
      <w:tr>
        <w:trPr>
          <w:trHeight w:val="606"/>
        </w:trPr>
        <w:tc>
          <w:tcPr>
            <w:tcW w:w="32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-934085</wp:posOffset>
            </wp:positionV>
            <wp:extent cx="1654175" cy="925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654175" cy="92583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Patents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33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Status</w:t>
            </w:r>
          </w:p>
        </w:tc>
        <w:tc>
          <w:tcPr>
            <w:tcW w:w="27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Application Number(s)</w:t>
            </w: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SYSTEMS AND METHODS OF</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PCT/US2019/069141</w:t>
            </w:r>
          </w:p>
        </w:tc>
        <w:tc>
          <w:tcPr>
            <w:tcW w:w="0" w:type="dxa"/>
            <w:vAlign w:val="bottom"/>
          </w:tcPr>
          <w:p>
            <w:pPr>
              <w:spacing w:after="0"/>
              <w:rPr>
                <w:sz w:val="1"/>
                <w:szCs w:val="1"/>
                <w:color w:val="auto"/>
              </w:rPr>
            </w:pPr>
          </w:p>
        </w:tc>
      </w:tr>
      <w:tr>
        <w:trPr>
          <w:trHeight w:val="229"/>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DETECTING INTENT OF SPATIAL</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EPO - Reacting to PO findings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17/417,176</w:t>
            </w:r>
          </w:p>
        </w:tc>
        <w:tc>
          <w:tcPr>
            <w:tcW w:w="0" w:type="dxa"/>
            <w:vAlign w:val="bottom"/>
          </w:tcPr>
          <w:p>
            <w:pPr>
              <w:spacing w:after="0"/>
              <w:rPr>
                <w:sz w:val="1"/>
                <w:szCs w:val="1"/>
                <w:color w:val="auto"/>
              </w:rPr>
            </w:pPr>
          </w:p>
        </w:tc>
      </w:tr>
      <w:tr>
        <w:trPr>
          <w:trHeight w:val="252"/>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CONTROL</w:t>
            </w:r>
          </w:p>
        </w:tc>
        <w:tc>
          <w:tcPr>
            <w:tcW w:w="33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 19907050.9</w:t>
            </w: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SYSTEMS AND METHODS OF</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PCT/US2019/069148</w:t>
            </w:r>
          </w:p>
        </w:tc>
        <w:tc>
          <w:tcPr>
            <w:tcW w:w="0" w:type="dxa"/>
            <w:vAlign w:val="bottom"/>
          </w:tcPr>
          <w:p>
            <w:pPr>
              <w:spacing w:after="0"/>
              <w:rPr>
                <w:sz w:val="1"/>
                <w:szCs w:val="1"/>
                <w:color w:val="auto"/>
              </w:rPr>
            </w:pPr>
          </w:p>
        </w:tc>
      </w:tr>
      <w:tr>
        <w:trPr>
          <w:trHeight w:val="229"/>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99"/>
              </w:rPr>
              <w:t>REMOTE TELEOPERATION OF ROBOTIC</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EPO - Reacting to PO findings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17/417,194</w:t>
            </w:r>
          </w:p>
        </w:tc>
        <w:tc>
          <w:tcPr>
            <w:tcW w:w="0" w:type="dxa"/>
            <w:vAlign w:val="bottom"/>
          </w:tcPr>
          <w:p>
            <w:pPr>
              <w:spacing w:after="0"/>
              <w:rPr>
                <w:sz w:val="1"/>
                <w:szCs w:val="1"/>
                <w:color w:val="auto"/>
              </w:rPr>
            </w:pPr>
          </w:p>
        </w:tc>
      </w:tr>
      <w:tr>
        <w:trPr>
          <w:trHeight w:val="252"/>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VEHICLES</w:t>
            </w:r>
          </w:p>
        </w:tc>
        <w:tc>
          <w:tcPr>
            <w:tcW w:w="33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 19906876.8</w:t>
            </w: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SPATIAL TELEOPERATION OF LEGGED</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PCT/US2019/069159</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17/417,206</w:t>
            </w:r>
          </w:p>
        </w:tc>
        <w:tc>
          <w:tcPr>
            <w:tcW w:w="0" w:type="dxa"/>
            <w:vAlign w:val="bottom"/>
          </w:tcPr>
          <w:p>
            <w:pPr>
              <w:spacing w:after="0"/>
              <w:rPr>
                <w:sz w:val="1"/>
                <w:szCs w:val="1"/>
                <w:color w:val="auto"/>
              </w:rPr>
            </w:pPr>
          </w:p>
        </w:tc>
      </w:tr>
      <w:tr>
        <w:trPr>
          <w:trHeight w:val="122"/>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VEHICLES</w:t>
            </w:r>
          </w:p>
        </w:tc>
        <w:tc>
          <w:tcPr>
            <w:tcW w:w="330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 19906801.6</w:t>
            </w: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bottom w:val="single" w:sz="8" w:color="auto"/>
              <w:right w:val="single" w:sz="8" w:color="auto"/>
            </w:tcBorders>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COMMON CONTROL</w:t>
            </w:r>
          </w:p>
        </w:tc>
        <w:tc>
          <w:tcPr>
            <w:tcW w:w="33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ARCHITECTURE OF MULTIDOMAIN</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17/571,305</w:t>
            </w:r>
          </w:p>
        </w:tc>
        <w:tc>
          <w:tcPr>
            <w:tcW w:w="0" w:type="dxa"/>
            <w:vAlign w:val="bottom"/>
          </w:tcPr>
          <w:p>
            <w:pPr>
              <w:spacing w:after="0"/>
              <w:rPr>
                <w:sz w:val="1"/>
                <w:szCs w:val="1"/>
                <w:color w:val="auto"/>
              </w:rPr>
            </w:pPr>
          </w:p>
        </w:tc>
      </w:tr>
      <w:tr>
        <w:trPr>
          <w:trHeight w:val="230"/>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SYSTEMS</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EPO - Reacting to PO findings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 22180834.8</w:t>
            </w:r>
          </w:p>
        </w:tc>
        <w:tc>
          <w:tcPr>
            <w:tcW w:w="0" w:type="dxa"/>
            <w:vAlign w:val="bottom"/>
          </w:tcPr>
          <w:p>
            <w:pPr>
              <w:spacing w:after="0"/>
              <w:rPr>
                <w:sz w:val="1"/>
                <w:szCs w:val="1"/>
                <w:color w:val="auto"/>
              </w:rPr>
            </w:pPr>
          </w:p>
        </w:tc>
      </w:tr>
      <w:tr>
        <w:trPr>
          <w:trHeight w:val="252"/>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Claim Set 1</w:t>
            </w:r>
          </w:p>
        </w:tc>
        <w:tc>
          <w:tcPr>
            <w:tcW w:w="33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COMMON CONTROL</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ARCHITECTURE OF MULTIDOMAIN</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EPO - Received Notice of</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17/571,217</w:t>
            </w:r>
          </w:p>
        </w:tc>
        <w:tc>
          <w:tcPr>
            <w:tcW w:w="0" w:type="dxa"/>
            <w:vAlign w:val="bottom"/>
          </w:tcPr>
          <w:p>
            <w:pPr>
              <w:spacing w:after="0"/>
              <w:rPr>
                <w:sz w:val="1"/>
                <w:szCs w:val="1"/>
                <w:color w:val="auto"/>
              </w:rPr>
            </w:pPr>
          </w:p>
        </w:tc>
      </w:tr>
      <w:tr>
        <w:trPr>
          <w:trHeight w:val="229"/>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SYSTEMS</w:t>
            </w:r>
          </w:p>
        </w:tc>
        <w:tc>
          <w:tcPr>
            <w:tcW w:w="3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Allowance</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 22180852.0</w:t>
            </w:r>
          </w:p>
        </w:tc>
        <w:tc>
          <w:tcPr>
            <w:tcW w:w="0" w:type="dxa"/>
            <w:vAlign w:val="bottom"/>
          </w:tcPr>
          <w:p>
            <w:pPr>
              <w:spacing w:after="0"/>
              <w:rPr>
                <w:sz w:val="1"/>
                <w:szCs w:val="1"/>
                <w:color w:val="auto"/>
              </w:rPr>
            </w:pPr>
          </w:p>
        </w:tc>
      </w:tr>
      <w:tr>
        <w:trPr>
          <w:trHeight w:val="252"/>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Claim Set 2</w:t>
            </w:r>
          </w:p>
        </w:tc>
        <w:tc>
          <w:tcPr>
            <w:tcW w:w="33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ARCHITECTURE FOR</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17/702,669</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DISTRIBUTED AI</w:t>
            </w: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EPO - Reacting to PO findings</w:t>
            </w:r>
          </w:p>
        </w:tc>
        <w:tc>
          <w:tcPr>
            <w:tcW w:w="2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880" w:type="dxa"/>
            <w:vAlign w:val="bottom"/>
            <w:tcBorders>
              <w:left w:val="single" w:sz="8" w:color="auto"/>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 22183837.8</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AUGMENTATION</w:t>
            </w:r>
          </w:p>
        </w:tc>
        <w:tc>
          <w:tcPr>
            <w:tcW w:w="330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INERTIALLY ISOLATED SPATIAL</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Received Notice of</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17/720,130</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CONTROL FOR UNMANNED</w:t>
            </w: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Allowance</w:t>
            </w:r>
          </w:p>
        </w:tc>
        <w:tc>
          <w:tcPr>
            <w:tcW w:w="2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80" w:type="dxa"/>
            <w:vAlign w:val="bottom"/>
            <w:tcBorders>
              <w:left w:val="single" w:sz="8" w:color="auto"/>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 22192511.8</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SYSTEMS</w:t>
            </w: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EPO - Filed and awaiting results</w:t>
            </w: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vMerge w:val="continue"/>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CLASSIFICATION</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17/571,081</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PARALLELIZATION</w:t>
            </w: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EPO - Filed and awaiting results</w:t>
            </w:r>
          </w:p>
        </w:tc>
        <w:tc>
          <w:tcPr>
            <w:tcW w:w="2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880" w:type="dxa"/>
            <w:vAlign w:val="bottom"/>
            <w:tcBorders>
              <w:left w:val="single" w:sz="8" w:color="auto"/>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 22192510.0</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ARCHITECTURE</w:t>
            </w:r>
          </w:p>
        </w:tc>
        <w:tc>
          <w:tcPr>
            <w:tcW w:w="330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STABILIZATION OF PROJECTED</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17/930,399</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POINT-OF-INTEREST IN</w:t>
            </w:r>
          </w:p>
        </w:tc>
        <w:tc>
          <w:tcPr>
            <w:tcW w:w="3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EPO – Draft patent claims in progress</w:t>
            </w: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80" w:type="dxa"/>
            <w:vAlign w:val="bottom"/>
            <w:tcBorders>
              <w:left w:val="single" w:sz="8" w:color="auto"/>
              <w:right w:val="single" w:sz="8" w:color="auto"/>
            </w:tcBorders>
            <w:vMerge w:val="continue"/>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AUGMENTED REALITY USING</w:t>
            </w:r>
          </w:p>
        </w:tc>
        <w:tc>
          <w:tcPr>
            <w:tcW w:w="33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EP Not filed yet</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IMAGE PROCESSING</w:t>
            </w:r>
          </w:p>
        </w:tc>
        <w:tc>
          <w:tcPr>
            <w:tcW w:w="330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8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POINT-OF-INTEREST TRACKING AND</w:t>
            </w:r>
          </w:p>
        </w:tc>
        <w:tc>
          <w:tcPr>
            <w:tcW w:w="33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18/350,722</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ESTIMATION METHOD</w:t>
            </w:r>
          </w:p>
        </w:tc>
        <w:tc>
          <w:tcPr>
            <w:tcW w:w="330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6"/>
        </w:trPr>
        <w:tc>
          <w:tcPr>
            <w:tcW w:w="38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873" w:right="97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FROM UNMANNED SYSTEM</w:t>
            </w:r>
          </w:p>
        </w:tc>
        <w:tc>
          <w:tcPr>
            <w:tcW w:w="3500" w:type="dxa"/>
            <w:vAlign w:val="bottom"/>
            <w:tcBorders>
              <w:top w:val="single" w:sz="8" w:color="auto"/>
              <w:bottom w:val="single" w:sz="8" w:color="auto"/>
              <w:right w:val="single" w:sz="8" w:color="auto"/>
            </w:tcBorders>
          </w:tcPr>
          <w:p>
            <w:pPr>
              <w:spacing w:after="0"/>
              <w:rPr>
                <w:sz w:val="21"/>
                <w:szCs w:val="21"/>
                <w:color w:val="auto"/>
              </w:rPr>
            </w:pPr>
          </w:p>
        </w:tc>
        <w:tc>
          <w:tcPr>
            <w:tcW w:w="27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LAYERED FAIL-SAFE</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REDUNDANCY ARCHITECTURE</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PROCESS FOR USE BY</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18/353,866</w:t>
            </w: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SINGLE DATA BUS MOBILE</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DEVICE</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INERTIALLY ISOLATED SPATIAL</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CONTROL FOR UNMANNED</w:t>
            </w:r>
          </w:p>
        </w:tc>
        <w:tc>
          <w:tcPr>
            <w:tcW w:w="35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US 18/311,370</w:t>
            </w:r>
          </w:p>
        </w:tc>
        <w:tc>
          <w:tcPr>
            <w:tcW w:w="0" w:type="dxa"/>
            <w:vAlign w:val="bottom"/>
          </w:tcPr>
          <w:p>
            <w:pPr>
              <w:spacing w:after="0"/>
              <w:rPr>
                <w:sz w:val="1"/>
                <w:szCs w:val="1"/>
                <w:color w:val="auto"/>
              </w:rPr>
            </w:pPr>
          </w:p>
        </w:tc>
      </w:tr>
      <w:tr>
        <w:trPr>
          <w:trHeight w:val="137"/>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SYSTEMS (Continuation</w:t>
            </w:r>
          </w:p>
        </w:tc>
        <w:tc>
          <w:tcPr>
            <w:tcW w:w="350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tcBorders>
              <w:left w:val="single" w:sz="8" w:color="auto"/>
              <w:right w:val="single" w:sz="8" w:color="auto"/>
            </w:tcBorders>
            <w:vMerge w:val="continue"/>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Application)</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COMPUTER VISION CLASSIFIER</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DEFINED PATH PLANNING FOR</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USPTO - Filed and awaiting results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18/446,450</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AERIAL VEHICLES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UNIVERSAL EXTERNAL</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CAMERA GUIDED LANDING IN</w:t>
            </w:r>
          </w:p>
        </w:tc>
        <w:tc>
          <w:tcPr>
            <w:tcW w:w="35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137"/>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STATIC AND DYNAMIC</w:t>
            </w:r>
          </w:p>
        </w:tc>
        <w:tc>
          <w:tcPr>
            <w:tcW w:w="350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tcBorders>
              <w:left w:val="single" w:sz="8" w:color="auto"/>
              <w:right w:val="single" w:sz="8" w:color="auto"/>
            </w:tcBorders>
            <w:vMerge w:val="continue"/>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ENVIRONMENTS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UNIVERSAL CAMERA CONTROL</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 INERTIAL STEERING AND</w:t>
            </w:r>
          </w:p>
        </w:tc>
        <w:tc>
          <w:tcPr>
            <w:tcW w:w="35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137"/>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TARGETING OF UNMANNED</w:t>
            </w:r>
          </w:p>
        </w:tc>
        <w:tc>
          <w:tcPr>
            <w:tcW w:w="350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tcBorders>
              <w:left w:val="single" w:sz="8" w:color="auto"/>
              <w:right w:val="single" w:sz="8" w:color="auto"/>
            </w:tcBorders>
            <w:vMerge w:val="continue"/>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SYSTEMS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UNIVERSAL CAMERA CONTROL</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OF RF SILENT UNMANNED</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SYSTEMS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END USER DEVICE CAMERA</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ADAPTER TO PROVIDE</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ADVANCED PATH PLANNING</w:t>
            </w:r>
          </w:p>
        </w:tc>
        <w:tc>
          <w:tcPr>
            <w:tcW w:w="35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137"/>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AND ROBOTIC CONTROL FOR</w:t>
            </w:r>
          </w:p>
        </w:tc>
        <w:tc>
          <w:tcPr>
            <w:tcW w:w="350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tcBorders>
              <w:left w:val="single" w:sz="8" w:color="auto"/>
              <w:right w:val="single" w:sz="8" w:color="auto"/>
            </w:tcBorders>
            <w:vMerge w:val="continue"/>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SENSORLESS UNMANNED</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SYSTEMS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AUTONOMOUS PATH PLANNING</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 A ROBOTIC SWARM IN</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DYNAMIC ENVIRONMENTS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POINT OF INTEREST TRACKING</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AND ESTIMATION METHOD</w:t>
            </w:r>
          </w:p>
        </w:tc>
        <w:tc>
          <w:tcPr>
            <w:tcW w:w="35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137"/>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FROM UNMANNED SYSTEM -</w:t>
            </w:r>
          </w:p>
        </w:tc>
        <w:tc>
          <w:tcPr>
            <w:tcW w:w="350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tcBorders>
              <w:left w:val="single" w:sz="8" w:color="auto"/>
              <w:right w:val="single" w:sz="8" w:color="auto"/>
            </w:tcBorders>
            <w:vMerge w:val="continue"/>
          </w:tcPr>
          <w:p>
            <w:pPr>
              <w:spacing w:after="0"/>
              <w:rPr>
                <w:sz w:val="8"/>
                <w:szCs w:val="8"/>
                <w:color w:val="auto"/>
              </w:rPr>
            </w:pPr>
          </w:p>
        </w:tc>
        <w:tc>
          <w:tcPr>
            <w:tcW w:w="35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Claim (2)</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MOTION PLANNING USING</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ACCELERATION PROFILES AND</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TRAJECTORY MAPPING</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RANDOMIZED MOVEMENT</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GENERATED BY MOTION</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PLANNING USING</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ACCELERATION PROFILES WITH</w:t>
            </w:r>
          </w:p>
        </w:tc>
        <w:tc>
          <w:tcPr>
            <w:tcW w:w="3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TRAJECTORY MAPPING</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VIDEO HEURISTIC FOR</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BANDWIDTH OPTIMIZATION</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FOR UNMANNED SYSTEMS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VIDEO HEURISTIC FOR</w:t>
            </w:r>
          </w:p>
        </w:tc>
        <w:tc>
          <w:tcPr>
            <w:tcW w:w="350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LATENCY OPTIMIZATION FOR</w:t>
            </w:r>
          </w:p>
        </w:tc>
        <w:tc>
          <w:tcPr>
            <w:tcW w:w="3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252"/>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SYSTEMS</w:t>
            </w:r>
          </w:p>
        </w:tc>
        <w:tc>
          <w:tcPr>
            <w:tcW w:w="350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SYSTEM AND METHODS FOR</w:t>
            </w:r>
          </w:p>
        </w:tc>
        <w:tc>
          <w:tcPr>
            <w:tcW w:w="350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Draft patent claims in progress</w:t>
            </w:r>
          </w:p>
        </w:tc>
        <w:tc>
          <w:tcPr>
            <w:tcW w:w="27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Not filed yet</w:t>
            </w:r>
          </w:p>
        </w:tc>
        <w:tc>
          <w:tcPr>
            <w:tcW w:w="0" w:type="dxa"/>
            <w:vAlign w:val="bottom"/>
          </w:tcPr>
          <w:p>
            <w:pPr>
              <w:spacing w:after="0"/>
              <w:rPr>
                <w:sz w:val="1"/>
                <w:szCs w:val="1"/>
                <w:color w:val="auto"/>
              </w:rPr>
            </w:pPr>
          </w:p>
        </w:tc>
      </w:tr>
      <w:tr>
        <w:trPr>
          <w:trHeight w:val="554"/>
        </w:trPr>
        <w:tc>
          <w:tcPr>
            <w:tcW w:w="3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889" w:right="97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660" w:type="dxa"/>
            <w:vAlign w:val="bottom"/>
            <w:tcBorders>
              <w:top w:val="single" w:sz="8" w:color="auto"/>
              <w:left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DYNAMIC NETWORK</w:t>
            </w:r>
          </w:p>
        </w:tc>
        <w:tc>
          <w:tcPr>
            <w:tcW w:w="3520" w:type="dxa"/>
            <w:vAlign w:val="bottom"/>
            <w:tcBorders>
              <w:top w:val="single" w:sz="8" w:color="auto"/>
              <w:right w:val="single" w:sz="8" w:color="auto"/>
            </w:tcBorders>
          </w:tcPr>
          <w:p>
            <w:pPr>
              <w:spacing w:after="0"/>
              <w:rPr>
                <w:sz w:val="19"/>
                <w:szCs w:val="19"/>
                <w:color w:val="auto"/>
              </w:rPr>
            </w:pPr>
          </w:p>
        </w:tc>
        <w:tc>
          <w:tcPr>
            <w:tcW w:w="2740" w:type="dxa"/>
            <w:vAlign w:val="bottom"/>
            <w:tcBorders>
              <w:top w:val="single" w:sz="8" w:color="auto"/>
              <w:right w:val="single" w:sz="8" w:color="auto"/>
            </w:tcBorders>
          </w:tcPr>
          <w:p>
            <w:pPr>
              <w:spacing w:after="0"/>
              <w:rPr>
                <w:sz w:val="19"/>
                <w:szCs w:val="19"/>
                <w:color w:val="auto"/>
              </w:rPr>
            </w:pPr>
          </w:p>
        </w:tc>
      </w:tr>
      <w:tr>
        <w:trPr>
          <w:trHeight w:val="230"/>
        </w:trPr>
        <w:tc>
          <w:tcPr>
            <w:tcW w:w="3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ADDRESSING IN ADHOC</w:t>
            </w:r>
          </w:p>
        </w:tc>
        <w:tc>
          <w:tcPr>
            <w:tcW w:w="35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29"/>
        </w:trPr>
        <w:tc>
          <w:tcPr>
            <w:tcW w:w="3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TRANSIENT CONNECTIVITY</w:t>
            </w:r>
          </w:p>
        </w:tc>
        <w:tc>
          <w:tcPr>
            <w:tcW w:w="352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2"/>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ENVIRONMENTS</w:t>
            </w:r>
          </w:p>
        </w:tc>
        <w:tc>
          <w:tcPr>
            <w:tcW w:w="352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r>
      <w:tr>
        <w:trPr>
          <w:trHeight w:val="200"/>
        </w:trPr>
        <w:tc>
          <w:tcPr>
            <w:tcW w:w="366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COLLISION HANDLING FOR</w:t>
            </w:r>
          </w:p>
        </w:tc>
        <w:tc>
          <w:tcPr>
            <w:tcW w:w="352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tcPr>
          <w:p>
            <w:pPr>
              <w:spacing w:after="0"/>
              <w:rPr>
                <w:sz w:val="17"/>
                <w:szCs w:val="17"/>
                <w:color w:val="auto"/>
              </w:rPr>
            </w:pPr>
          </w:p>
        </w:tc>
      </w:tr>
      <w:tr>
        <w:trPr>
          <w:trHeight w:val="230"/>
        </w:trPr>
        <w:tc>
          <w:tcPr>
            <w:tcW w:w="3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FLEET</w:t>
            </w: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r>
      <w:tr>
        <w:trPr>
          <w:trHeight w:val="252"/>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MANAGEMENT</w:t>
            </w:r>
          </w:p>
        </w:tc>
        <w:tc>
          <w:tcPr>
            <w:tcW w:w="352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r>
      <w:tr>
        <w:trPr>
          <w:trHeight w:val="200"/>
        </w:trPr>
        <w:tc>
          <w:tcPr>
            <w:tcW w:w="366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PATH COORDINATION FOR</w:t>
            </w:r>
          </w:p>
        </w:tc>
        <w:tc>
          <w:tcPr>
            <w:tcW w:w="352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tcPr>
          <w:p>
            <w:pPr>
              <w:spacing w:after="0"/>
              <w:rPr>
                <w:sz w:val="17"/>
                <w:szCs w:val="17"/>
                <w:color w:val="auto"/>
              </w:rPr>
            </w:pPr>
          </w:p>
        </w:tc>
      </w:tr>
      <w:tr>
        <w:trPr>
          <w:trHeight w:val="230"/>
        </w:trPr>
        <w:tc>
          <w:tcPr>
            <w:tcW w:w="3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UNMANNED FLEET</w:t>
            </w: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Draft patent claims in progress</w:t>
            </w:r>
          </w:p>
        </w:tc>
        <w:tc>
          <w:tcPr>
            <w:tcW w:w="2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Not filed yet</w:t>
            </w:r>
          </w:p>
        </w:tc>
      </w:tr>
      <w:tr>
        <w:trPr>
          <w:trHeight w:val="252"/>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MANAGEMENT</w:t>
            </w:r>
          </w:p>
        </w:tc>
        <w:tc>
          <w:tcPr>
            <w:tcW w:w="352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r>
      <w:tr>
        <w:trPr>
          <w:trHeight w:val="2160"/>
        </w:trPr>
        <w:tc>
          <w:tcPr>
            <w:tcW w:w="36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6" w:right="99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4</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Deposit Accounts and Securities Accounts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Deposit Accounts</w:t>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100" w:type="dxa"/>
            <w:vAlign w:val="bottom"/>
            <w:tcBorders>
              <w:top w:val="single" w:sz="8" w:color="auto"/>
              <w:left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Depository Institution</w:t>
            </w:r>
          </w:p>
        </w:tc>
        <w:tc>
          <w:tcPr>
            <w:tcW w:w="2000" w:type="dxa"/>
            <w:vAlign w:val="bottom"/>
            <w:tcBorders>
              <w:top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Account Number</w:t>
            </w:r>
          </w:p>
        </w:tc>
        <w:tc>
          <w:tcPr>
            <w:tcW w:w="2000" w:type="dxa"/>
            <w:vAlign w:val="bottom"/>
            <w:tcBorders>
              <w:top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Name on Account</w:t>
            </w:r>
          </w:p>
        </w:tc>
        <w:tc>
          <w:tcPr>
            <w:tcW w:w="1980" w:type="dxa"/>
            <w:vAlign w:val="bottom"/>
            <w:tcBorders>
              <w:top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Balance as of</w:t>
            </w:r>
          </w:p>
        </w:tc>
        <w:tc>
          <w:tcPr>
            <w:tcW w:w="1860" w:type="dxa"/>
            <w:vAlign w:val="bottom"/>
            <w:tcBorders>
              <w:top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Type of Account</w:t>
            </w:r>
          </w:p>
        </w:tc>
      </w:tr>
      <w:tr>
        <w:trPr>
          <w:trHeight w:val="258"/>
        </w:trPr>
        <w:tc>
          <w:tcPr>
            <w:tcW w:w="2100" w:type="dxa"/>
            <w:vAlign w:val="bottom"/>
            <w:tcBorders>
              <w:left w:val="single" w:sz="8" w:color="auto"/>
              <w:right w:val="single" w:sz="8" w:color="auto"/>
            </w:tcBorders>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September 30, 2023</w:t>
            </w:r>
          </w:p>
        </w:tc>
        <w:tc>
          <w:tcPr>
            <w:tcW w:w="1860" w:type="dxa"/>
            <w:vAlign w:val="bottom"/>
            <w:tcBorders>
              <w:right w:val="single" w:sz="8" w:color="auto"/>
            </w:tcBorders>
          </w:tcPr>
          <w:p>
            <w:pPr>
              <w:spacing w:after="0"/>
              <w:rPr>
                <w:sz w:val="22"/>
                <w:szCs w:val="22"/>
                <w:color w:val="auto"/>
              </w:rPr>
            </w:pPr>
          </w:p>
        </w:tc>
      </w:tr>
      <w:tr>
        <w:trPr>
          <w:trHeight w:val="453"/>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00"/>
        </w:trPr>
        <w:tc>
          <w:tcPr>
            <w:tcW w:w="210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JPMorgan Chase Bank,</w:t>
            </w:r>
          </w:p>
        </w:tc>
        <w:tc>
          <w:tcPr>
            <w:tcW w:w="20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937990890</w:t>
            </w:r>
          </w:p>
        </w:tc>
        <w:tc>
          <w:tcPr>
            <w:tcW w:w="200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Tomahawk Robotics,</w:t>
            </w:r>
          </w:p>
        </w:tc>
        <w:tc>
          <w:tcPr>
            <w:tcW w:w="198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$1,397,174</w:t>
            </w:r>
          </w:p>
        </w:tc>
        <w:tc>
          <w:tcPr>
            <w:tcW w:w="18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Operating</w:t>
            </w:r>
          </w:p>
        </w:tc>
      </w:tr>
      <w:tr>
        <w:trPr>
          <w:trHeight w:val="258"/>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200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Inc.</w:t>
            </w:r>
          </w:p>
        </w:tc>
        <w:tc>
          <w:tcPr>
            <w:tcW w:w="19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spacing w:after="0"/>
              <w:rPr>
                <w:sz w:val="22"/>
                <w:szCs w:val="22"/>
                <w:color w:val="auto"/>
              </w:rPr>
            </w:pPr>
          </w:p>
        </w:tc>
      </w:tr>
      <w:tr>
        <w:trPr>
          <w:trHeight w:val="115"/>
        </w:trPr>
        <w:tc>
          <w:tcPr>
            <w:tcW w:w="2100" w:type="dxa"/>
            <w:vAlign w:val="bottom"/>
            <w:tcBorders>
              <w:left w:val="single" w:sz="8" w:color="auto"/>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r>
      <w:tr>
        <w:trPr>
          <w:trHeight w:val="200"/>
        </w:trPr>
        <w:tc>
          <w:tcPr>
            <w:tcW w:w="210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Cypress Bank</w:t>
            </w:r>
          </w:p>
        </w:tc>
        <w:tc>
          <w:tcPr>
            <w:tcW w:w="200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360026259</w:t>
            </w:r>
          </w:p>
        </w:tc>
        <w:tc>
          <w:tcPr>
            <w:tcW w:w="200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Tomahawk Robotics,</w:t>
            </w:r>
          </w:p>
        </w:tc>
        <w:tc>
          <w:tcPr>
            <w:tcW w:w="198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$686,801</w:t>
            </w:r>
          </w:p>
        </w:tc>
        <w:tc>
          <w:tcPr>
            <w:tcW w:w="18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Operating</w:t>
            </w:r>
          </w:p>
        </w:tc>
      </w:tr>
      <w:tr>
        <w:trPr>
          <w:trHeight w:val="262"/>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Inc.</w:t>
            </w:r>
          </w:p>
        </w:tc>
        <w:tc>
          <w:tcPr>
            <w:tcW w:w="19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r>
      <w:tr>
        <w:trPr>
          <w:trHeight w:val="204"/>
        </w:trPr>
        <w:tc>
          <w:tcPr>
            <w:tcW w:w="210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0"/>
                <w:szCs w:val="20"/>
                <w:color w:val="auto"/>
              </w:rPr>
              <w:t>Silicon Valley Bank</w:t>
            </w:r>
          </w:p>
        </w:tc>
        <w:tc>
          <w:tcPr>
            <w:tcW w:w="2000" w:type="dxa"/>
            <w:vAlign w:val="bottom"/>
            <w:tcBorders>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20"/>
                <w:szCs w:val="20"/>
                <w:color w:val="auto"/>
              </w:rPr>
              <w:t>3302495858</w:t>
            </w:r>
          </w:p>
        </w:tc>
        <w:tc>
          <w:tcPr>
            <w:tcW w:w="2000" w:type="dxa"/>
            <w:vAlign w:val="bottom"/>
            <w:tcBorders>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20"/>
                <w:szCs w:val="20"/>
                <w:color w:val="auto"/>
              </w:rPr>
              <w:t>Tomahawk Robotics,</w:t>
            </w:r>
          </w:p>
        </w:tc>
        <w:tc>
          <w:tcPr>
            <w:tcW w:w="1980" w:type="dxa"/>
            <w:vAlign w:val="bottom"/>
            <w:tcBorders>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20"/>
                <w:szCs w:val="20"/>
                <w:color w:val="auto"/>
              </w:rPr>
              <w:t>$132,514</w:t>
            </w:r>
          </w:p>
        </w:tc>
        <w:tc>
          <w:tcPr>
            <w:tcW w:w="1860" w:type="dxa"/>
            <w:vAlign w:val="bottom"/>
            <w:tcBorders>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20"/>
                <w:szCs w:val="20"/>
                <w:color w:val="auto"/>
              </w:rPr>
              <w:t>Operating</w:t>
            </w:r>
          </w:p>
        </w:tc>
      </w:tr>
      <w:tr>
        <w:trPr>
          <w:trHeight w:val="252"/>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Inc.</w:t>
            </w:r>
          </w:p>
        </w:tc>
        <w:tc>
          <w:tcPr>
            <w:tcW w:w="19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r>
      <w:tr>
        <w:trPr>
          <w:trHeight w:val="445"/>
        </w:trPr>
        <w:tc>
          <w:tcPr>
            <w:tcW w:w="2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Securities Accounts</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None.</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13"/>
        </w:trPr>
        <w:tc>
          <w:tcPr>
            <w:tcW w:w="2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102" w:right="9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Real Properties</w:t>
      </w:r>
    </w:p>
    <w:p>
      <w:pPr>
        <w:spacing w:after="0" w:line="216" w:lineRule="exact"/>
        <w:rPr>
          <w:sz w:val="20"/>
          <w:szCs w:val="20"/>
          <w:color w:val="auto"/>
        </w:rPr>
      </w:pPr>
    </w:p>
    <w:p>
      <w:pPr>
        <w:jc w:val="both"/>
        <w:ind w:left="-20" w:firstLine="647"/>
        <w:spacing w:after="0" w:line="254" w:lineRule="auto"/>
        <w:tabs>
          <w:tab w:leader="none" w:pos="127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Agreement dated as of November 1, 2020 and amended December 1, 2020 by and between the New Subsidiary, as lessee, and Deffla, LLC, as lessor, for the premises located at 2326 Irwin Street Melbourne, Florida 32901 with a current monthly rental amount of $8,360.25. One building.</w:t>
      </w:r>
    </w:p>
    <w:p>
      <w:pPr>
        <w:spacing w:after="0" w:line="187" w:lineRule="exact"/>
        <w:rPr>
          <w:rFonts w:ascii="Times New Roman" w:cs="Times New Roman" w:eastAsia="Times New Roman" w:hAnsi="Times New Roman"/>
          <w:sz w:val="20"/>
          <w:szCs w:val="20"/>
          <w:color w:val="auto"/>
        </w:rPr>
      </w:pPr>
    </w:p>
    <w:p>
      <w:pPr>
        <w:ind w:left="-20" w:firstLine="647"/>
        <w:spacing w:after="0" w:line="269" w:lineRule="auto"/>
        <w:tabs>
          <w:tab w:leader="none" w:pos="127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Subsidiary is lessee under the 1333 Lease for the premises located at 1333 N. Harbor City Boulevard Melbourne, Florida 32935 with a current monthly rental amount of $18,270.00. One building.</w:t>
      </w:r>
    </w:p>
    <w:p>
      <w:pPr>
        <w:spacing w:after="0" w:line="172" w:lineRule="exact"/>
        <w:rPr>
          <w:rFonts w:ascii="Times New Roman" w:cs="Times New Roman" w:eastAsia="Times New Roman" w:hAnsi="Times New Roman"/>
          <w:sz w:val="20"/>
          <w:szCs w:val="20"/>
          <w:color w:val="auto"/>
        </w:rPr>
      </w:pPr>
    </w:p>
    <w:p>
      <w:pPr>
        <w:ind w:left="-20" w:firstLine="647"/>
        <w:spacing w:after="0" w:line="269" w:lineRule="auto"/>
        <w:tabs>
          <w:tab w:leader="none" w:pos="127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Subsidiary is lessee under the 660 Penn Ave. Lease for the premises located at 660 Pennsylvania Avenue, S.E. Washington, DC 20003 with a current monthly rental amount of $10,265.50. One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612775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3" w:right="99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Schedule 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Commercial Tort Claims</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596265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Schedule 7</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Instruments, Documents and Tangible Chattel Paper</w:t>
      </w: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596900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Schedule 8</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Merger, Consolidation, Change in Structure;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Tradenames; Change in Legal Name</w:t>
      </w:r>
    </w:p>
    <w:p>
      <w:pPr>
        <w:spacing w:after="0" w:line="2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September 15, 2023, Tropic Merger Sub, Inc., a Delaware corporation and wholly owned subsidiary of the Borrower, merged with and into New Subsidiary, whereupon the separate existence of Tropic Merger Sub, Inc. ceased and New Subsidiary continued its corporate existence under Delaware law as the surviving corporation and a wholly owned subsidiary of the Borrower, pursuant to that certain Agreement and Plan of Merger, dated 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2" w:name="page73"/>
    <w:bookmarkEnd w:id="7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5, 2023</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-130810</wp:posOffset>
            </wp:positionV>
            <wp:extent cx="28289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5, 2023</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-130810</wp:posOffset>
            </wp:positionV>
            <wp:extent cx="28289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4" w:name="page75"/>
    <w:bookmarkEnd w:id="7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October 28, 2023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December 5, 2023</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6"/>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lvl w:ilvl="1">
      <w:lvlJc w:val="left"/>
      <w:lvlText w:val="%2"/>
      <w:numFmt w:val="decimal"/>
      <w:start w:val="104"/>
    </w:lvl>
  </w:abstractNum>
  <w:abstractNum w:abstractNumId="12">
    <w:nsid w:val="2D1D5AE9"/>
    <w:multiLevelType w:val="hybridMultilevel"/>
    <w:lvl w:ilvl="0">
      <w:lvlJc w:val="left"/>
      <w:lvlText w:val="(%1)"/>
      <w:numFmt w:val="decimal"/>
      <w:start w:val="1"/>
    </w:lvl>
    <w:lvl w:ilvl="1">
      <w:lvlJc w:val="left"/>
      <w:lvlText w:val="%2"/>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decimal"/>
      <w:start w:val="5"/>
    </w:lvl>
    <w:lvl w:ilvl="1">
      <w:lvlJc w:val="left"/>
      <w:lvlText w:val="(%2)"/>
      <w:numFmt w:val="lowerLetter"/>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1)"/>
      <w:numFmt w:val="lowerLetter"/>
      <w:start w:val="3"/>
    </w:lvl>
  </w:abstractNum>
  <w:abstractNum w:abstractNumId="19">
    <w:nsid w:val="189A769B"/>
    <w:multiLevelType w:val="hybridMultilevel"/>
    <w:lvl w:ilvl="0">
      <w:lvlJc w:val="left"/>
      <w:lvlText w:val="%1"/>
      <w:numFmt w:val="decimal"/>
      <w:start w:val="1"/>
    </w:lvl>
    <w:lvl w:ilvl="1">
      <w:lvlJc w:val="left"/>
      <w:lvlText w:val="(%2)"/>
      <w:numFmt w:val="lowerLetter"/>
      <w:start w:val="4"/>
    </w:lvl>
  </w:abstractNum>
  <w:abstractNum w:abstractNumId="20">
    <w:nsid w:val="54E49EB4"/>
    <w:multiLevelType w:val="hybridMultilevel"/>
    <w:lvl w:ilvl="0">
      <w:lvlJc w:val="left"/>
      <w:lvlText w:val="%1."/>
      <w:numFmt w:val="decimal"/>
      <w:start w:val="6"/>
    </w:lvl>
    <w:lvl w:ilvl="1">
      <w:lvlJc w:val="left"/>
      <w:lvlText w:val="%2"/>
      <w:numFmt w:val="lowerLetter"/>
      <w:start w:val="1"/>
    </w:lvl>
  </w:abstractNum>
  <w:abstractNum w:abstractNumId="21">
    <w:nsid w:val="71F32454"/>
    <w:multiLevelType w:val="hybridMultilevel"/>
    <w:lvl w:ilvl="0">
      <w:lvlJc w:val="left"/>
      <w:lvlText w:val="%1."/>
      <w:numFmt w:val="decimal"/>
      <w:start w:val="8"/>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lvl w:ilvl="1">
      <w:lvlJc w:val="left"/>
      <w:lvlText w:val="(%2)"/>
      <w:numFmt w:val="lowerLetter"/>
      <w:start w:val="1"/>
    </w:lvl>
  </w:abstractNum>
  <w:abstractNum w:abstractNumId="26">
    <w:nsid w:val="8138641"/>
    <w:multiLevelType w:val="hybridMultilevel"/>
    <w:lvl w:ilvl="0">
      <w:lvlJc w:val="left"/>
      <w:lvlText w:val="(%1)"/>
      <w:numFmt w:val="lowerLetter"/>
      <w:start w:val="61"/>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3"/>
    </w:lvl>
  </w:abstractNum>
  <w:abstractNum w:abstractNumId="28">
    <w:nsid w:val="7C3DBD3D"/>
    <w:multiLevelType w:val="hybridMultilevel"/>
    <w:lvl w:ilvl="0">
      <w:lvlJc w:val="left"/>
      <w:lvlText w:val="%1."/>
      <w:numFmt w:val="decimal"/>
      <w:start w:val="4"/>
    </w:lvl>
    <w:lvl w:ilvl="1">
      <w:lvlJc w:val="left"/>
      <w:lvlText w:val="%2"/>
      <w:numFmt w:val="lowerLetter"/>
      <w:start w:val="1"/>
    </w:lvl>
  </w:abstractNum>
  <w:abstractNum w:abstractNumId="29">
    <w:nsid w:val="737B8DDC"/>
    <w:multiLevelType w:val="hybridMultilevel"/>
    <w:lvl w:ilvl="0">
      <w:lvlJc w:val="left"/>
      <w:lvlText w:val="%1."/>
      <w:numFmt w:val="decimal"/>
      <w:start w:val="7"/>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80" Type="http://schemas.openxmlformats.org/officeDocument/2006/relationships/hyperlink" Target="https://www.sec.gov/Archives/edgar/data/1368622/000110465923094121/tm2324229d1_ex2-1.htm" TargetMode="External"/><Relationship Id="rId81" Type="http://schemas.openxmlformats.org/officeDocument/2006/relationships/hyperlink" Target="https://www.sec.gov/Archives/edgar/data/1368622/000095015007000008/a28119exv3w1.htm" TargetMode="External"/><Relationship Id="rId82" Type="http://schemas.openxmlformats.org/officeDocument/2006/relationships/hyperlink" Target="https://www.sec.gov/Archives/edgar/data/1368622/000155837022018418/avav-20221029xex3d2.htm" TargetMode="External"/><Relationship Id="rId83" Type="http://schemas.openxmlformats.org/officeDocument/2006/relationships/hyperlink" Target="https://www.sec.gov/ix?doc=/Archives/edgar/data/1368622/000110465923092796/tm232516d2-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2023-12-06T05:21:24Z</dcterms:created>
  <dcterms:modified xsi:type="dcterms:W3CDTF">2023-12-06T05:21:24Z</dcterms:modified>
</cp:coreProperties>
</file>