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180975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January 25, 2025</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8"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580"/>
        <w:spacing w:after="0"/>
        <w:tabs>
          <w:tab w:leader="none" w:pos="58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161925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AEROVIRONMENT,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8" w:lineRule="exact"/>
        <w:rPr>
          <w:sz w:val="24"/>
          <w:szCs w:val="24"/>
          <w:color w:val="auto"/>
        </w:rPr>
      </w:pPr>
    </w:p>
    <w:tbl>
      <w:tblPr>
        <w:tblLayout w:type="fixed"/>
        <w:tblInd w:w="720" w:type="dxa"/>
        <w:tblCellMar>
          <w:top w:w="0" w:type="dxa"/>
          <w:left w:w="0" w:type="dxa"/>
          <w:bottom w:w="0" w:type="dxa"/>
          <w:right w:w="0" w:type="dxa"/>
        </w:tblCellMar>
      </w:tblPr>
      <w:tr>
        <w:trPr>
          <w:trHeight w:val="164"/>
        </w:trPr>
        <w:tc>
          <w:tcPr>
            <w:tcW w:w="4580" w:type="dxa"/>
            <w:vAlign w:val="bottom"/>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95-2705790</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2"/>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241 18</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4"/>
                <w:szCs w:val="14"/>
                <w:b w:val="1"/>
                <w:bCs w:val="1"/>
                <w:color w:val="auto"/>
              </w:rPr>
              <w:t xml:space="preserve"> Street South, Suite 650</w:t>
            </w:r>
          </w:p>
        </w:tc>
        <w:tc>
          <w:tcPr>
            <w:tcW w:w="3240" w:type="dxa"/>
            <w:vAlign w:val="bottom"/>
          </w:tcPr>
          <w:p>
            <w:pPr>
              <w:spacing w:after="0"/>
              <w:rPr>
                <w:sz w:val="24"/>
                <w:szCs w:val="24"/>
                <w:color w:val="auto"/>
              </w:rPr>
            </w:pPr>
          </w:p>
        </w:tc>
      </w:tr>
      <w:tr>
        <w:trPr>
          <w:trHeight w:val="164"/>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Arlington, Virginia</w:t>
            </w:r>
          </w:p>
        </w:tc>
        <w:tc>
          <w:tcPr>
            <w:tcW w:w="324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22202</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(805) 520-8350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2960" w:type="dxa"/>
            <w:vAlign w:val="bottom"/>
          </w:tcPr>
          <w:p>
            <w:pPr>
              <w:jc w:val="center"/>
              <w:ind w:left="242"/>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560" w:type="dxa"/>
            <w:vAlign w:val="bottom"/>
          </w:tcPr>
          <w:p>
            <w:pPr>
              <w:jc w:val="center"/>
              <w:ind w:left="222"/>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6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85"/>
              </w:rPr>
              <w:t>AVAV</w:t>
            </w:r>
          </w:p>
        </w:tc>
        <w:tc>
          <w:tcPr>
            <w:tcW w:w="35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bl>
    <w:p>
      <w:pPr>
        <w:spacing w:after="0" w:line="162" w:lineRule="exact"/>
        <w:rPr>
          <w:sz w:val="24"/>
          <w:szCs w:val="24"/>
          <w:color w:val="auto"/>
        </w:rPr>
      </w:pPr>
    </w:p>
    <w:p>
      <w:pPr>
        <w:jc w:val="both"/>
        <w:ind w:right="22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ind w:right="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jc w:val="both"/>
        <w:ind w:right="20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ind w:left="17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05" w:lineRule="exact"/>
        <w:rPr>
          <w:sz w:val="24"/>
          <w:szCs w:val="24"/>
          <w:color w:val="auto"/>
        </w:rPr>
      </w:pPr>
    </w:p>
    <w:p>
      <w:pPr>
        <w:sectPr>
          <w:pgSz w:w="11900" w:h="16838" w:orient="portrait"/>
          <w:cols w:equalWidth="0" w:num="2">
            <w:col w:w="6200" w:space="720"/>
            <w:col w:w="3000"/>
          </w:cols>
          <w:pgMar w:left="980" w:top="661" w:right="999" w:bottom="1440" w:gutter="0" w:footer="0" w:header="0"/>
          <w:type w:val="continuous"/>
        </w:sectPr>
      </w:pPr>
    </w:p>
    <w:p>
      <w:pPr>
        <w:ind w:left="17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5900" w:space="720"/>
            <w:col w:w="3300"/>
          </w:cols>
          <w:pgMar w:left="980" w:top="661" w:right="999" w:bottom="1440" w:gutter="0" w:footer="0" w:header="0"/>
          <w:type w:val="continuous"/>
        </w:sectPr>
      </w:pPr>
    </w:p>
    <w:p>
      <w:pPr>
        <w:ind w:left="66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9920"/>
          </w:cols>
          <w:pgMar w:left="980" w:top="661" w:right="999" w:bottom="1440" w:gutter="0" w:footer="0" w:header="0"/>
          <w:type w:val="continuous"/>
        </w:sectPr>
      </w:pPr>
    </w:p>
    <w:p>
      <w:pPr>
        <w:spacing w:after="0" w:line="248" w:lineRule="exact"/>
        <w:rPr>
          <w:sz w:val="24"/>
          <w:szCs w:val="24"/>
          <w:color w:val="auto"/>
        </w:rPr>
      </w:pPr>
    </w:p>
    <w:p>
      <w:pPr>
        <w:ind w:right="1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3" w:lineRule="exact"/>
        <w:rPr>
          <w:sz w:val="24"/>
          <w:szCs w:val="24"/>
          <w:color w:val="auto"/>
        </w:rPr>
      </w:pPr>
    </w:p>
    <w:p>
      <w:pPr>
        <w:ind w:left="340" w:right="2160"/>
        <w:spacing w:after="0" w:line="26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February 26, 2025, the number of shares outstanding of the registrant’s common stock, $0.0001 par value, was 28,218,842.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80" w:type="dxa"/>
            <w:vAlign w:val="bottom"/>
            <w:gridSpan w:val="14"/>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AeroVironment, Inc.</w:t>
            </w:r>
          </w:p>
        </w:tc>
        <w:tc>
          <w:tcPr>
            <w:tcW w:w="36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80" w:type="dxa"/>
            <w:vAlign w:val="bottom"/>
            <w:gridSpan w:val="14"/>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4"/>
                <w:szCs w:val="24"/>
                <w:color w:val="auto"/>
              </w:rPr>
            </w:pPr>
          </w:p>
        </w:tc>
      </w:tr>
      <w:tr>
        <w:trPr>
          <w:trHeight w:val="405"/>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40" w:type="dxa"/>
            <w:vAlign w:val="bottom"/>
            <w:gridSpan w:val="3"/>
          </w:tcPr>
          <w:p>
            <w:pPr>
              <w:spacing w:after="0"/>
              <w:rPr>
                <w:sz w:val="24"/>
                <w:szCs w:val="24"/>
                <w:color w:val="auto"/>
              </w:rPr>
            </w:pPr>
          </w:p>
        </w:tc>
        <w:tc>
          <w:tcPr>
            <w:tcW w:w="15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6040" w:type="dxa"/>
            <w:vAlign w:val="bottom"/>
            <w:gridSpan w:val="17"/>
          </w:tcPr>
          <w:p>
            <w:pPr>
              <w:spacing w:after="0"/>
              <w:rPr>
                <w:sz w:val="24"/>
                <w:szCs w:val="24"/>
                <w:color w:val="auto"/>
              </w:rPr>
            </w:pPr>
          </w:p>
        </w:tc>
        <w:tc>
          <w:tcPr>
            <w:tcW w:w="360" w:type="dxa"/>
            <w:vAlign w:val="bottom"/>
          </w:tcPr>
          <w:p>
            <w:pPr>
              <w:spacing w:after="0"/>
              <w:rPr>
                <w:sz w:val="24"/>
                <w:szCs w:val="24"/>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January 25, 2025 (Unaudited) and April 30, 2024</w:t>
            </w:r>
          </w:p>
        </w:tc>
        <w:tc>
          <w:tcPr>
            <w:tcW w:w="480" w:type="dxa"/>
            <w:vAlign w:val="bottom"/>
            <w:gridSpan w:val="4"/>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January 25,</w:t>
            </w:r>
          </w:p>
        </w:tc>
        <w:tc>
          <w:tcPr>
            <w:tcW w:w="26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2025 (Unaudited) and January 27, 2024 (Unaudited)</w:t>
            </w:r>
          </w:p>
        </w:tc>
        <w:tc>
          <w:tcPr>
            <w:tcW w:w="3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(Loss) Income for the three and nine months</w:t>
            </w: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ended January 25, 2025 (Unaudited) and January 27, 2024 (Unaudited)</w:t>
            </w:r>
          </w:p>
        </w:tc>
        <w:tc>
          <w:tcPr>
            <w:tcW w:w="2120" w:type="dxa"/>
            <w:vAlign w:val="bottom"/>
            <w:gridSpan w:val="7"/>
          </w:tcPr>
          <w:p>
            <w:pPr>
              <w:spacing w:after="0"/>
              <w:rPr>
                <w:sz w:val="19"/>
                <w:szCs w:val="19"/>
                <w:color w:val="auto"/>
              </w:rPr>
            </w:pPr>
          </w:p>
        </w:tc>
        <w:tc>
          <w:tcPr>
            <w:tcW w:w="360" w:type="dxa"/>
            <w:vAlign w:val="bottom"/>
          </w:tcPr>
          <w:p>
            <w:pPr>
              <w:spacing w:after="0"/>
              <w:rPr>
                <w:sz w:val="19"/>
                <w:szCs w:val="19"/>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nine months ended</w:t>
            </w:r>
          </w:p>
        </w:tc>
        <w:tc>
          <w:tcPr>
            <w:tcW w:w="400" w:type="dxa"/>
            <w:vAlign w:val="bottom"/>
            <w:gridSpan w:val="3"/>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January 25, 2025 (Unaudited) and January 27, 2024 (Unaudited)</w:t>
            </w:r>
          </w:p>
        </w:tc>
        <w:tc>
          <w:tcPr>
            <w:tcW w:w="3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January 25, 2025</w:t>
            </w:r>
          </w:p>
        </w:tc>
        <w:tc>
          <w:tcPr>
            <w:tcW w:w="500" w:type="dxa"/>
            <w:vAlign w:val="bottom"/>
            <w:gridSpan w:val="5"/>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(Unaudited) and January 27, 2024 (Unaudited)</w:t>
            </w:r>
          </w:p>
        </w:tc>
        <w:tc>
          <w:tcPr>
            <w:tcW w:w="3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440" w:type="dxa"/>
            <w:vAlign w:val="bottom"/>
            <w:gridSpan w:val="3"/>
          </w:tcPr>
          <w:p>
            <w:pPr>
              <w:spacing w:after="0"/>
              <w:rPr>
                <w:sz w:val="19"/>
                <w:szCs w:val="19"/>
                <w:color w:val="auto"/>
              </w:rPr>
            </w:pP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140" w:type="dxa"/>
            <w:vAlign w:val="bottom"/>
            <w:gridSpan w:val="6"/>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440" w:type="dxa"/>
            <w:vAlign w:val="bottom"/>
            <w:gridSpan w:val="3"/>
          </w:tcPr>
          <w:p>
            <w:pPr>
              <w:spacing w:after="0"/>
              <w:rPr>
                <w:sz w:val="19"/>
                <w:szCs w:val="19"/>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240" w:type="dxa"/>
            <w:vAlign w:val="bottom"/>
            <w:gridSpan w:val="10"/>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40" w:type="dxa"/>
            <w:vAlign w:val="bottom"/>
            <w:gridSpan w:val="3"/>
          </w:tcPr>
          <w:p>
            <w:pPr>
              <w:spacing w:after="0"/>
              <w:rPr>
                <w:sz w:val="19"/>
                <w:szCs w:val="19"/>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27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5780" w:type="dxa"/>
            <w:vAlign w:val="bottom"/>
            <w:gridSpan w:val="15"/>
          </w:tcPr>
          <w:p>
            <w:pPr>
              <w:spacing w:after="0"/>
              <w:rPr>
                <w:sz w:val="24"/>
                <w:szCs w:val="24"/>
                <w:color w:val="auto"/>
              </w:rPr>
            </w:pPr>
          </w:p>
        </w:tc>
        <w:tc>
          <w:tcPr>
            <w:tcW w:w="360" w:type="dxa"/>
            <w:vAlign w:val="bottom"/>
          </w:tcPr>
          <w:p>
            <w:pPr>
              <w:spacing w:after="0"/>
              <w:rPr>
                <w:sz w:val="24"/>
                <w:szCs w:val="24"/>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40" w:type="dxa"/>
            <w:vAlign w:val="bottom"/>
            <w:gridSpan w:val="3"/>
          </w:tcPr>
          <w:p>
            <w:pPr>
              <w:spacing w:after="0"/>
              <w:rPr>
                <w:sz w:val="24"/>
                <w:szCs w:val="24"/>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440" w:type="dxa"/>
            <w:vAlign w:val="bottom"/>
            <w:gridSpan w:val="3"/>
          </w:tcPr>
          <w:p>
            <w:pPr>
              <w:spacing w:after="0"/>
              <w:rPr>
                <w:sz w:val="19"/>
                <w:szCs w:val="19"/>
                <w:color w:val="auto"/>
              </w:rPr>
            </w:pPr>
          </w:p>
        </w:tc>
        <w:tc>
          <w:tcPr>
            <w:tcW w:w="23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3"/>
          </w:tcPr>
          <w:p>
            <w:pPr>
              <w:spacing w:after="0"/>
              <w:rPr>
                <w:sz w:val="19"/>
                <w:szCs w:val="19"/>
                <w:color w:val="auto"/>
              </w:rPr>
            </w:pPr>
          </w:p>
        </w:tc>
        <w:tc>
          <w:tcPr>
            <w:tcW w:w="3260" w:type="dxa"/>
            <w:vAlign w:val="bottom"/>
            <w:gridSpan w:val="11"/>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40" w:type="dxa"/>
            <w:vAlign w:val="bottom"/>
            <w:gridSpan w:val="3"/>
          </w:tcPr>
          <w:p>
            <w:pPr>
              <w:spacing w:after="0"/>
              <w:rPr>
                <w:sz w:val="19"/>
                <w:szCs w:val="19"/>
                <w:color w:val="auto"/>
              </w:rPr>
            </w:pPr>
          </w:p>
        </w:tc>
        <w:tc>
          <w:tcPr>
            <w:tcW w:w="76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440" w:type="dxa"/>
            <w:vAlign w:val="bottom"/>
            <w:gridSpan w:val="3"/>
          </w:tcPr>
          <w:p>
            <w:pPr>
              <w:spacing w:after="0"/>
              <w:rPr>
                <w:sz w:val="19"/>
                <w:szCs w:val="19"/>
                <w:color w:val="auto"/>
              </w:rPr>
            </w:pPr>
          </w:p>
        </w:tc>
        <w:tc>
          <w:tcPr>
            <w:tcW w:w="1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840" w:type="dxa"/>
            <w:vAlign w:val="bottom"/>
            <w:gridSpan w:val="16"/>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440" w:type="dxa"/>
            <w:vAlign w:val="bottom"/>
            <w:gridSpan w:val="3"/>
          </w:tcPr>
          <w:p>
            <w:pPr>
              <w:spacing w:after="0"/>
              <w:rPr>
                <w:sz w:val="19"/>
                <w:szCs w:val="19"/>
                <w:color w:val="auto"/>
              </w:rPr>
            </w:pP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19"/>
                <w:szCs w:val="19"/>
                <w:color w:val="auto"/>
              </w:rPr>
            </w:pPr>
          </w:p>
        </w:tc>
        <w:tc>
          <w:tcPr>
            <w:tcW w:w="6280" w:type="dxa"/>
            <w:vAlign w:val="bottom"/>
            <w:gridSpan w:val="18"/>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AeroVironment, Inc.</w:t>
      </w:r>
    </w:p>
    <w:p>
      <w:pPr>
        <w:jc w:val="center"/>
        <w:ind w:right="19"/>
        <w:spacing w:after="0" w:line="219" w:lineRule="auto"/>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47,000</w:t>
            </w:r>
          </w:p>
        </w:tc>
        <w:tc>
          <w:tcPr>
            <w:tcW w:w="2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$94 at January 25, 2025 and $159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at April 30, 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81,231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Unbilled receivables and retentions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229,651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147,973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543,886</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515,581</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31,696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57,780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275,289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275,652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23,080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1,048,143</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1,015,860</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48,766</w:t>
            </w:r>
          </w:p>
        </w:tc>
        <w:tc>
          <w:tcPr>
            <w:tcW w:w="200" w:type="dxa"/>
            <w:vAlign w:val="bottom"/>
          </w:tcPr>
          <w:p>
            <w:pPr>
              <w:spacing w:after="0"/>
              <w:rPr>
                <w:sz w:val="17"/>
                <w:szCs w:val="17"/>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Wages and related accruals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advances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12,064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9,365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22,138</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128,908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144,879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shares—10,000,000; none issued or outstanding at January 25, 2025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April 30, 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shares—100,000,000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Issued and outstanding shares—28,219,440 shares at January 25, 2025 and 28,134,438 shares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at April 30, 2024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609,606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597,646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(6,197)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(5,592)</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257,642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230,687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861,055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822,745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1,048,143</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1,015,860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9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40" w:type="dxa"/>
            <w:vAlign w:val="bottom"/>
          </w:tcPr>
          <w:p>
            <w:pPr>
              <w:spacing w:after="0"/>
              <w:rPr>
                <w:sz w:val="10"/>
                <w:szCs w:val="10"/>
                <w:color w:val="auto"/>
              </w:rPr>
            </w:pPr>
          </w:p>
        </w:tc>
      </w:tr>
      <w:tr>
        <w:trPr>
          <w:trHeight w:val="173"/>
        </w:trPr>
        <w:tc>
          <w:tcPr>
            <w:tcW w:w="47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139,753</w:t>
            </w:r>
          </w:p>
        </w:tc>
        <w:tc>
          <w:tcPr>
            <w:tcW w:w="8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155,923</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450,488</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421,173</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27,883</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98,568</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167,636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186,578</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545,577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519,741</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99,486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253,572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240,126</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19,805</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73,701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71,318</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104,437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119,291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327,273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311,444</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56,437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196,916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181,047</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10,850</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27,250</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63,199</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67,287</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218,304</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208,297</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79,800</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22,498</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25,127</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75,827</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62,618</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65,879</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(loss):</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(4,072)</w:t>
            </w:r>
          </w:p>
        </w:tc>
      </w:tr>
      <w:tr>
        <w:trPr>
          <w:trHeight w:val="20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(2,983)</w:t>
            </w:r>
          </w:p>
        </w:tc>
      </w:tr>
      <w:tr>
        <w:trPr>
          <w:trHeight w:val="19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26,559</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58,824</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 (loss) income, net of tax</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(1,494)</w:t>
            </w:r>
          </w:p>
        </w:tc>
      </w:tr>
      <w:tr>
        <w:trPr>
          <w:trHeight w:val="23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13,885</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26,955</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53,620</w:t>
            </w:r>
          </w:p>
        </w:tc>
        <w:tc>
          <w:tcPr>
            <w:tcW w:w="40" w:type="dxa"/>
            <w:vAlign w:val="bottom"/>
            <w:tcBorders>
              <w:bottom w:val="single" w:sz="8" w:color="CCEEFF"/>
            </w:tcBorders>
          </w:tcPr>
          <w:p>
            <w:pPr>
              <w:spacing w:after="0"/>
              <w:rPr>
                <w:sz w:val="20"/>
                <w:szCs w:val="20"/>
                <w:color w:val="auto"/>
              </w:rPr>
            </w:pPr>
          </w:p>
        </w:tc>
      </w:tr>
      <w:tr>
        <w:trPr>
          <w:trHeight w:val="183"/>
        </w:trPr>
        <w:tc>
          <w:tcPr>
            <w:tcW w:w="4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(loss) income per share</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(0.06)</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(0.06)</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28,031,901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27,907,568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28,001,089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26,957,061</w:t>
            </w:r>
          </w:p>
        </w:tc>
        <w:tc>
          <w:tcPr>
            <w:tcW w:w="40" w:type="dxa"/>
            <w:vAlign w:val="bottom"/>
            <w:shd w:val="clear" w:color="auto" w:fill="CCEEFF"/>
          </w:tcPr>
          <w:p>
            <w:pPr>
              <w:spacing w:after="0"/>
              <w:rPr>
                <w:sz w:val="17"/>
                <w:szCs w:val="17"/>
                <w:color w:val="auto"/>
              </w:rPr>
            </w:pPr>
          </w:p>
        </w:tc>
      </w:tr>
      <w:tr>
        <w:trPr>
          <w:trHeight w:val="210"/>
        </w:trPr>
        <w:tc>
          <w:tcPr>
            <w:tcW w:w="4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28,031,901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28,044,127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28,171,089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27,061,409</w:t>
            </w:r>
          </w:p>
        </w:tc>
        <w:tc>
          <w:tcPr>
            <w:tcW w:w="40" w:type="dxa"/>
            <w:vAlign w:val="bottom"/>
          </w:tcPr>
          <w:p>
            <w:pPr>
              <w:spacing w:after="0"/>
              <w:rPr>
                <w:sz w:val="18"/>
                <w:szCs w:val="18"/>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000" w:type="dxa"/>
            <w:vAlign w:val="bottom"/>
          </w:tcPr>
          <w:p>
            <w:pPr>
              <w:spacing w:after="0"/>
              <w:rPr>
                <w:sz w:val="10"/>
                <w:szCs w:val="10"/>
                <w:color w:val="auto"/>
              </w:rPr>
            </w:pPr>
          </w:p>
        </w:tc>
        <w:tc>
          <w:tcPr>
            <w:tcW w:w="8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160" w:type="dxa"/>
            <w:vAlign w:val="bottom"/>
          </w:tcPr>
          <w:p>
            <w:pPr>
              <w:spacing w:after="0"/>
              <w:rPr>
                <w:sz w:val="10"/>
                <w:szCs w:val="10"/>
                <w:color w:val="auto"/>
              </w:rPr>
            </w:pPr>
          </w:p>
        </w:tc>
        <w:tc>
          <w:tcPr>
            <w:tcW w:w="100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100" w:type="dxa"/>
            <w:vAlign w:val="bottom"/>
          </w:tcPr>
          <w:p>
            <w:pPr>
              <w:spacing w:after="0"/>
              <w:rPr>
                <w:sz w:val="10"/>
                <w:szCs w:val="10"/>
                <w:color w:val="auto"/>
              </w:rPr>
            </w:pPr>
          </w:p>
        </w:tc>
      </w:tr>
      <w:tr>
        <w:trPr>
          <w:trHeight w:val="173"/>
        </w:trPr>
        <w:tc>
          <w:tcPr>
            <w:tcW w:w="5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53,620</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53,184</w:t>
            </w: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three months ended January 25, 2025 and January 27, 2024 (Unaudited)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4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0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26, 2024</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28,205,237</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$ 604,225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259,396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(5,228)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858,397</w:t>
            </w:r>
          </w:p>
        </w:tc>
        <w:tc>
          <w:tcPr>
            <w:tcW w:w="0" w:type="dxa"/>
            <w:vAlign w:val="bottom"/>
          </w:tcPr>
          <w:p>
            <w:pPr>
              <w:spacing w:after="0"/>
              <w:rPr>
                <w:sz w:val="1"/>
                <w:szCs w:val="1"/>
                <w:color w:val="auto"/>
              </w:rPr>
            </w:pPr>
          </w:p>
        </w:tc>
      </w:tr>
      <w:tr>
        <w:trPr>
          <w:trHeight w:val="148"/>
        </w:trPr>
        <w:tc>
          <w:tcPr>
            <w:tcW w:w="4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(969)</w:t>
            </w:r>
          </w:p>
        </w:tc>
        <w:tc>
          <w:tcPr>
            <w:tcW w:w="0" w:type="dxa"/>
            <w:vAlign w:val="bottom"/>
          </w:tcPr>
          <w:p>
            <w:pPr>
              <w:spacing w:after="0"/>
              <w:rPr>
                <w:sz w:val="1"/>
                <w:szCs w:val="1"/>
                <w:color w:val="auto"/>
              </w:rPr>
            </w:pPr>
          </w:p>
        </w:tc>
      </w:tr>
      <w:tr>
        <w:trPr>
          <w:trHeight w:val="148"/>
        </w:trPr>
        <w:tc>
          <w:tcPr>
            <w:tcW w:w="4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16,804</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00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5,381</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25, 2025</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28,219,440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$ 609,606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257,642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(6,197)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861,055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4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0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28, 2023</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28,135,539</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$ 589,047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210,756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(6,077)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793,730</w:t>
            </w:r>
          </w:p>
        </w:tc>
        <w:tc>
          <w:tcPr>
            <w:tcW w:w="0" w:type="dxa"/>
            <w:vAlign w:val="bottom"/>
          </w:tcPr>
          <w:p>
            <w:pPr>
              <w:spacing w:after="0"/>
              <w:rPr>
                <w:sz w:val="1"/>
                <w:szCs w:val="1"/>
                <w:color w:val="auto"/>
              </w:rPr>
            </w:pPr>
          </w:p>
        </w:tc>
      </w:tr>
      <w:tr>
        <w:trPr>
          <w:trHeight w:val="148"/>
        </w:trPr>
        <w:tc>
          <w:tcPr>
            <w:tcW w:w="4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13,885</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148"/>
        </w:trPr>
        <w:tc>
          <w:tcPr>
            <w:tcW w:w="4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4,622</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(3,426)</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4,181</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27, 2024</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28,136,735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$ 593,228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224,641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(4,888)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812,985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nine months ended January 25, 2025 and January 27, 2024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740" w:type="dxa"/>
            <w:vAlign w:val="bottom"/>
          </w:tcPr>
          <w:p>
            <w:pPr>
              <w:jc w:val="right"/>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2024</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28,134,438</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$ 597,646</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$ 230,687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(5,592)</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822,745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88,587</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(7,764)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8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(11,985)</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15,518</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25, 2025</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28,219,440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$ 609,606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$ 257,642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(6,197)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861,055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80" w:type="dxa"/>
            <w:vAlign w:val="bottom"/>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7"/>
                <w:szCs w:val="17"/>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April 30, 2023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26,216,897</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$ 384,397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$ 171,021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53,620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(13,919)</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issued, net of issuance costs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807,370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87,956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985,999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12,425</w:t>
            </w: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Balance at January 27, 2024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28,136,735</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$ 593,228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$ 224,641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(4,888)</w:t>
            </w:r>
          </w:p>
        </w:tc>
        <w:tc>
          <w:tcPr>
            <w:tcW w:w="120" w:type="dxa"/>
            <w:vAlign w:val="bottom"/>
          </w:tcPr>
          <w:p>
            <w:pPr>
              <w:spacing w:after="0"/>
              <w:rPr>
                <w:sz w:val="15"/>
                <w:szCs w:val="15"/>
                <w:color w:val="auto"/>
              </w:rPr>
            </w:pP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AeroVironment,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5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180" w:type="dxa"/>
            <w:vAlign w:val="bottom"/>
          </w:tcPr>
          <w:p>
            <w:pPr>
              <w:spacing w:after="0"/>
              <w:rPr>
                <w:sz w:val="10"/>
                <w:szCs w:val="10"/>
                <w:color w:val="auto"/>
              </w:rPr>
            </w:pPr>
          </w:p>
        </w:tc>
      </w:tr>
      <w:tr>
        <w:trPr>
          <w:trHeight w:val="173"/>
        </w:trPr>
        <w:tc>
          <w:tcPr>
            <w:tcW w:w="54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r>
      <w:tr>
        <w:trPr>
          <w:trHeight w:val="142"/>
        </w:trPr>
        <w:tc>
          <w:tcPr>
            <w:tcW w:w="54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26,955</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53,620</w:t>
            </w:r>
          </w:p>
        </w:tc>
        <w:tc>
          <w:tcPr>
            <w:tcW w:w="180" w:type="dxa"/>
            <w:vAlign w:val="bottom"/>
          </w:tcPr>
          <w:p>
            <w:pPr>
              <w:spacing w:after="0"/>
              <w:rPr>
                <w:sz w:val="12"/>
                <w:szCs w:val="12"/>
                <w:color w:val="auto"/>
              </w:rPr>
            </w:pPr>
          </w:p>
        </w:tc>
      </w:tr>
      <w:tr>
        <w:trPr>
          <w:trHeight w:val="148"/>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cash (used in) provided by operating activities: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5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27,144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24,969</w:t>
            </w:r>
          </w:p>
        </w:tc>
        <w:tc>
          <w:tcPr>
            <w:tcW w:w="180" w:type="dxa"/>
            <w:vAlign w:val="bottom"/>
          </w:tcPr>
          <w:p>
            <w:pPr>
              <w:spacing w:after="0"/>
              <w:rPr>
                <w:sz w:val="12"/>
                <w:szCs w:val="12"/>
                <w:color w:val="auto"/>
              </w:rPr>
            </w:pPr>
          </w:p>
        </w:tc>
      </w:tr>
      <w:tr>
        <w:trPr>
          <w:trHeight w:val="148"/>
        </w:trPr>
        <w:tc>
          <w:tcPr>
            <w:tcW w:w="54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loss from equity method investments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180" w:type="dxa"/>
            <w:vAlign w:val="bottom"/>
            <w:shd w:val="clear" w:color="auto" w:fill="CCEEFF"/>
          </w:tcPr>
          <w:p>
            <w:pPr>
              <w:spacing w:after="0"/>
              <w:rPr>
                <w:sz w:val="12"/>
                <w:szCs w:val="12"/>
                <w:color w:val="auto"/>
              </w:rPr>
            </w:pPr>
          </w:p>
        </w:tc>
      </w:tr>
      <w:tr>
        <w:trPr>
          <w:trHeight w:val="149"/>
        </w:trPr>
        <w:tc>
          <w:tcPr>
            <w:tcW w:w="5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180" w:type="dxa"/>
            <w:vAlign w:val="bottom"/>
          </w:tcPr>
          <w:p>
            <w:pPr>
              <w:spacing w:after="0"/>
              <w:rPr>
                <w:sz w:val="12"/>
                <w:szCs w:val="12"/>
                <w:color w:val="auto"/>
              </w:rPr>
            </w:pPr>
          </w:p>
        </w:tc>
      </w:tr>
      <w:tr>
        <w:trPr>
          <w:trHeight w:val="148"/>
        </w:trPr>
        <w:tc>
          <w:tcPr>
            <w:tcW w:w="54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w:t>
            </w:r>
          </w:p>
        </w:tc>
      </w:tr>
      <w:tr>
        <w:trPr>
          <w:trHeight w:val="148"/>
        </w:trPr>
        <w:tc>
          <w:tcPr>
            <w:tcW w:w="5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Reserve for inventory excess and obsolescence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11,668</w:t>
            </w:r>
          </w:p>
        </w:tc>
        <w:tc>
          <w:tcPr>
            <w:tcW w:w="180" w:type="dxa"/>
            <w:vAlign w:val="bottom"/>
          </w:tcPr>
          <w:p>
            <w:pPr>
              <w:spacing w:after="0"/>
              <w:rPr>
                <w:sz w:val="12"/>
                <w:szCs w:val="12"/>
                <w:color w:val="auto"/>
              </w:rPr>
            </w:pPr>
          </w:p>
        </w:tc>
      </w:tr>
      <w:tr>
        <w:trPr>
          <w:trHeight w:val="148"/>
        </w:trPr>
        <w:tc>
          <w:tcPr>
            <w:tcW w:w="54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non-cash expense, net</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783</w:t>
            </w:r>
          </w:p>
        </w:tc>
        <w:tc>
          <w:tcPr>
            <w:tcW w:w="180" w:type="dxa"/>
            <w:vAlign w:val="bottom"/>
            <w:shd w:val="clear" w:color="auto" w:fill="CCEEFF"/>
          </w:tcPr>
          <w:p>
            <w:pPr>
              <w:spacing w:after="0"/>
              <w:rPr>
                <w:sz w:val="12"/>
                <w:szCs w:val="12"/>
                <w:color w:val="auto"/>
              </w:rPr>
            </w:pPr>
          </w:p>
        </w:tc>
      </w:tr>
      <w:tr>
        <w:trPr>
          <w:trHeight w:val="148"/>
        </w:trPr>
        <w:tc>
          <w:tcPr>
            <w:tcW w:w="5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7,379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6,923</w:t>
            </w:r>
          </w:p>
        </w:tc>
        <w:tc>
          <w:tcPr>
            <w:tcW w:w="180" w:type="dxa"/>
            <w:vAlign w:val="bottom"/>
          </w:tcPr>
          <w:p>
            <w:pPr>
              <w:spacing w:after="0"/>
              <w:rPr>
                <w:sz w:val="12"/>
                <w:szCs w:val="12"/>
                <w:color w:val="auto"/>
              </w:rPr>
            </w:pPr>
          </w:p>
        </w:tc>
      </w:tr>
      <w:tr>
        <w:trPr>
          <w:trHeight w:val="148"/>
        </w:trPr>
        <w:tc>
          <w:tcPr>
            <w:tcW w:w="54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loss on foreign currency transactions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80" w:type="dxa"/>
            <w:vAlign w:val="bottom"/>
            <w:shd w:val="clear" w:color="auto" w:fill="CCEEFF"/>
          </w:tcPr>
          <w:p>
            <w:pPr>
              <w:spacing w:after="0"/>
              <w:rPr>
                <w:sz w:val="12"/>
                <w:szCs w:val="12"/>
                <w:color w:val="auto"/>
              </w:rPr>
            </w:pPr>
          </w:p>
        </w:tc>
      </w:tr>
      <w:tr>
        <w:trPr>
          <w:trHeight w:val="149"/>
        </w:trPr>
        <w:tc>
          <w:tcPr>
            <w:tcW w:w="5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loss on available-for-sale equity securities, net</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(1,187)</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w:t>
            </w:r>
          </w:p>
        </w:tc>
        <w:tc>
          <w:tcPr>
            <w:tcW w:w="180" w:type="dxa"/>
            <w:vAlign w:val="bottom"/>
          </w:tcPr>
          <w:p>
            <w:pPr>
              <w:spacing w:after="0"/>
              <w:rPr>
                <w:sz w:val="12"/>
                <w:szCs w:val="12"/>
                <w:color w:val="auto"/>
              </w:rPr>
            </w:pPr>
          </w:p>
        </w:tc>
      </w:tr>
      <w:tr>
        <w:trPr>
          <w:trHeight w:val="148"/>
        </w:trPr>
        <w:tc>
          <w:tcPr>
            <w:tcW w:w="54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(1,604)</w:t>
            </w:r>
          </w:p>
        </w:tc>
      </w:tr>
      <w:tr>
        <w:trPr>
          <w:trHeight w:val="148"/>
        </w:trPr>
        <w:tc>
          <w:tcPr>
            <w:tcW w:w="5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12,425</w:t>
            </w:r>
          </w:p>
        </w:tc>
        <w:tc>
          <w:tcPr>
            <w:tcW w:w="180" w:type="dxa"/>
            <w:vAlign w:val="bottom"/>
          </w:tcPr>
          <w:p>
            <w:pPr>
              <w:spacing w:after="0"/>
              <w:rPr>
                <w:sz w:val="12"/>
                <w:szCs w:val="12"/>
                <w:color w:val="auto"/>
              </w:rPr>
            </w:pPr>
          </w:p>
        </w:tc>
      </w:tr>
      <w:tr>
        <w:trPr>
          <w:trHeight w:val="148"/>
        </w:trPr>
        <w:tc>
          <w:tcPr>
            <w:tcW w:w="54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80" w:type="dxa"/>
            <w:vAlign w:val="bottom"/>
            <w:shd w:val="clear" w:color="auto" w:fill="CCEEFF"/>
          </w:tcPr>
          <w:p>
            <w:pPr>
              <w:spacing w:after="0"/>
              <w:rPr>
                <w:sz w:val="12"/>
                <w:szCs w:val="12"/>
                <w:color w:val="auto"/>
              </w:rPr>
            </w:pPr>
          </w:p>
        </w:tc>
      </w:tr>
      <w:tr>
        <w:trPr>
          <w:trHeight w:val="148"/>
        </w:trPr>
        <w:tc>
          <w:tcPr>
            <w:tcW w:w="5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54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(11,095)</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36,387</w:t>
            </w:r>
          </w:p>
        </w:tc>
        <w:tc>
          <w:tcPr>
            <w:tcW w:w="180" w:type="dxa"/>
            <w:vAlign w:val="bottom"/>
            <w:shd w:val="clear" w:color="auto" w:fill="CCEEFF"/>
          </w:tcPr>
          <w:p>
            <w:pPr>
              <w:spacing w:after="0"/>
              <w:rPr>
                <w:sz w:val="12"/>
                <w:szCs w:val="12"/>
                <w:color w:val="auto"/>
              </w:rPr>
            </w:pPr>
          </w:p>
        </w:tc>
      </w:tr>
      <w:tr>
        <w:trPr>
          <w:trHeight w:val="148"/>
        </w:trPr>
        <w:tc>
          <w:tcPr>
            <w:tcW w:w="54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Unbilled receivables and retentions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(30,172)</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(41,950)</w:t>
            </w:r>
          </w:p>
        </w:tc>
      </w:tr>
      <w:tr>
        <w:trPr>
          <w:trHeight w:val="148"/>
        </w:trPr>
        <w:tc>
          <w:tcPr>
            <w:tcW w:w="54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(1,167)</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(31,901)</w:t>
            </w:r>
          </w:p>
        </w:tc>
      </w:tr>
      <w:tr>
        <w:trPr>
          <w:trHeight w:val="148"/>
        </w:trPr>
        <w:tc>
          <w:tcPr>
            <w:tcW w:w="54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(14,738)</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(8,081)</w:t>
            </w:r>
          </w:p>
        </w:tc>
      </w:tr>
      <w:tr>
        <w:trPr>
          <w:trHeight w:val="148"/>
        </w:trPr>
        <w:tc>
          <w:tcPr>
            <w:tcW w:w="54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(9,314)</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(15,896)</w:t>
            </w:r>
          </w:p>
        </w:tc>
      </w:tr>
      <w:tr>
        <w:trPr>
          <w:trHeight w:val="149"/>
        </w:trPr>
        <w:tc>
          <w:tcPr>
            <w:tcW w:w="54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(1,359)</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(10,003)</w:t>
            </w:r>
          </w:p>
        </w:tc>
      </w:tr>
      <w:tr>
        <w:trPr>
          <w:trHeight w:val="148"/>
        </w:trPr>
        <w:tc>
          <w:tcPr>
            <w:tcW w:w="54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(13,034)</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(15,321)</w:t>
            </w:r>
          </w:p>
        </w:tc>
      </w:tr>
      <w:tr>
        <w:trPr>
          <w:trHeight w:val="142"/>
        </w:trPr>
        <w:tc>
          <w:tcPr>
            <w:tcW w:w="5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(1,054)</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26,965</w:t>
            </w:r>
          </w:p>
        </w:tc>
        <w:tc>
          <w:tcPr>
            <w:tcW w:w="180" w:type="dxa"/>
            <w:vAlign w:val="bottom"/>
          </w:tcPr>
          <w:p>
            <w:pPr>
              <w:spacing w:after="0"/>
              <w:rPr>
                <w:sz w:val="12"/>
                <w:szCs w:val="12"/>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(14,292)</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(13,901)</w:t>
            </w:r>
          </w:p>
        </w:tc>
      </w:tr>
      <w:tr>
        <w:trPr>
          <w:trHeight w:val="148"/>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 in equity method investments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(2,309)</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(1,875)</w:t>
            </w:r>
          </w:p>
        </w:tc>
      </w:tr>
      <w:tr>
        <w:trPr>
          <w:trHeight w:val="149"/>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intangibles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(1,500)</w:t>
            </w:r>
          </w:p>
        </w:tc>
      </w:tr>
      <w:tr>
        <w:trPr>
          <w:trHeight w:val="148"/>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acquisitions, net of cash acquired</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(24,156)</w:t>
            </w:r>
          </w:p>
        </w:tc>
      </w:tr>
      <w:tr>
        <w:trPr>
          <w:trHeight w:val="142"/>
        </w:trPr>
        <w:tc>
          <w:tcPr>
            <w:tcW w:w="5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(16,601)</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(41,432)</w:t>
            </w:r>
          </w:p>
        </w:tc>
        <w:tc>
          <w:tcPr>
            <w:tcW w:w="180" w:type="dxa"/>
            <w:vAlign w:val="bottom"/>
          </w:tcPr>
          <w:p>
            <w:pPr>
              <w:spacing w:after="0"/>
              <w:rPr>
                <w:sz w:val="12"/>
                <w:szCs w:val="12"/>
                <w:color w:val="auto"/>
              </w:rPr>
            </w:pPr>
          </w:p>
        </w:tc>
      </w:tr>
      <w:tr>
        <w:trPr>
          <w:trHeight w:val="148"/>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term loan</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(95,000)</w:t>
            </w:r>
          </w:p>
        </w:tc>
      </w:tr>
      <w:tr>
        <w:trPr>
          <w:trHeight w:val="148"/>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Holdback and retention payments for business acquisition</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(500)</w:t>
            </w:r>
          </w:p>
        </w:tc>
      </w:tr>
      <w:tr>
        <w:trPr>
          <w:trHeight w:val="148"/>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contingent consideration</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(2,132)</w:t>
            </w:r>
          </w:p>
        </w:tc>
      </w:tr>
      <w:tr>
        <w:trPr>
          <w:trHeight w:val="149"/>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shares issued, net of issuance costs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88,437</w:t>
            </w:r>
          </w:p>
        </w:tc>
        <w:tc>
          <w:tcPr>
            <w:tcW w:w="180" w:type="dxa"/>
            <w:vAlign w:val="bottom"/>
            <w:shd w:val="clear" w:color="auto" w:fill="CCEEFF"/>
          </w:tcPr>
          <w:p>
            <w:pPr>
              <w:spacing w:after="0"/>
              <w:rPr>
                <w:sz w:val="12"/>
                <w:szCs w:val="12"/>
                <w:color w:val="auto"/>
              </w:rPr>
            </w:pPr>
          </w:p>
        </w:tc>
      </w:tr>
      <w:tr>
        <w:trPr>
          <w:trHeight w:val="148"/>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(1,056)</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w:t>
            </w:r>
          </w:p>
        </w:tc>
      </w:tr>
      <w:tr>
        <w:trPr>
          <w:trHeight w:val="149"/>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(4,064)</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(1,370)</w:t>
            </w:r>
          </w:p>
        </w:tc>
      </w:tr>
      <w:tr>
        <w:trPr>
          <w:trHeight w:val="149"/>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w:t>
            </w:r>
          </w:p>
        </w:tc>
      </w:tr>
      <w:tr>
        <w:trPr>
          <w:trHeight w:val="142"/>
        </w:trPr>
        <w:tc>
          <w:tcPr>
            <w:tcW w:w="5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(8,388)</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(10,621)</w:t>
            </w:r>
          </w:p>
        </w:tc>
        <w:tc>
          <w:tcPr>
            <w:tcW w:w="180" w:type="dxa"/>
            <w:vAlign w:val="bottom"/>
          </w:tcPr>
          <w:p>
            <w:pPr>
              <w:spacing w:after="0"/>
              <w:rPr>
                <w:sz w:val="12"/>
                <w:szCs w:val="12"/>
                <w:color w:val="auto"/>
              </w:rPr>
            </w:pPr>
          </w:p>
        </w:tc>
      </w:tr>
      <w:tr>
        <w:trPr>
          <w:trHeight w:val="148"/>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Effects of currency translation on cash and cash equivalents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w:t>
            </w:r>
          </w:p>
        </w:tc>
      </w:tr>
      <w:tr>
        <w:trPr>
          <w:trHeight w:val="142"/>
        </w:trPr>
        <w:tc>
          <w:tcPr>
            <w:tcW w:w="5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decrease in cash and cash equivalents</w:t>
            </w:r>
          </w:p>
        </w:tc>
        <w:tc>
          <w:tcPr>
            <w:tcW w:w="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(26,301)</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(25,165)</w:t>
            </w:r>
          </w:p>
        </w:tc>
        <w:tc>
          <w:tcPr>
            <w:tcW w:w="180" w:type="dxa"/>
            <w:vAlign w:val="bottom"/>
          </w:tcPr>
          <w:p>
            <w:pPr>
              <w:spacing w:after="0"/>
              <w:rPr>
                <w:sz w:val="12"/>
                <w:szCs w:val="12"/>
                <w:color w:val="auto"/>
              </w:rPr>
            </w:pPr>
          </w:p>
        </w:tc>
      </w:tr>
      <w:tr>
        <w:trPr>
          <w:trHeight w:val="148"/>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73,301</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132,859</w:t>
            </w:r>
          </w:p>
        </w:tc>
        <w:tc>
          <w:tcPr>
            <w:tcW w:w="180" w:type="dxa"/>
            <w:vAlign w:val="bottom"/>
            <w:shd w:val="clear" w:color="auto" w:fill="CCEEFF"/>
          </w:tcPr>
          <w:p>
            <w:pPr>
              <w:spacing w:after="0"/>
              <w:rPr>
                <w:sz w:val="12"/>
                <w:szCs w:val="12"/>
                <w:color w:val="auto"/>
              </w:rPr>
            </w:pPr>
          </w:p>
        </w:tc>
      </w:tr>
      <w:tr>
        <w:trPr>
          <w:trHeight w:val="182"/>
        </w:trPr>
        <w:tc>
          <w:tcPr>
            <w:tcW w:w="54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4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47,000</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107,694</w:t>
            </w:r>
          </w:p>
        </w:tc>
        <w:tc>
          <w:tcPr>
            <w:tcW w:w="180" w:type="dxa"/>
            <w:vAlign w:val="bottom"/>
            <w:tcBorders>
              <w:bottom w:val="single" w:sz="8" w:color="CCEEFF"/>
            </w:tcBorders>
          </w:tcPr>
          <w:p>
            <w:pPr>
              <w:spacing w:after="0"/>
              <w:rPr>
                <w:sz w:val="15"/>
                <w:szCs w:val="15"/>
                <w:color w:val="auto"/>
              </w:rPr>
            </w:pPr>
          </w:p>
        </w:tc>
      </w:tr>
      <w:tr>
        <w:trPr>
          <w:trHeight w:val="129"/>
        </w:trPr>
        <w:tc>
          <w:tcPr>
            <w:tcW w:w="54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8"/>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net during the period for:</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54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6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15,195</w:t>
            </w:r>
          </w:p>
        </w:tc>
        <w:tc>
          <w:tcPr>
            <w:tcW w:w="180" w:type="dxa"/>
            <w:vAlign w:val="bottom"/>
            <w:shd w:val="clear" w:color="auto" w:fill="CCEEFF"/>
          </w:tcPr>
          <w:p>
            <w:pPr>
              <w:spacing w:after="0"/>
              <w:rPr>
                <w:sz w:val="12"/>
                <w:szCs w:val="12"/>
                <w:color w:val="auto"/>
              </w:rPr>
            </w:pPr>
          </w:p>
        </w:tc>
      </w:tr>
      <w:tr>
        <w:trPr>
          <w:trHeight w:val="149"/>
        </w:trPr>
        <w:tc>
          <w:tcPr>
            <w:tcW w:w="54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6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5,850</w:t>
            </w:r>
          </w:p>
        </w:tc>
        <w:tc>
          <w:tcPr>
            <w:tcW w:w="180" w:type="dxa"/>
            <w:vAlign w:val="bottom"/>
          </w:tcPr>
          <w:p>
            <w:pPr>
              <w:spacing w:after="0"/>
              <w:rPr>
                <w:sz w:val="12"/>
                <w:szCs w:val="12"/>
                <w:color w:val="auto"/>
              </w:rPr>
            </w:pPr>
          </w:p>
        </w:tc>
      </w:tr>
      <w:tr>
        <w:trPr>
          <w:trHeight w:val="148"/>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activities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6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109,820</w:t>
            </w:r>
          </w:p>
        </w:tc>
        <w:tc>
          <w:tcPr>
            <w:tcW w:w="180" w:type="dxa"/>
            <w:vAlign w:val="bottom"/>
          </w:tcPr>
          <w:p>
            <w:pPr>
              <w:spacing w:after="0"/>
              <w:rPr>
                <w:sz w:val="12"/>
                <w:szCs w:val="12"/>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6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(436)</w:t>
            </w:r>
          </w:p>
        </w:tc>
      </w:tr>
      <w:tr>
        <w:trPr>
          <w:trHeight w:val="150"/>
        </w:trPr>
        <w:tc>
          <w:tcPr>
            <w:tcW w:w="546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640" w:type="dxa"/>
            <w:vAlign w:val="bottom"/>
            <w:gridSpan w:val="2"/>
          </w:tcPr>
          <w:p>
            <w:pPr>
              <w:jc w:val="right"/>
              <w:ind w:right="48"/>
              <w:spacing w:after="0" w:line="150"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1,608</w:t>
            </w:r>
          </w:p>
        </w:tc>
        <w:tc>
          <w:tcPr>
            <w:tcW w:w="160" w:type="dxa"/>
            <w:vAlign w:val="bottom"/>
          </w:tcPr>
          <w:p>
            <w:pPr>
              <w:spacing w:after="0"/>
              <w:rPr>
                <w:sz w:val="13"/>
                <w:szCs w:val="13"/>
                <w:color w:val="auto"/>
              </w:rPr>
            </w:pPr>
          </w:p>
        </w:tc>
        <w:tc>
          <w:tcPr>
            <w:tcW w:w="200" w:type="dxa"/>
            <w:vAlign w:val="bottom"/>
          </w:tcPr>
          <w:p>
            <w:pPr>
              <w:jc w:val="right"/>
              <w:ind w:right="48"/>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2,519</w:t>
            </w:r>
          </w:p>
        </w:tc>
        <w:tc>
          <w:tcPr>
            <w:tcW w:w="180" w:type="dxa"/>
            <w:vAlign w:val="bottom"/>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left="40" w:right="579"/>
        <w:spacing w:after="0" w:line="258" w:lineRule="auto"/>
        <w:rPr>
          <w:sz w:val="20"/>
          <w:szCs w:val="20"/>
          <w:color w:val="auto"/>
        </w:rPr>
      </w:pPr>
      <w:r>
        <w:rPr>
          <w:rFonts w:ascii="Times New Roman" w:cs="Times New Roman" w:eastAsia="Times New Roman" w:hAnsi="Times New Roman"/>
          <w:sz w:val="18"/>
          <w:szCs w:val="18"/>
          <w:color w:val="auto"/>
        </w:rPr>
        <w:t>AeroVironment, Inc., a Delaware corporation (the “Company”), is engaged in the design, development, production, delivery and support of a technologically advanced portfolio of intelligent, multi-domain robotic systems and related services for government agencies and businesses. AeroVironment, Inc. supplies uncrewed aircraft and ground robot systems, loitering munitions systems and related services primarily to organizations within or supplying the U.S. Department of Defense (“D.o.D.”), other federal agencies and international allied governments.</w:t>
      </w:r>
    </w:p>
    <w:p>
      <w:pPr>
        <w:spacing w:after="0" w:line="183" w:lineRule="exact"/>
        <w:rPr>
          <w:sz w:val="20"/>
          <w:szCs w:val="20"/>
          <w:color w:val="auto"/>
        </w:rPr>
      </w:pPr>
    </w:p>
    <w:p>
      <w:pPr>
        <w:ind w:left="40" w:right="299"/>
        <w:spacing w:after="0" w:line="266" w:lineRule="auto"/>
        <w:rPr>
          <w:sz w:val="20"/>
          <w:szCs w:val="20"/>
          <w:color w:val="auto"/>
        </w:rPr>
      </w:pPr>
      <w:r>
        <w:rPr>
          <w:rFonts w:ascii="Times New Roman" w:cs="Times New Roman" w:eastAsia="Times New Roman" w:hAnsi="Times New Roman"/>
          <w:sz w:val="18"/>
          <w:szCs w:val="18"/>
          <w:color w:val="auto"/>
        </w:rPr>
        <w:t>Effective May 1, 2023, the Company reorganized its segments. Due to the Company’s growth as an organization, the reorganization was implemented to drive additional operational improvements, foster synergies and provide leaders with greater autonomy over their product lines. The Company’s reportable segments are as follows:</w:t>
      </w:r>
    </w:p>
    <w:p>
      <w:pPr>
        <w:spacing w:after="0" w:line="174"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i w:val="1"/>
          <w:iCs w:val="1"/>
          <w:color w:val="auto"/>
        </w:rPr>
        <w:t>Loitering Munitions Systems (“LMS”)</w:t>
      </w:r>
      <w:r>
        <w:rPr>
          <w:rFonts w:ascii="Times New Roman" w:cs="Times New Roman" w:eastAsia="Times New Roman" w:hAnsi="Times New Roman"/>
          <w:sz w:val="18"/>
          <w:szCs w:val="18"/>
          <w:color w:val="auto"/>
        </w:rPr>
        <w:t>—The LMS segment, which consists of the former Tactical Missile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focuses primarily on tube-launched aircraft that deploy with the push of a button, fly at higher speeds than small UAS products, and perform either effects delivery or reconnaissance missions, and related support services including training, spare parts, product repair, and product replacement. The LMS segment also includes customer-funded research and development (“R&amp;D”)programs.</w:t>
      </w:r>
    </w:p>
    <w:p>
      <w:pPr>
        <w:spacing w:after="0" w:line="183"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i w:val="1"/>
          <w:iCs w:val="1"/>
          <w:color w:val="auto"/>
        </w:rPr>
        <w:t>Uncrewed Systems (“UxS”)</w:t>
      </w:r>
      <w:r>
        <w:rPr>
          <w:rFonts w:ascii="Times New Roman" w:cs="Times New Roman" w:eastAsia="Times New Roman" w:hAnsi="Times New Roman"/>
          <w:sz w:val="18"/>
          <w:szCs w:val="18"/>
          <w:color w:val="auto"/>
        </w:rPr>
        <w:t>—The UxS segment, which consists of the former small uncrewed aircraft systems (“SUAS”),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medium uncrewed aircraft systems (“MUAS”) and uncrewed ground vehicles (“UGV”) segments and Tomahawk Robotics, Inc. (“Tomahawk”), which was acquired on September 15, 2023, focuses primarily on (i) small UAS products designed to operate reliably at lower altitudes in a wide range of environmental conditions, providing a vantage point from which to collect and deliver valuable information as well as related support including training, spare and accessory parts, product repair, product replacement, maintenance and upgrades; (ii) medium UAS products designed to operate reliably at medium altitudes with longer range while carrying larger payloads including airborne platforms, (iii) payloads and payload integration, ground support equipment and other items and services related generally to uncrewed aircraft systems historically including intelligence, surveillance, and reconnaissance (“ISR”) services; (iv) UGV products designed to help responders remove, contain or neutralize hazards in situations where improvised explosive devices, caustic chemicals, nuclear, radiological or biological hazards or violent individuals represent significant danger to humans; and (v) AI-enabled common control and communication solutions that allow any uncrewed system to be controlled from a common user interface while aggregating data from multiple platforms to provide real time intelligence.</w:t>
      </w:r>
    </w:p>
    <w:p>
      <w:pPr>
        <w:spacing w:after="0" w:line="187" w:lineRule="exact"/>
        <w:rPr>
          <w:sz w:val="20"/>
          <w:szCs w:val="20"/>
          <w:color w:val="auto"/>
        </w:rPr>
      </w:pPr>
    </w:p>
    <w:p>
      <w:pPr>
        <w:ind w:left="40" w:right="239"/>
        <w:spacing w:after="0" w:line="258" w:lineRule="auto"/>
        <w:rPr>
          <w:sz w:val="20"/>
          <w:szCs w:val="20"/>
          <w:color w:val="auto"/>
        </w:rPr>
      </w:pPr>
      <w:r>
        <w:rPr>
          <w:rFonts w:ascii="Times New Roman" w:cs="Times New Roman" w:eastAsia="Times New Roman" w:hAnsi="Times New Roman"/>
          <w:sz w:val="18"/>
          <w:szCs w:val="18"/>
          <w:i w:val="1"/>
          <w:iCs w:val="1"/>
          <w:color w:val="auto"/>
        </w:rPr>
        <w:t>MacCready Works (“MW”)</w:t>
      </w:r>
      <w:r>
        <w:rPr>
          <w:rFonts w:ascii="Times New Roman" w:cs="Times New Roman" w:eastAsia="Times New Roman" w:hAnsi="Times New Roman"/>
          <w:sz w:val="18"/>
          <w:szCs w:val="18"/>
          <w:color w:val="auto"/>
        </w:rPr>
        <w:t>—The MW segment, which consists of the former MacCready Works and High Altitude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Pseudo-Satellite systems (“HAPS”) segments, focuses on customer-funded R&amp;D in the areas of HAPS, robotics, sensors, software analytics, data intelligence and connectivity. This segment contains the Company’s center of excellence for the development of machine learning, object identification and autonomy solutions and also seeks to identify new products, services and businesses for the Company.</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nine months ended January 25, 2025 are not necessarily indicative of the results for the full year ending April 30, 2025. For further information, refer to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59"/>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and footnotes thereto for the year ended April 30, 2024, included in the Company’s Annual Report on Form 10-K.</w:t>
      </w:r>
    </w:p>
    <w:p>
      <w:pPr>
        <w:spacing w:after="0" w:line="162"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condensed consolidated financial statements and accompanying notes. Actual results could differ from those estimates.</w:t>
      </w:r>
    </w:p>
    <w:p>
      <w:pPr>
        <w:spacing w:after="0" w:line="180"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include the assets, liabilities and operating results of wholly-owned subsidiaries. All intercompany accounts and transactions have been eliminated.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and Pending Acquisitions</w:t>
      </w:r>
    </w:p>
    <w:p>
      <w:pPr>
        <w:spacing w:after="0" w:line="229"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On September 15, 2023, the Company closed its acquisition of Tomahawk pursuant to a merger agreement, and post-acquisition, Tomahawk has been incorporated into the UxS segment. The assets, liabilities and operating results of Tomahawk have been included in the Company’s unaudited condensed consolidated financial statements. Refer to Note 16 —Business Acquisitions for further details.</w:t>
      </w:r>
    </w:p>
    <w:p>
      <w:pPr>
        <w:spacing w:after="0" w:line="180"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On November 13, 2024, the Company formed Archangel Merger Sub LLC, a Delaware limited liability company and a direct wholly owned subsidiary of the Company (“Merger Sub”), for the purpose of the announced acquisition of BlueHalo Financing Topco, LLC (“BlueHalo”).</w:t>
      </w:r>
    </w:p>
    <w:p>
      <w:pPr>
        <w:spacing w:after="0" w:line="176"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On November 19, 2024, the Company announced the execution of a definitive agreement under which the Company will acquire BlueHalo in an all-stock transaction. The Company, Merger Sub, BlueHalo, and BlueHalo Holdings Parent, LLC, a Delaware limited liability company and sole member of BlueHalo Financing Topco, LLC (“Seller”), entered into an Agreement and Plan of Merger (the “Merger Agreement”), pursuant to which, and subject to the satisfaction or waiver of the conditions set forth in the Merger Agreement, Merger Sub will merge with and into BlueHalo, with BlueHalo continuing as a wholly owned subsidiary of the Company and the surviving company of the merger (the “Merger” and together with the other transactions contemplated by the Merger Agreement, the “Transactions”).</w:t>
      </w:r>
    </w:p>
    <w:p>
      <w:pPr>
        <w:spacing w:after="0" w:line="189"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of the Merger (the “Effective Time”), all of the equity interests of BlueHalo issued and outstanding immediately prior to the Effective Time shall be automatically converted into the right to receive a number of shares of the Company’s common stock (“Company Common Stock”) equal to 18,548,698 shares (the “Transaction Consideration”), which will represent approximately 39.5% of the fully diluted shares outstanding of the pro forma combined company immediately prior to the execution and delivery of the Merger Agreement. The Transaction Consideration is subject to downwards adjustments, which shall be determined prior to the consummation of the Transactions (the “Closing”), for certain items of leakage, distribution or payment of cash or other property up to the Closing, incurred by BlueHalo and its subsidiaries since June 30, 2024 as set forth in the Merger Agreement.</w:t>
      </w:r>
    </w:p>
    <w:p>
      <w:pPr>
        <w:spacing w:after="0" w:line="188"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The Merger Agreement further provides that the Company may be required to pay a termination fee of $200,000,000 to Seller upon termination of the Merger Agreement under specified circumstances, including (i) termination by the Company to accept an Alternative Sale Transaction, (ii) termination by Seller due to the occurrence of a Company Board Adverse Recommendation Change or (iii) if the Company consummates an Alternative Sale Transaction within 9 months of termination of the Merger Agreement, subject to certain conditions as set forth in the Merger Agreement.</w:t>
      </w:r>
    </w:p>
    <w:p>
      <w:pPr>
        <w:spacing w:after="0" w:line="183"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Arlington Capital Partners V, L.P. and Arlington Capital Partners VI, L.P., the equityholders of the Key Seller Member (collectively, the “Sponsor Members”) have entered into a shareholder’s agreement (the “Shareholder’s Agreement”) with the Company pursuant to which the Sponsor Members have, among other things, agreed to abide by customary standstill covenants, obligations to vote consistent with the recommendation of the Company Board, and customary employee non-solicit restrictions with respect to the employees of the Company and its subsidiaries (including BlueHalo and its subsidiaries after the Closing). The Company has, among other things, agreed to provide the Sponsor Members with certain board designation rights and customary registration rights, including customary demand and piggyback rights. The Sponsor Members will have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56" w:lineRule="auto"/>
        <w:rPr>
          <w:sz w:val="20"/>
          <w:szCs w:val="20"/>
          <w:color w:val="auto"/>
        </w:rPr>
      </w:pPr>
      <w:r>
        <w:rPr>
          <w:rFonts w:ascii="Times New Roman" w:cs="Times New Roman" w:eastAsia="Times New Roman" w:hAnsi="Times New Roman"/>
          <w:sz w:val="18"/>
          <w:szCs w:val="18"/>
          <w:color w:val="auto"/>
        </w:rPr>
        <w:t>such designation rights to designate two directors until it and its affiliates cease to collectively hold and own, directly or indirectly, at least 20% of the issued and outstanding Company Common Stock and the Sponsor Members will have such designation rights to designate one director until they and their affiliates cease to collectively hold and own, directly or indirectly, at least 15% but less than 20% of the issued and outstanding Company Common Stock. The Sponsor Members are expected to beneficially own approximately 26.2% of the Company Common Stock at Closing (assuming no adjustments under the Merger Agreement).</w:t>
      </w:r>
    </w:p>
    <w:p>
      <w:pPr>
        <w:spacing w:after="0" w:line="187"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At the Effective Time, the Board of Directors of the Company (the “New Company Board”) is expected to consist of ten members, two of whom may be designated by the Sponsor Members for approval by the stockholders of the Company for appointment to the New Company Board, subject to certain conditions and qualifications as set forth in the Shareholder’s Agreement.</w:t>
      </w:r>
    </w:p>
    <w:p>
      <w:pPr>
        <w:spacing w:after="0" w:line="180"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In connection with the Merger Agreement, the Company entered into a commitment letter (the “Debt Commitment Letter”) with Bank of America, N.A. (“BofA NA”) and BofA Securities, Inc. ( “BofA Securities”) and JPMorgan Chase Bank, N.A. (“JPM”) on November 18, 2024 and amended and restated on December 30, 2024 to include U.S. Bank National Association (“U.S. Bank”), Citibank, N.A. (“Citi”), BMO Bank, N.A. (“BMO Bank”), Citizens Bank, N.A. (“Citizens”), and Royal Bank of Canada (“RBC”; RBC, together with BofA, JPM, U.S. Bank, Citi, BMO Bank, and Citizens, the “Commitment Parties,” and BofA Securities, JPM and U.S. Bank, collectively, the “Joint Lead Arrangers”), pursuant to which the Joint Lead Arrangers have committed to amend the Existing Credit Agreement (such amendment, the “Credit Agreement Amendment”) to provide a new Term Loan A facility (the “Acquisition Financing Facility”). The initial principal amount of the Acquisition Financing Facility will be $700,000,000, and the Acquisition Financing Facility will have a maturity date of two years from effective date of the Credit Agreement Amendment. The proceeds of the Acquisition Financing Facility will be used to refinance a portion of BlueHalo’s debt and pay fees, costs and expenses incurred in connection with the Transactions. The definitive documentation governing the Financing has not been finalized, and accordingly, the actual terms may differ from the description of such terms in the Debt Commitment Letter. The consummation of the Transactions is not conditioned upon receipt of the proceeds from the Acquisition Financing Facility or any replacement financing.</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did not adopt any accounting standards during the nine months ended January 25, 2025.</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its customers. These contracts may be firm fixed price (“FFP”), cost plus fixed fee (“CPFF”), or time and materials (“T&amp;M”). The Company considers all such contracts to be within the scope of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as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88"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Contract modifications are routine in the performance of the Company’s contracts. In most instances, contract modifications are for additional goods and/or services that are distinct and, therefore, accounted for as new contracts.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LMS product deliveries, certain Tomahawk product deliveries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includes revenue from ISR services in which the Company operates its MUAS in overseas locations to support U.S. military operations under ISR services contracts under a contractor-owned, contractor-operated (“COCO”) arrangement. In accordance with ASC 606,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w:t>
      </w:r>
    </w:p>
    <w:p>
      <w:pPr>
        <w:spacing w:after="0" w:line="193"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80"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The Company’s UxS product sales revenue is composed of revenue recognized on contracts for the delivery of UxS systems and spare parts, respectively. Revenue is recognized at the point in time when control transfers to the customer, which generally occurs when title and risk of loss have passed to the customer.</w:t>
      </w:r>
    </w:p>
    <w:p>
      <w:pPr>
        <w:spacing w:after="0" w:line="183"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On January 25, 2025, the Company had approximately $763,549,000 of remaining performance obligations under fully funded contracts with its customers, which the Company also refers to as funded backlog. The Company currently expects to recognize approximately 31% of the remaining performance obligations as revenue in fiscal 2025 and the remaining 69% in fiscal 2026 or beyond.</w:t>
      </w:r>
    </w:p>
    <w:p>
      <w:pPr>
        <w:spacing w:after="0" w:line="180"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The Company collects sales, value added, and other taxes concurrent with revenue producing activities, which are excluded from revenue when they are both imposed on a specific transaction and collected from a customer.</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29" w:lineRule="exact"/>
        <w:rPr>
          <w:sz w:val="20"/>
          <w:szCs w:val="20"/>
          <w:color w:val="auto"/>
        </w:rPr>
      </w:pPr>
    </w:p>
    <w:p>
      <w:pPr>
        <w:ind w:left="40" w:right="199"/>
        <w:spacing w:after="0" w:line="273" w:lineRule="auto"/>
        <w:rPr>
          <w:sz w:val="20"/>
          <w:szCs w:val="20"/>
          <w:color w:val="auto"/>
        </w:rPr>
      </w:pPr>
      <w:r>
        <w:rPr>
          <w:rFonts w:ascii="Times New Roman" w:cs="Times New Roman" w:eastAsia="Times New Roman" w:hAnsi="Times New Roman"/>
          <w:sz w:val="17"/>
          <w:szCs w:val="17"/>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left="40" w:right="219"/>
        <w:spacing w:after="0" w:line="289" w:lineRule="auto"/>
        <w:rPr>
          <w:sz w:val="20"/>
          <w:szCs w:val="20"/>
          <w:color w:val="auto"/>
        </w:rPr>
      </w:pPr>
      <w:r>
        <w:rPr>
          <w:rFonts w:ascii="Times New Roman" w:cs="Times New Roman" w:eastAsia="Times New Roman" w:hAnsi="Times New Roman"/>
          <w:sz w:val="17"/>
          <w:szCs w:val="17"/>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gives rise to several types of variable consideration, including undefinitized contract actions which are within the scope of ASC 606 with final contract values to be negotiated,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192" w:lineRule="exact"/>
        <w:rPr>
          <w:sz w:val="20"/>
          <w:szCs w:val="20"/>
          <w:color w:val="auto"/>
        </w:rPr>
      </w:pPr>
    </w:p>
    <w:p>
      <w:pPr>
        <w:ind w:left="40" w:right="219"/>
        <w:spacing w:after="0" w:line="254"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Changes in cumulative revenue estimates due to changes in the estimated transaction price are recorded using a cumulative catch-up adjustment in the period identified for contracts with performance obligations at a point in time, including undefinitized contract actions. In the period undefinitized contract actions become definitized, a cumulative catch-up adjustment is recorded to reflect the final consideration, which could have a material positive or negative impact.</w:t>
      </w:r>
    </w:p>
    <w:p>
      <w:pPr>
        <w:spacing w:after="0" w:line="192"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If at any time the estimate of contract profitability indicates an anticipated loss on the contract, the Company recognizes the total loss in the quarter it is identified, and it is recorded in other current liabilities. The balance of forward loss reserves as of January 25, 2025 and April 30, 2024 was $230,000 and $374,000, respectively. The Company recorded the forward loss reserves as the total estimated costs to complete the contracts are in excess of the total remaining consideration of the contracts. No adjustment on the forward loss reserve for any one contract was material to the Company’s unaudited condensed consolidated financial statements for the three and nine months ended January 25, 2025 or January 27, 2024, respectively.</w:t>
      </w:r>
    </w:p>
    <w:p>
      <w:pPr>
        <w:spacing w:after="0" w:line="189"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$9,150,000 and $9,515,000 for the three and nine month periods ended January 25, 2025, respectively. During the three months ended January 25, 2025, the majority of the adjustments relate to the Company revising its estimates of the total expected costs to complete three LMS contracts. The aggregate impact of these adjustments in contract estimates on revenue related to performance obligations satisfied or partially satisfied in previous periods was an increase to revenue of approximately $9,629,000. During the nine months ended January 25, 2025, the Company definitized certain LMS undefinitized contract actions. The aggregate impact of these cumulative catch-up revenue adjustments for the contract definitization was an increase to revenue of approximately $9,870,000. The aggregate impact of adjustments in contract estimates on revenue related to performance obligations satisfied or partially satisfied in previous periods was $4,398,000 and $5,087,000 for the three and nine month periods ended January 27, 2024, respectively. During the three months ended January 27, 2024, the Company revised its estimates to reflect a favorable definitization of an LMS contract. The aggregate impact of these adjustments in contract estimates on revenue related to performance obligations satisfied or partially satisfied in previous periods was an increase to revenue of approximately $3,574,000. During the nine months ended January 27, 2024, the Company revised its estimates of the total expected costs to complete a different LMS contract. The aggregate impact of these adjustments in contract estimates on revenue related to performance obligations satisfied or partially satisfied in previous periods was an increase to revenue of approximately $1,439,000.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29" w:lineRule="exact"/>
        <w:rPr>
          <w:sz w:val="20"/>
          <w:szCs w:val="20"/>
          <w:color w:val="auto"/>
        </w:rPr>
      </w:pPr>
    </w:p>
    <w:p>
      <w:pPr>
        <w:ind w:left="40" w:right="5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segment, contract type, customer category and geographic location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740" w:type="dxa"/>
            <w:vAlign w:val="bottom"/>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tc>
        <w:tc>
          <w:tcPr>
            <w:tcW w:w="88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320" w:type="dxa"/>
            <w:vAlign w:val="bottom"/>
            <w:vMerge w:val="continue"/>
          </w:tcPr>
          <w:p>
            <w:pPr>
              <w:spacing w:after="0"/>
              <w:rPr>
                <w:sz w:val="15"/>
                <w:szCs w:val="15"/>
                <w:color w:val="auto"/>
              </w:rPr>
            </w:pPr>
          </w:p>
        </w:tc>
        <w:tc>
          <w:tcPr>
            <w:tcW w:w="8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840" w:type="dxa"/>
            <w:vAlign w:val="bottom"/>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UxS</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63,750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$ 113,290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$ 269,142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$ 344,270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LMS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83,941</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57,658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213,629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118,824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MW</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167,636</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740" w:type="dxa"/>
            <w:vAlign w:val="bottom"/>
            <w:gridSpan w:val="9"/>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100" w:type="dxa"/>
            <w:vAlign w:val="bottom"/>
          </w:tcPr>
          <w:p>
            <w:pPr>
              <w:spacing w:after="0"/>
              <w:rPr>
                <w:sz w:val="15"/>
                <w:szCs w:val="15"/>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January 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320" w:type="dxa"/>
            <w:vAlign w:val="bottom"/>
            <w:vMerge w:val="continue"/>
          </w:tcPr>
          <w:p>
            <w:pPr>
              <w:spacing w:after="0"/>
              <w:rPr>
                <w:sz w:val="15"/>
                <w:szCs w:val="15"/>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84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FFP</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$ 148,768</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$ 167,256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$ 489,388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$ 457,077</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CPFF</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17,372</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17,925</w:t>
            </w:r>
          </w:p>
        </w:tc>
        <w:tc>
          <w:tcPr>
            <w:tcW w:w="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52,413</w:t>
            </w:r>
          </w:p>
        </w:tc>
        <w:tc>
          <w:tcPr>
            <w:tcW w:w="60" w:type="dxa"/>
            <w:vAlign w:val="bottom"/>
          </w:tcPr>
          <w:p>
            <w:pPr>
              <w:spacing w:after="0"/>
              <w:rPr>
                <w:sz w:val="18"/>
                <w:szCs w:val="18"/>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59,445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T&amp;M</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1,496</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1,397</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3,776</w:t>
            </w:r>
          </w:p>
        </w:tc>
        <w:tc>
          <w:tcPr>
            <w:tcW w:w="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$ 167,636</w:t>
            </w:r>
          </w:p>
        </w:tc>
        <w:tc>
          <w:tcPr>
            <w:tcW w:w="160" w:type="dxa"/>
            <w:vAlign w:val="bottom"/>
            <w:gridSpan w:val="2"/>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$ 186,578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$ 545,577</w:t>
            </w:r>
          </w:p>
        </w:tc>
        <w:tc>
          <w:tcPr>
            <w:tcW w:w="60" w:type="dxa"/>
            <w:vAlign w:val="bottom"/>
          </w:tcPr>
          <w:p>
            <w:pPr>
              <w:spacing w:after="0"/>
              <w:rPr>
                <w:sz w:val="18"/>
                <w:szCs w:val="18"/>
                <w:color w:val="auto"/>
              </w:rPr>
            </w:pPr>
          </w:p>
        </w:tc>
        <w:tc>
          <w:tcPr>
            <w:tcW w:w="120" w:type="dxa"/>
            <w:vAlign w:val="bottom"/>
            <w:gridSpan w:val="3"/>
          </w:tcPr>
          <w:p>
            <w:pPr>
              <w:spacing w:after="0"/>
              <w:rPr>
                <w:sz w:val="18"/>
                <w:szCs w:val="18"/>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$ 519,741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60"/>
        <w:spacing w:after="0" w:line="258" w:lineRule="auto"/>
        <w:rPr>
          <w:sz w:val="20"/>
          <w:szCs w:val="20"/>
          <w:color w:val="auto"/>
        </w:rPr>
      </w:pPr>
      <w:r>
        <w:rPr>
          <w:rFonts w:ascii="Times New Roman" w:cs="Times New Roman" w:eastAsia="Times New Roman" w:hAnsi="Times New Roman"/>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7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customer category</w:t>
            </w:r>
          </w:p>
        </w:tc>
        <w:tc>
          <w:tcPr>
            <w:tcW w:w="1000" w:type="dxa"/>
            <w:vAlign w:val="bottom"/>
          </w:tcPr>
          <w:p>
            <w:pPr>
              <w:spacing w:after="0"/>
              <w:rPr>
                <w:sz w:val="15"/>
                <w:szCs w:val="15"/>
                <w:color w:val="auto"/>
              </w:rPr>
            </w:pPr>
          </w:p>
        </w:tc>
        <w:tc>
          <w:tcPr>
            <w:tcW w:w="90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20" w:type="dxa"/>
            <w:vAlign w:val="bottom"/>
            <w:vMerge w:val="continue"/>
          </w:tcPr>
          <w:p>
            <w:pPr>
              <w:spacing w:after="0"/>
              <w:rPr>
                <w:sz w:val="15"/>
                <w:szCs w:val="15"/>
                <w:color w:val="auto"/>
              </w:rPr>
            </w:pPr>
          </w:p>
        </w:tc>
        <w:tc>
          <w:tcPr>
            <w:tcW w:w="1800" w:type="dxa"/>
            <w:vAlign w:val="bottom"/>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84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84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0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$ 129,029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$ 133,761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$ 418,345</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$ 385,069</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38,607</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52,817</w:t>
            </w: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127,232</w:t>
            </w:r>
          </w:p>
        </w:tc>
        <w:tc>
          <w:tcPr>
            <w:tcW w:w="4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134,672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$ 167,636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$ 186,578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$ 545,577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$ 519,741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7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3"/>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January 27,</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January 27,</w:t>
            </w: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1800" w:type="dxa"/>
            <w:vAlign w:val="bottom"/>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8"/>
                <w:szCs w:val="18"/>
                <w:color w:val="auto"/>
              </w:rPr>
            </w:pPr>
          </w:p>
        </w:tc>
        <w:tc>
          <w:tcPr>
            <w:tcW w:w="84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8"/>
                <w:szCs w:val="18"/>
                <w:color w:val="auto"/>
              </w:rPr>
            </w:pPr>
          </w:p>
        </w:tc>
        <w:tc>
          <w:tcPr>
            <w:tcW w:w="84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0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$ 104,097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62,865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$ 258,053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$ 186,445</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63,539</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123,713</w:t>
            </w: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287,524</w:t>
            </w:r>
          </w:p>
        </w:tc>
        <w:tc>
          <w:tcPr>
            <w:tcW w:w="4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333,296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$ 167,636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$ 186,578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$ 545,577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$ 519,741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620" w:type="dxa"/>
            <w:vAlign w:val="bottom"/>
            <w:tcBorders>
              <w:bottom w:val="single" w:sz="8" w:color="auto"/>
            </w:tcBorders>
            <w:gridSpan w:val="5"/>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percentage by recognition method</w:t>
            </w:r>
          </w:p>
        </w:tc>
        <w:tc>
          <w:tcPr>
            <w:tcW w:w="10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40" w:type="dxa"/>
            <w:vAlign w:val="bottom"/>
          </w:tcPr>
          <w:p>
            <w:pPr>
              <w:spacing w:after="0"/>
              <w:rPr>
                <w:sz w:val="19"/>
                <w:szCs w:val="19"/>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100" w:type="dxa"/>
            <w:vAlign w:val="bottom"/>
          </w:tcPr>
          <w:p>
            <w:pPr>
              <w:spacing w:after="0"/>
              <w:rPr>
                <w:sz w:val="19"/>
                <w:szCs w:val="19"/>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100" w:type="dxa"/>
            <w:vAlign w:val="bottom"/>
          </w:tcPr>
          <w:p>
            <w:pPr>
              <w:spacing w:after="0"/>
              <w:rPr>
                <w:sz w:val="19"/>
                <w:szCs w:val="19"/>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0" w:type="dxa"/>
            <w:vAlign w:val="bottom"/>
          </w:tcPr>
          <w:p>
            <w:pPr>
              <w:spacing w:after="0"/>
              <w:rPr>
                <w:sz w:val="1"/>
                <w:szCs w:val="1"/>
                <w:color w:val="auto"/>
              </w:rPr>
            </w:pPr>
          </w:p>
        </w:tc>
      </w:tr>
      <w:tr>
        <w:trPr>
          <w:trHeight w:val="212"/>
        </w:trPr>
        <w:tc>
          <w:tcPr>
            <w:tcW w:w="4320" w:type="dxa"/>
            <w:vAlign w:val="bottom"/>
            <w:vMerge w:val="continue"/>
          </w:tcPr>
          <w:p>
            <w:pPr>
              <w:spacing w:after="0"/>
              <w:rPr>
                <w:sz w:val="18"/>
                <w:szCs w:val="18"/>
                <w:color w:val="auto"/>
              </w:rPr>
            </w:pPr>
          </w:p>
        </w:tc>
        <w:tc>
          <w:tcPr>
            <w:tcW w:w="18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8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8"/>
                <w:szCs w:val="18"/>
                <w:color w:val="auto"/>
              </w:rPr>
            </w:pPr>
          </w:p>
        </w:tc>
        <w:tc>
          <w:tcPr>
            <w:tcW w:w="84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16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40" w:right="140"/>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customer advances and deposits on the condensed consolidated balance sheet. In the Company’s services contracts, amounts are billed as work progresses in accordance with agreed-upon contractual terms, either at periodic intervals, which is generally monthly, or upon the achievement of contractual milestones. Generally, billing</w:t>
      </w:r>
    </w:p>
    <w:p>
      <w:pPr>
        <w:sectPr>
          <w:pgSz w:w="11900" w:h="16838" w:orient="portrait"/>
          <w:cols w:equalWidth="0" w:num="1">
            <w:col w:w="9060"/>
          </w:cols>
          <w:pgMar w:left="1440" w:top="513" w:right="1399" w:bottom="1440" w:gutter="0" w:footer="0" w:header="0"/>
        </w:sect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occurs subsequent to revenue recognition, resulting in contract assets recorded in unbilled receivables and retentions on the condensed consolidated balance sheet. However, the Company sometimes receives advances or deposits from its customers before revenue is recognized, resulting in contract liabilities recorded in customer advances on the condensed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condensed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three and nine month periods ended January 25, 2025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92"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Revenue recognized for the three and nine month periods ended January 25, 2025 that was included in customer advances balances as of April 30, 2024 was $1,701,000 and $9,662,000. Revenue recognized for the three and nine month periods ended January 27, 2024 that was included in customer advances balances as of April 30, 2023 was $610,000 and $3,026,000.</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Cost to Fulfill a Contract with a Customer</w:t>
      </w:r>
    </w:p>
    <w:p>
      <w:pPr>
        <w:spacing w:after="0" w:line="229" w:lineRule="exact"/>
        <w:rPr>
          <w:sz w:val="20"/>
          <w:szCs w:val="20"/>
          <w:color w:val="auto"/>
        </w:rPr>
      </w:pPr>
    </w:p>
    <w:p>
      <w:pPr>
        <w:ind w:left="40" w:right="299"/>
        <w:spacing w:after="0" w:line="256" w:lineRule="auto"/>
        <w:rPr>
          <w:sz w:val="20"/>
          <w:szCs w:val="20"/>
          <w:color w:val="auto"/>
        </w:rPr>
      </w:pPr>
      <w:r>
        <w:rPr>
          <w:rFonts w:ascii="Times New Roman" w:cs="Times New Roman" w:eastAsia="Times New Roman" w:hAnsi="Times New Roman"/>
          <w:sz w:val="18"/>
          <w:szCs w:val="18"/>
          <w:color w:val="auto"/>
        </w:rPr>
        <w:t>The Company recognizes assets for the costs to fulfill a contract with a customer if the costs are specifically identifiable, generate or enhance resources used to satisfy future performance obligations, and are expected to be recovered in accordance with ASC 340-40 Other Assets and Deferred Costs: Contracts with Customers. The assets related to costs to fulfill contracts with customers are capitalized and amortized over the period the related performance obligations are satisfied. As of January 25, 2025, the Company had no costs to fulfill and as of April 30, 2024, the Company’s costs to fulfill were not material.</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assess performance. As of January 25, 2025, the Company’s CODM, the Chief Executive Officer, makes operating decisions, assesses performance and makes resource allocation decisions, including the allocation for R&amp;D. Accordingly, the Company identifies three reportable segments. Refer to Note 18—Segments for further details.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16"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Investments in equity securities and warrants are measured at fair value with net unrealized gains and losses from changes in the fair value recognized in other expense, net. Management determines the appropriate classification of securities at the time of purchase and reevaluates such designation as of each balance sheet date.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16"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and retentions, and accounts payable approximate cost due to the short period of time to maturity.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16" w:lineRule="exact"/>
        <w:rPr>
          <w:sz w:val="20"/>
          <w:szCs w:val="20"/>
          <w:color w:val="auto"/>
        </w:rPr>
      </w:pPr>
    </w:p>
    <w:p>
      <w:pPr>
        <w:ind w:left="40" w:right="339"/>
        <w:spacing w:after="0" w:line="266" w:lineRule="auto"/>
        <w:rPr>
          <w:sz w:val="20"/>
          <w:szCs w:val="20"/>
          <w:color w:val="auto"/>
        </w:rPr>
      </w:pPr>
      <w:r>
        <w:rPr>
          <w:rFonts w:ascii="Times New Roman" w:cs="Times New Roman" w:eastAsia="Times New Roman" w:hAnsi="Times New Roman"/>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final rates, if different from the provisional rates, may create an additional receivable or liability for the Company for CPFF and T&amp;M contracts.</w:t>
      </w:r>
    </w:p>
    <w:p>
      <w:pPr>
        <w:spacing w:after="0" w:line="162" w:lineRule="exact"/>
        <w:rPr>
          <w:sz w:val="20"/>
          <w:szCs w:val="20"/>
          <w:color w:val="auto"/>
        </w:rPr>
      </w:pPr>
    </w:p>
    <w:p>
      <w:pPr>
        <w:ind w:left="40" w:right="159"/>
        <w:spacing w:after="0" w:line="254" w:lineRule="auto"/>
        <w:rPr>
          <w:sz w:val="20"/>
          <w:szCs w:val="20"/>
          <w:color w:val="auto"/>
        </w:rPr>
      </w:pPr>
      <w:r>
        <w:rPr>
          <w:rFonts w:ascii="Times New Roman" w:cs="Times New Roman" w:eastAsia="Times New Roman" w:hAnsi="Times New Roman"/>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estimated full year rates unless collectability is not reasonably assured. At January 25, 2025 and April 30, 2024, the Company had no reserve for incurred cost claim audits.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(Loss) Earnings Per Share</w:t>
      </w:r>
    </w:p>
    <w:p>
      <w:pPr>
        <w:spacing w:after="0" w:line="229"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Basic (loss) earnings per share is computed using the weighted-average number of common shares outstanding, excluding shares of unvested restricted stock.</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reconciliation of basic to diluted shares is as follows (in thousands except share data):</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spacing w:after="0"/>
              <w:rPr>
                <w:sz w:val="17"/>
                <w:szCs w:val="17"/>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40" w:type="dxa"/>
            <w:vAlign w:val="bottom"/>
          </w:tcPr>
          <w:p>
            <w:pPr>
              <w:spacing w:after="0"/>
              <w:rPr>
                <w:sz w:val="17"/>
                <w:szCs w:val="17"/>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160" w:type="dxa"/>
            <w:vAlign w:val="bottom"/>
          </w:tcPr>
          <w:p>
            <w:pPr>
              <w:spacing w:after="0"/>
              <w:rPr>
                <w:sz w:val="17"/>
                <w:szCs w:val="17"/>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60" w:type="dxa"/>
            <w:vAlign w:val="bottom"/>
          </w:tcPr>
          <w:p>
            <w:pPr>
              <w:spacing w:after="0"/>
              <w:rPr>
                <w:sz w:val="17"/>
                <w:szCs w:val="17"/>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vMerge w:val="continue"/>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13,885</w:t>
            </w:r>
          </w:p>
        </w:tc>
        <w:tc>
          <w:tcPr>
            <w:tcW w:w="2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26,955</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53,620</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 for basic earnings per share:</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28,031,901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27,907,568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28,001,089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26,957,061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Dilutive effect of employee stock options,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diluted (loss) earnings per share</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28,031,901</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28,044,127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28,171,089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27,061,409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Due to the net loss for the three months ended January 25, 2025,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200,667 for the three months ended January 25, 2025. Potentially dilutive shares not included in the computation of diluted weighted-average common shares because their effect would have been anti-dilutive were 265 for the nine months ended January 25, 2025. Potentially dilutive shares not included in the computation of diluted weighted-average common shares because their effect would have been anti-dilutive were 72 and 606 for the three and nine months ended January 27, 2024.</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ASU 2023-07 improves reportable segment disclosure requirements,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disclosures about significant segment expenses reported to the CODM. ASU 2023-07 also requires all segment profit or loss and assets disclosures to be provided on an annual and interim basis. The new standard is effective for fiscal years beginning after December 15, 2023 and interim periods within fiscal years beginning after December 15, 2024, with early adoption permitted. ASU 2023-07 is adopted retrospectively. The Company will include the required enhanced disclosures in its Annual Report on Form 10-K for the fiscal year ending April 30, 2025.</w:t>
      </w:r>
    </w:p>
    <w:p>
      <w:pPr>
        <w:spacing w:after="0" w:line="183"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updates to the rate reconciliation, income taxes paid and other disclosures. The new standard is effective for fiscal years beginning after December 15, 2024 and interim periods within fiscal years beginning after December 15, 2025, with early adoption permitted. ASU 2023-09 is adopted retrospectively. The Company is evaluating the potential impact of this adoption on its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5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820" w:type="dxa"/>
            <w:vAlign w:val="bottom"/>
            <w:gridSpan w:val="2"/>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securities and warrants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CEEFF"/>
          </w:tcPr>
          <w:p>
            <w:pPr>
              <w:spacing w:after="0"/>
              <w:rPr>
                <w:sz w:val="18"/>
                <w:szCs w:val="18"/>
                <w:color w:val="auto"/>
              </w:rPr>
            </w:pPr>
          </w:p>
        </w:tc>
      </w:tr>
      <w:tr>
        <w:trPr>
          <w:trHeight w:val="210"/>
        </w:trPr>
        <w:tc>
          <w:tcPr>
            <w:tcW w:w="5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long-term available-for-sale securities investments</w:t>
            </w:r>
          </w:p>
        </w:tc>
        <w:tc>
          <w:tcPr>
            <w:tcW w:w="1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8"/>
                <w:szCs w:val="18"/>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limited partnership funds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120" w:type="dxa"/>
            <w:vAlign w:val="bottom"/>
          </w:tcPr>
          <w:p>
            <w:pPr>
              <w:spacing w:after="0"/>
              <w:rPr>
                <w:sz w:val="18"/>
                <w:szCs w:val="18"/>
                <w:color w:val="auto"/>
              </w:rPr>
            </w:pPr>
          </w:p>
        </w:tc>
      </w:tr>
      <w:tr>
        <w:trPr>
          <w:trHeight w:val="209"/>
        </w:trPr>
        <w:tc>
          <w:tcPr>
            <w:tcW w:w="56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5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20,960</w:t>
            </w:r>
          </w:p>
        </w:tc>
        <w:tc>
          <w:tcPr>
            <w:tcW w:w="12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jc w:val="both"/>
        <w:ind w:left="40" w:right="79"/>
        <w:spacing w:after="0" w:line="282" w:lineRule="auto"/>
        <w:rPr>
          <w:sz w:val="20"/>
          <w:szCs w:val="20"/>
          <w:color w:val="auto"/>
        </w:rPr>
      </w:pPr>
      <w:r>
        <w:rPr>
          <w:rFonts w:ascii="Times New Roman" w:cs="Times New Roman" w:eastAsia="Times New Roman" w:hAnsi="Times New Roman"/>
          <w:sz w:val="18"/>
          <w:szCs w:val="18"/>
          <w:color w:val="auto"/>
        </w:rPr>
        <w:t>Equity securities and warrants are measured at fair value with net unrealized gains and losses from changes in the fair value recognized in other expense, net. Unrealized gain (loss) recorded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2"/>
        </w:trPr>
        <w:tc>
          <w:tcPr>
            <w:tcW w:w="3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January 25, 2025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January 27, 2024</w:t>
            </w:r>
          </w:p>
        </w:tc>
        <w:tc>
          <w:tcPr>
            <w:tcW w:w="0" w:type="dxa"/>
            <w:vAlign w:val="bottom"/>
          </w:tcPr>
          <w:p>
            <w:pPr>
              <w:spacing w:after="0"/>
              <w:rPr>
                <w:sz w:val="1"/>
                <w:szCs w:val="1"/>
                <w:color w:val="auto"/>
              </w:rPr>
            </w:pPr>
          </w:p>
        </w:tc>
      </w:tr>
      <w:tr>
        <w:trPr>
          <w:trHeight w:val="178"/>
        </w:trPr>
        <w:tc>
          <w:tcPr>
            <w:tcW w:w="31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gain (loss) recognized during the</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on equity securities</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loss recognized during the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period on equity securities sold during the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31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 (loss) recognized during</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period on equity securities still held at</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21"/>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reporting date</w:t>
            </w:r>
          </w:p>
        </w:tc>
        <w:tc>
          <w:tcPr>
            <w:tcW w:w="24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76" w:lineRule="exact"/>
        <w:rPr>
          <w:sz w:val="20"/>
          <w:szCs w:val="20"/>
          <w:color w:val="auto"/>
        </w:rPr>
      </w:pPr>
    </w:p>
    <w:p>
      <w:pPr>
        <w:ind w:left="360" w:right="579" w:hanging="316"/>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based upon quoted prices (unadjusted) for identical assets or liabilities in active markets that are accessible as of the measurement date.</w:t>
      </w:r>
    </w:p>
    <w:p>
      <w:pPr>
        <w:spacing w:after="0" w:line="161" w:lineRule="exact"/>
        <w:rPr>
          <w:rFonts w:ascii="Times New Roman" w:cs="Times New Roman" w:eastAsia="Times New Roman" w:hAnsi="Times New Roman"/>
          <w:sz w:val="18"/>
          <w:szCs w:val="18"/>
          <w:color w:val="auto"/>
        </w:rPr>
      </w:pPr>
    </w:p>
    <w:p>
      <w:pPr>
        <w:ind w:left="360" w:right="239" w:hanging="316"/>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75" w:lineRule="exact"/>
        <w:rPr>
          <w:rFonts w:ascii="Times New Roman" w:cs="Times New Roman" w:eastAsia="Times New Roman" w:hAnsi="Times New Roman"/>
          <w:sz w:val="18"/>
          <w:szCs w:val="18"/>
          <w:color w:val="auto"/>
        </w:rPr>
      </w:pPr>
    </w:p>
    <w:p>
      <w:pPr>
        <w:ind w:left="340" w:hanging="296"/>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that are unobservable inputs for the asset or liability.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7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January 25, 2025,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January 25, 2025.</w:t>
      </w:r>
    </w:p>
    <w:p>
      <w:pPr>
        <w:spacing w:after="0" w:line="225" w:lineRule="exact"/>
        <w:rPr>
          <w:sz w:val="20"/>
          <w:szCs w:val="20"/>
          <w:color w:val="auto"/>
        </w:rPr>
      </w:pPr>
    </w:p>
    <w:p>
      <w:pPr>
        <w:ind w:left="40" w:right="85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2024, were as follows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April 30, 2024.</w:t>
      </w:r>
    </w:p>
    <w:p>
      <w:pPr>
        <w:spacing w:after="0" w:line="225" w:lineRule="exact"/>
        <w:rPr>
          <w:sz w:val="20"/>
          <w:szCs w:val="20"/>
          <w:color w:val="auto"/>
        </w:rPr>
      </w:pPr>
    </w:p>
    <w:p>
      <w:pPr>
        <w:ind w:left="40" w:right="299"/>
        <w:spacing w:after="0" w:line="258" w:lineRule="auto"/>
        <w:rPr>
          <w:sz w:val="20"/>
          <w:szCs w:val="20"/>
          <w:color w:val="auto"/>
        </w:rPr>
      </w:pPr>
      <w:r>
        <w:rPr>
          <w:rFonts w:ascii="Times New Roman" w:cs="Times New Roman" w:eastAsia="Times New Roman" w:hAnsi="Times New Roman"/>
          <w:sz w:val="18"/>
          <w:szCs w:val="18"/>
          <w:color w:val="auto"/>
        </w:rPr>
        <w:t>On September 12, 2022, the Company invested $5,000,000 and acquired 500,000 shares of common stock and 500,000 privately placed, redeemable warrants of Amprius Technologies, Inc. The privately placed, redeemable warrants have an exercise price of $12.50 and redemption price of $20.00. The Company measures the fair value of the privately placed, redeemable warrants using the quoted market price of the public warrants which have an exercise price of $11.50 and a redemption price of $18.00 and classifies the warrants as a level 2 fair value measurement.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6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28"/>
        </w:trPr>
        <w:tc>
          <w:tcPr>
            <w:tcW w:w="6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57,699</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53,232</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65,618</w:t>
            </w:r>
          </w:p>
        </w:tc>
        <w:tc>
          <w:tcPr>
            <w:tcW w:w="12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176,068</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(25,900)</w:t>
            </w: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147,973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150,168</w:t>
            </w:r>
          </w:p>
        </w:tc>
        <w:tc>
          <w:tcPr>
            <w:tcW w:w="1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Equity Method Investments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 in Limited Partnership Funds</w:t>
      </w:r>
    </w:p>
    <w:p>
      <w:pPr>
        <w:spacing w:after="0" w:line="229"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 technologies and start-up companies serving defense and industrial markets. Under the terms of the limited partnership</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52" w:lineRule="auto"/>
        <w:rPr>
          <w:sz w:val="20"/>
          <w:szCs w:val="20"/>
          <w:color w:val="auto"/>
        </w:rPr>
      </w:pPr>
      <w:r>
        <w:rPr>
          <w:rFonts w:ascii="Times New Roman" w:cs="Times New Roman" w:eastAsia="Times New Roman" w:hAnsi="Times New Roman"/>
          <w:sz w:val="18"/>
          <w:szCs w:val="18"/>
          <w:color w:val="auto"/>
        </w:rPr>
        <w:t>agreement, the Company contributed a total of $10,000,000 during the fiscal years ended April 30, 2021 and 2022, and there were no further contribution commitments to this fund as of April 30, 2022. In March 2022, the Company entered into a limited partnership agreement with a second limited partnership fund also focusing on highly relevant technologies and start-up companies serving defense and industrial markets. Under the terms of the limited partnership agreement, the Company is committed to contributions totaling $20,000,000 over an expected five year period. During the fiscal year ended April 30, 2024 and 2023, the Company made total contributions of $3,074,000 and $5,778,000, respectively. During the three and nine months ended January 25, 2025, the Company made contributions of $1,126,000 and $2,309,000, respectively. Under the terms of the limited partnership agreement, the Company has committed to make additional capital contributions of $8,839,000 to the fund expected to be paid over the next three fiscal years. The Company accounts for investments in limited partnerships as equity method investments as the Company is deemed to have significant influence when it holds more than a minor interest. For the three and nine months ended January 25, 2025, the Company recorded its ownership percentage of the net gain of the limited partnerships, or $0 and $1,066,000, respectively, in equity method investment (loss) income, net of $0 tax in the unaudited condensed consolidated statements of operations, respectively. For the three and nine months ended January 27, 2024, the Company recorded its ownership percentage of the net loss of the limited partnerships, or $(80,000) and $(1,494,000), respectively, in equity method investment (loss) income, net of $0 tax in the unaudited condensed consolidated statements of operations, respectively. At January 25, 2025 and April 30, 2024, the carrying value of the investments in the limited partnership funds of $23,308,000 and $19,933,000, respectively, was recorded in long-term investments on the unaudited condensed consolidated balance sheet.</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 in Altoy</w:t>
      </w:r>
    </w:p>
    <w:p>
      <w:pPr>
        <w:spacing w:after="0" w:line="22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On September 15, 2021, the Company entered into a Share Sale and Purchase Agreement with Toygun whereby the Company sold 35% of the common shares of Altoy to Toygun. On October 14, 2022, the Company sold an additional 35% of the common shares of Altoy to Toygun. As a result of the sales, the Company decreased its interest in Altoy from 85% to 15%. The Company no longer controls Altoy, and therefore, has deconsolidated Altoy in the Company’s unaudited condensed consolidated financial statements. The Company maintains significant influence, accounts for its investment in Altoy as an equity method investment and records its proportion of any gains or losses of Altoy in equity method investment loss, net of tax. For the three and nine months ended January 25, 2025, the Company recorded $0 and $(11,000) for its ownership percentage of the net activity of Altoy in equity method investment (loss) income, net of tax in the unaudited condensed consolidated statements of operations. For the three and nine months ended January 27, 2024, the Company recorded $0 for its ownership percentage of the net activity of Altoy in equity method investment (loss) income, net of tax in the unaudited condensed consolidated statements of operations. At January 25, 2025 and April 30, 2024, the carrying value of the investment in Altoy of $141,000 and $152,000, respectively, was recorded in other assets on the unaudited condensed consolidated balance sheet.</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Warranty Reserves</w:t>
      </w:r>
    </w:p>
    <w:p>
      <w:pPr>
        <w:spacing w:after="0" w:line="162" w:lineRule="exact"/>
        <w:rPr>
          <w:sz w:val="20"/>
          <w:szCs w:val="20"/>
          <w:color w:val="auto"/>
        </w:rPr>
      </w:pPr>
    </w:p>
    <w:p>
      <w:pPr>
        <w:ind w:left="40" w:right="239"/>
        <w:spacing w:after="0" w:line="281" w:lineRule="auto"/>
        <w:rPr>
          <w:sz w:val="20"/>
          <w:szCs w:val="20"/>
          <w:color w:val="auto"/>
        </w:rPr>
      </w:pPr>
      <w:r>
        <w:rPr>
          <w:rFonts w:ascii="Times New Roman" w:cs="Times New Roman" w:eastAsia="Times New Roman" w:hAnsi="Times New Roman"/>
          <w:sz w:val="17"/>
          <w:szCs w:val="17"/>
          <w:color w:val="auto"/>
        </w:rPr>
        <w:t>The Company accrues an estimate of its exposure to warranty claims based upon both current and historical product sales data and warranty costs incurred. The warranty reserve is included in other current liabilities on the unaudited condensed consolidated balance sheet. The related expense is included in cost of sales. Warranty reserve activity is summarized as follows for the three and nine months ended January 25, 2025 and January 27, 2024, respectively (in thousands):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5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160" w:type="dxa"/>
            <w:vAlign w:val="bottom"/>
          </w:tcPr>
          <w:p>
            <w:pPr>
              <w:spacing w:after="0"/>
              <w:rPr>
                <w:sz w:val="10"/>
                <w:szCs w:val="10"/>
                <w:color w:val="auto"/>
              </w:rPr>
            </w:pPr>
          </w:p>
        </w:tc>
        <w:tc>
          <w:tcPr>
            <w:tcW w:w="8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2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acquired from acquisition</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 settled</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94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Intangibles, net</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components of intangibles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476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101,012</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77,313</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8"/>
                <w:szCs w:val="18"/>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gross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184,848</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(126,744)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(112,624)</w:t>
            </w:r>
          </w:p>
        </w:tc>
        <w:tc>
          <w:tcPr>
            <w:tcW w:w="100" w:type="dxa"/>
            <w:vAlign w:val="bottom"/>
            <w:tcBorders>
              <w:bottom w:val="single" w:sz="8" w:color="CCEEFF"/>
            </w:tcBorders>
          </w:tcPr>
          <w:p>
            <w:pPr>
              <w:spacing w:after="0"/>
              <w:rPr>
                <w:sz w:val="18"/>
                <w:szCs w:val="18"/>
                <w:color w:val="auto"/>
              </w:rPr>
            </w:pPr>
          </w:p>
        </w:tc>
      </w:tr>
      <w:tr>
        <w:trPr>
          <w:trHeight w:val="209"/>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weighted average amortization period as of January 25, 2025 and April 30, 2024 was three years, respectively.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Amortization expense for the three and nine months ended January 25, 2025 was $4,778,000 and $14,348,000 respectively.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Amortization expense for the three and nine months ended January 27, 2024 was $5,445,000 and $12,721,000, respectively.</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Estimated amortization expense for the next five years is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73"/>
        </w:trPr>
        <w:tc>
          <w:tcPr>
            <w:tcW w:w="7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10"/>
        </w:trPr>
        <w:tc>
          <w:tcPr>
            <w:tcW w:w="7760" w:type="dxa"/>
            <w:vAlign w:val="bottom"/>
            <w:tcBorders>
              <w:top w:val="single" w:sz="8" w:color="CCEEFF"/>
            </w:tcBorders>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14,972</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2029</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20" w:type="dxa"/>
            <w:vAlign w:val="bottom"/>
            <w:shd w:val="clear" w:color="auto" w:fill="CCEEFF"/>
          </w:tcPr>
          <w:p>
            <w:pPr>
              <w:spacing w:after="0"/>
              <w:rPr>
                <w:sz w:val="18"/>
                <w:szCs w:val="18"/>
                <w:color w:val="auto"/>
              </w:rPr>
            </w:pPr>
          </w:p>
        </w:tc>
      </w:tr>
      <w:tr>
        <w:trPr>
          <w:trHeight w:val="210"/>
        </w:trPr>
        <w:tc>
          <w:tcPr>
            <w:tcW w:w="7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52,009</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goodwill balance by segment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UxS</w:t>
            </w:r>
          </w:p>
        </w:tc>
        <w:tc>
          <w:tcPr>
            <w:tcW w:w="14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LMS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MW</w:t>
            </w: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$ 256,398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$ 275,652</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Change to goodwill</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1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25,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$ 256,035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$ 275,289</w:t>
            </w: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419"/>
        <w:spacing w:after="0" w:line="258" w:lineRule="auto"/>
        <w:rPr>
          <w:sz w:val="20"/>
          <w:szCs w:val="20"/>
          <w:color w:val="auto"/>
        </w:rPr>
      </w:pPr>
      <w:r>
        <w:rPr>
          <w:rFonts w:ascii="Times New Roman" w:cs="Times New Roman" w:eastAsia="Times New Roman" w:hAnsi="Times New Roman"/>
          <w:sz w:val="18"/>
          <w:szCs w:val="18"/>
          <w:color w:val="auto"/>
        </w:rPr>
        <w:t>The UxS segment includes goodwill from the acquisitions of Pulse Aerospace, LLC (“Pulse”), Arcturus UAV, Inc. (“Arcturus”), Telerob, Planck and Tomahawk acquisitions. The goodwill change to UxS is attributable to the Telerob acquisition recorded in Euros and translated to U.S. dollars at each reporting date. The MW segment includes goodwill from the purchase of certain assets of Intelligent Systems Group business segment (“ISG”) of Progeny Systems Corporation.</w:t>
      </w:r>
    </w:p>
    <w:p>
      <w:pPr>
        <w:spacing w:after="0" w:line="183"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8"/>
          <w:szCs w:val="18"/>
          <w:color w:val="auto"/>
        </w:rPr>
        <w:t>The estimated fair value of the MUAS reporting unit, the renamed Arcturus acquisition included in the UxS reportable segment, does not substantially exceed its carrying value due to the impairment recorded during the fourth quarter ended April 30, 2023. The fair value of the MUAS reporting unit exceeded its carrying value by 10% as of January 28, 2024, the date of the most recent annual goodwill impairment test. Fair value determinations utilized in the quantitative goodwill impairment test require considerable judgment and are sensitive to changes in underlying assumptions,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estimates, and market factors. Estimating the fair value of individual reporting units requires the Company to make assumptions and estimates regarding future plans, as well as industry, economic, and regulatory conditions. These assumptions and estimates include estimated future annual net cash flows, income tax rates, discount rates, growth rates, and other market factors. Estimated future annual net cash flows based in part upon the Company’s ability to obtain contracts from the U.S. Department of Defense and foreign allied nations and negotiate the estimated pricing are considered the most significant, sensitive assumptions. If current expectations of future growth rates and margins are not met, if market factors outside of the Company’s control, such as discount rates, income tax rates, or inflation, change, or if management’s expectations or plans otherwise change, including updates to long-term operating plans, then the MUAS reporting unit goodwill may become impaired in the future. Accordingly, the MUAS reporting unit is considered at an increased risk of failing future quantitative goodwill impairment tests. The MUAS reporting unit has a goodwill balance of $135,774,000 as of January 25, 2025. During the most recent annual impairment test during the fourth quarter of fiscal year 2024, the estimated fair value of all reporting units, other than MUAS, substantially exceeded their carrying value.</w:t>
      </w:r>
    </w:p>
    <w:p>
      <w:pPr>
        <w:spacing w:after="0" w:line="190"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As of January 25, 2025, the company has not identified any events or circumstances that could trigger an impairment review prior to the Company’s annual impairment test. The annual impairment test for the fiscal year ending April 30, 2025 will be performed during the fourth quarter. The intangibles included in the MUAS reporting unit of $10,923,000 as of January 25, 2025 will also be evaluated for potential impairment during the fourth quarter.</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9"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In connection with the consummation of the acquisition of Arcturus, a California corporation, pursuant to a Stock Purchase Agreement with Arcturus and each of the shareholders and other equity interest holders of Arcturus, to purchase 100% of the issued and outstanding equity of Arcturus (the “Arcturus Acquisition”) on February 19, 2021, the Company, as borrower, and Arcturus, as guarantor, entered into a Credit Agreement with certain lenders, letter of credit issuers, BofA, N.A., as the administrative agent and the swingline lender, and BofA Securities, JPM., and U.S. Bank, as joint lead arrangers and joint bookrunners (the “Credit Agreement”).</w:t>
      </w:r>
    </w:p>
    <w:p>
      <w:pPr>
        <w:spacing w:after="0" w:line="187" w:lineRule="exact"/>
        <w:rPr>
          <w:sz w:val="20"/>
          <w:szCs w:val="20"/>
          <w:color w:val="auto"/>
        </w:rPr>
      </w:pPr>
    </w:p>
    <w:p>
      <w:pPr>
        <w:ind w:left="40" w:right="59"/>
        <w:spacing w:after="0" w:line="270" w:lineRule="auto"/>
        <w:rPr>
          <w:sz w:val="20"/>
          <w:szCs w:val="20"/>
          <w:color w:val="auto"/>
        </w:rPr>
      </w:pPr>
      <w:r>
        <w:rPr>
          <w:rFonts w:ascii="Times New Roman" w:cs="Times New Roman" w:eastAsia="Times New Roman" w:hAnsi="Times New Roman"/>
          <w:sz w:val="17"/>
          <w:szCs w:val="17"/>
          <w:color w:val="auto"/>
        </w:rPr>
        <w:t>The Credit Agreement and its associated Security and Pledge Agreement set forth the terms and conditions for (i) a five-year $100,000,000 revolving credit facility, which includes a $25,000,000 sublimit for the issuance of standby and commercial letters of credit (the “Revolving Facility”), and (ii) a five-year amortized $200,000,000 term A loan (the “Term Loan Facility”, and together with the Revolving Facility, the “Credit Facilities”). Certain existing letters of credit issued by JPM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w:t>
      </w:r>
    </w:p>
    <w:p>
      <w:pPr>
        <w:spacing w:after="0" w:line="177" w:lineRule="exact"/>
        <w:rPr>
          <w:sz w:val="20"/>
          <w:szCs w:val="20"/>
          <w:color w:val="auto"/>
        </w:rPr>
      </w:pPr>
    </w:p>
    <w:p>
      <w:pPr>
        <w:ind w:left="40" w:right="239"/>
        <w:spacing w:after="0" w:line="258" w:lineRule="auto"/>
        <w:rPr>
          <w:sz w:val="20"/>
          <w:szCs w:val="20"/>
          <w:color w:val="auto"/>
        </w:rPr>
      </w:pPr>
      <w:r>
        <w:rPr>
          <w:rFonts w:ascii="Times New Roman" w:cs="Times New Roman" w:eastAsia="Times New Roman" w:hAnsi="Times New Roman"/>
          <w:sz w:val="18"/>
          <w:szCs w:val="18"/>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83"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spacing w:after="0" w:line="183" w:lineRule="exact"/>
        <w:rPr>
          <w:sz w:val="20"/>
          <w:szCs w:val="20"/>
          <w:color w:val="auto"/>
        </w:rPr>
      </w:pPr>
    </w:p>
    <w:p>
      <w:pPr>
        <w:ind w:left="40" w:right="239"/>
        <w:spacing w:after="0" w:line="312" w:lineRule="auto"/>
        <w:rPr>
          <w:sz w:val="20"/>
          <w:szCs w:val="20"/>
          <w:color w:val="auto"/>
        </w:rPr>
      </w:pPr>
      <w:r>
        <w:rPr>
          <w:rFonts w:ascii="Times New Roman" w:cs="Times New Roman" w:eastAsia="Times New Roman" w:hAnsi="Times New Roman"/>
          <w:sz w:val="17"/>
          <w:szCs w:val="17"/>
          <w:color w:val="auto"/>
        </w:rPr>
        <w:t>The Credit Agreement contains certain customary representations and warranties and affirmative and negative covenants, including certain restrictions on the ability of the Company and its subsidiaries (as defined in the Credit Agreement) to</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incur any additional indebtedness or guarantee indebtedness of others, to create liens on properties or assets, or to enter into certain asset and stock-based transactions.</w:t>
      </w:r>
    </w:p>
    <w:p>
      <w:pPr>
        <w:spacing w:after="0" w:line="162"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 On June 6, 2023, the Company entered into a Second Amendment to Credit Agreement relating to its existing Credit Agreement which increased the sublimit from $10,000,000 to $25,000,000.</w:t>
      </w:r>
    </w:p>
    <w:p>
      <w:pPr>
        <w:spacing w:after="0" w:line="188"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The Credit Agreement, as amended by the First Amendment to Credit Agreement and Second Amendment to the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8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The First Amendment to Credit Agreement also implemented certain secured overnight financing rate (“SOFR”) interest rate mechanics and interest rate reference benchmark replacement provisions in order to effectuate the transition from 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Credit Agreement) and whether the Company elects SOFR (ranging from 1.50 - 2.50%) or Base Rate (ranging from 0.50 - 1.50%).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w:t>
      </w:r>
    </w:p>
    <w:p>
      <w:pPr>
        <w:spacing w:after="0" w:line="187"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On October 4, 2024, the Company entered into a Third Amendment to Credit Agreement with the existing lenders, BofA NA, the administrative agent and the swingline lender, JPM, and U.S. Bank, and Citibank (the “New Lender”) (the “Third Amendment to Credit Agreement” and the existing Credit Agreement as amended thereby, the “Amended Credit Agreement”).</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Amended Credit Agreement now provides for an aggregate $200,000,000 revolving credit facility, including a</w:t>
      </w:r>
    </w:p>
    <w:p>
      <w:pPr>
        <w:spacing w:after="0" w:line="27"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$25,000,000 sublimit for the issuance of standby and commercial letters of credit, and a $10,000,000 sublimit for swingline loans, secured by all assets of the Company and the Guarantors, and extends the maturity date for obligations pursuant to the Amended Credit Agreement to October 4, 2029. Upon effectiveness of the Amended Credit Agreement, the Company drew $15,000,000 from the amended Revolving Facility and repaid in full all outstanding amounts owed pursuant to the prior Term Loan Facility. The Amended Credit Agreement reflects the removal of the Term Loan Facility. The unamortized debt issuance costs allocated to the Term Loan Facility of $590,000 were expensed upon repayment of the Term Loan Facility and recorded in interest expense.</w:t>
      </w:r>
    </w:p>
    <w:p>
      <w:pPr>
        <w:spacing w:after="0" w:line="188"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In addition to adding the New Lender and adjusting certain fee schedules, the Amended Credit Agreement also allows the Company to incur additional forms of secured and unsecured permitted indebtedness without separate consent of the Administrative Agent and make certain payments related thereto, including certain bilateral letters of credit, supply chain financing transactions, securitization transactions pertaining to its accounts receivable, and issuance of unsecured convertible debt pertaining to its Common Stock (and certain call spread transactions related thereto), subject in each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82" w:lineRule="auto"/>
        <w:rPr>
          <w:sz w:val="20"/>
          <w:szCs w:val="20"/>
          <w:color w:val="auto"/>
        </w:rPr>
      </w:pPr>
      <w:r>
        <w:rPr>
          <w:rFonts w:ascii="Times New Roman" w:cs="Times New Roman" w:eastAsia="Times New Roman" w:hAnsi="Times New Roman"/>
          <w:sz w:val="18"/>
          <w:szCs w:val="18"/>
          <w:color w:val="auto"/>
        </w:rPr>
        <w:t>instance to further specified parameters, including aggregate dollar limits on certain activities and satisfaction of ongoing and pro forma financial covenants.</w:t>
      </w:r>
    </w:p>
    <w:p>
      <w:pPr>
        <w:spacing w:after="0" w:line="162"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The Amended Credit Agreement substitutes a Consolidated Senior Secured Leverage Ratio for the Consolidated Leverage Ratio required to be maintained under the existing Credit Agreement. The Consolidated Leverage Ratio is now an incurrence test, used to determine whether or not the Company may take certain actions, such as borrowing under the Amended Credit Agreement, making acquisitions, incurring certain unsecured debt, or making payments on junior debt. In order to take such actions, the Consolidated Leverage Ratio may not exceed 4.00 to 1.0. However, the ratio increases to 4.50 to 1.0 during a Leverage Increase Period, covering each of the four fiscal quarters of the Company immediately following the consummation of any qualified acquisition. The newly added Consolidated Senior Secured Leverage Ratio, measuring the Consolidated Senior Secured Funded Indebtedness, as of a date of determination, to Consolidated EBITDA for the applicable measurement period, shall not exceed 3.00 to 1.0 at the end of any fiscal quarter of the Company, increasing to 3.50 to 1.0 in a Leverage Increase Period. In each case, no more than one Leverage Increase Period shall be in effect at any time, and the basic ratio levels must be achieved and maintained for at least two fiscal quarters immediately following each Leverage Increase Period prior to giving effect to another Leverage Increase Period. The requirement for the Consolidated Fixed Charge Coverage Ratio to be no less than 1.25 to 1.0 at the end of any fiscal quarter of the Company remains unchanged in the Amended Credit Agreement. The Amended Credit Agreement removes the requirement that the Company prepay the loans with the proceeds of dispositions of assets or newly incurred debt. The Company’s ability to borrow under the Revolving Facility is reduced by outstanding letters of credit of $9,489,000 as of January 25, 2025. As of January 25, 2025, approximately $165,511,000 was available under the Revolving Facility. Borrowings under the Revolving Facility may be used for working capital and other general corporate purposes, including acquisitions that meet certain parameters. As of January 25, 2025, the Company is in compliance with all amended covenants.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26"/>
        </w:trPr>
        <w:tc>
          <w:tcPr>
            <w:tcW w:w="5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6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debt issuance costs–term loans</w:t>
            </w:r>
          </w:p>
        </w:tc>
        <w:tc>
          <w:tcPr>
            <w:tcW w:w="6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costs–term loans</w:t>
            </w: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costs–revolving credit facility</w:t>
            </w:r>
          </w:p>
        </w:tc>
        <w:tc>
          <w:tcPr>
            <w:tcW w:w="6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1,354</w:t>
            </w:r>
          </w:p>
        </w:tc>
        <w:tc>
          <w:tcPr>
            <w:tcW w:w="180" w:type="dxa"/>
            <w:vAlign w:val="bottom"/>
            <w:vMerge w:val="continue"/>
          </w:tcPr>
          <w:p>
            <w:pPr>
              <w:spacing w:after="0"/>
              <w:rPr>
                <w:sz w:val="17"/>
                <w:szCs w:val="17"/>
                <w:color w:val="auto"/>
              </w:rPr>
            </w:pPr>
          </w:p>
        </w:tc>
        <w:tc>
          <w:tcPr>
            <w:tcW w:w="180" w:type="dxa"/>
            <w:vAlign w:val="bottom"/>
            <w:gridSpan w:val="3"/>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432"/>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Future contractual long-term debt principal payments at January 25, 2025 were as follows: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gridSpan w:val="3"/>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 on the unaudited condensed consolidated balance sheet.</w:t>
      </w:r>
    </w:p>
    <w:p>
      <w:pPr>
        <w:spacing w:after="0" w:line="180"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seven years, some of which may include options to extend the lease for up to nine years, and some of which may include options to terminate the lease after three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88"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89"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The Company does not have any material restrictions or covenants in its lease agreements, sale-leaseback transactions, land easements or residual value guarantees.</w:t>
      </w:r>
    </w:p>
    <w:p>
      <w:pPr>
        <w:spacing w:after="0" w:line="162"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0"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The components of lease costs recorded in cost of sales and selling, general and administrative (“SG&amp;A”) expense were as follows (in thousands):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0" w:type="dxa"/>
            <w:vAlign w:val="bottom"/>
          </w:tcPr>
          <w:p>
            <w:pPr>
              <w:spacing w:after="0"/>
              <w:rPr>
                <w:sz w:val="1"/>
                <w:szCs w:val="1"/>
                <w:color w:val="auto"/>
              </w:rPr>
            </w:pPr>
          </w:p>
        </w:tc>
      </w:tr>
      <w:tr>
        <w:trPr>
          <w:trHeight w:val="173"/>
        </w:trPr>
        <w:tc>
          <w:tcPr>
            <w:tcW w:w="2940" w:type="dxa"/>
            <w:vAlign w:val="bottom"/>
            <w:tcBorders>
              <w:bottom w:val="single" w:sz="8" w:color="CCEEFF"/>
            </w:tcBorders>
          </w:tcPr>
          <w:p>
            <w:pPr>
              <w:spacing w:after="0"/>
              <w:rPr>
                <w:sz w:val="15"/>
                <w:szCs w:val="15"/>
                <w:color w:val="auto"/>
              </w:rPr>
            </w:pPr>
          </w:p>
        </w:tc>
        <w:tc>
          <w:tcPr>
            <w:tcW w:w="3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3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38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9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9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Supplemental lease information was as follows: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500" w:type="dxa"/>
            <w:vAlign w:val="bottom"/>
            <w:gridSpan w:val="3"/>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80" w:type="dxa"/>
            <w:vAlign w:val="bottom"/>
            <w:gridSpan w:val="4"/>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151"/>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2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3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months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32"/>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January 25, 2025 were as follows (in thousands):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38,645</w:t>
            </w:r>
          </w:p>
        </w:tc>
        <w:tc>
          <w:tcPr>
            <w:tcW w:w="0" w:type="dxa"/>
            <w:vAlign w:val="bottom"/>
          </w:tcPr>
          <w:p>
            <w:pPr>
              <w:spacing w:after="0"/>
              <w:rPr>
                <w:sz w:val="1"/>
                <w:szCs w:val="1"/>
                <w:color w:val="auto"/>
              </w:rPr>
            </w:pPr>
          </w:p>
        </w:tc>
      </w:tr>
      <w:tr>
        <w:trPr>
          <w:trHeight w:val="243"/>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Accumulated Other Comprehensive Loss and Reclassifications Adjustments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and adjustments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6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r>
      <w:tr>
        <w:trPr>
          <w:trHeight w:val="173"/>
        </w:trPr>
        <w:tc>
          <w:tcPr>
            <w:tcW w:w="6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April 30, 2024 and April 30, 2023, respectively</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16"/>
        </w:trPr>
        <w:tc>
          <w:tcPr>
            <w:tcW w:w="6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10"/>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25, 2025 and January 27, 2024, respectively</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r>
      <w:tr>
        <w:trPr>
          <w:trHeight w:val="20"/>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Customer-Funded Research &amp; Development</w:t>
      </w:r>
    </w:p>
    <w:p>
      <w:pPr>
        <w:spacing w:after="0" w:line="216"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$19,730,000 and $58,569,000 for the three and nine months ended January 25, 2025. Revenue from customer-funded R&amp;D was approximately $17,617,000 and $61,078,000 for the three and nine months ended January 27, 2024.</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Long-Term Incentive Awards</w:t>
      </w:r>
    </w:p>
    <w:p>
      <w:pPr>
        <w:spacing w:after="0" w:line="229" w:lineRule="exact"/>
        <w:rPr>
          <w:sz w:val="20"/>
          <w:szCs w:val="20"/>
          <w:color w:val="auto"/>
        </w:rPr>
      </w:pPr>
    </w:p>
    <w:p>
      <w:pPr>
        <w:ind w:left="40" w:right="139"/>
        <w:spacing w:after="0" w:line="254" w:lineRule="auto"/>
        <w:rPr>
          <w:sz w:val="20"/>
          <w:szCs w:val="20"/>
          <w:color w:val="auto"/>
        </w:rPr>
      </w:pPr>
      <w:r>
        <w:rPr>
          <w:rFonts w:ascii="Times New Roman" w:cs="Times New Roman" w:eastAsia="Times New Roman" w:hAnsi="Times New Roman"/>
          <w:sz w:val="18"/>
          <w:szCs w:val="18"/>
          <w:color w:val="auto"/>
        </w:rPr>
        <w:t>During the three months ended July 27, 2024, the Company granted awards under its 2021 Equity Incentive Plan (the “2021 Plan”) to key employees (“Fiscal 2025 LTIP”). Awards under the Fiscal 2025 LTIP consist of: (i) time-based restricted stock awards and time-based restricted stock units, which vest in equal tranches in July 2025, July 2026 and July 2027, and (ii) performance-based restricted stock units (“PRSUs”), which vest based on the Company’s achievement of revenue and non-GAAP adjusted earnings before interest, taxes, depreciation and amortization (“adjusted EBITDA”) targets for the three-year period ending April 30, 2027.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55" w:lineRule="auto"/>
        <w:rPr>
          <w:sz w:val="20"/>
          <w:szCs w:val="20"/>
          <w:color w:val="auto"/>
        </w:rPr>
      </w:pPr>
      <w:r>
        <w:rPr>
          <w:rFonts w:ascii="Times New Roman" w:cs="Times New Roman" w:eastAsia="Times New Roman" w:hAnsi="Times New Roman"/>
          <w:sz w:val="18"/>
          <w:szCs w:val="18"/>
          <w:color w:val="auto"/>
        </w:rPr>
        <w:t>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nine months ended January 25, 2025, the Company recorded $918,000 and $2,192,000 of compensation expense related to the Fiscal 2025 LTIP. The Company recorded no compensation expense related to the Fiscal 2025 LTIP for the three and nine months ended January 27, 2024. At January 25, 2025, the maximum compensation expense that may be recorded for the performance-based portion of the Fiscal 2025 LTIP is $18,979,000.</w:t>
      </w:r>
    </w:p>
    <w:p>
      <w:pPr>
        <w:spacing w:after="0" w:line="189"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29, 2023, the Company granted awards under the 2021 Plan to key employees (“Fiscal 2024 LTIP”). Awards under the Fiscal 2024 LTIP consist of: (i) time-based restricted stock awards and time-based restricted stock units, which vest in equal tranches in July 2024, July 2025 and July 2026, and (ii) PRSUs, which vest based on the Company’s achievement of revenue and non-GAAP adjusted EBITDA targets for the three-year period ending April 30, 2026.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nine months ended January 25, 2025, the Company recorded $938,000 and $3,128,000 of compensation expense related to the Fiscal 2024 LTIP, respectively. For the three and nine months ended January 27, 2024, the Company recorded $965,000 and $2,798,000 of compensation expense related to the Fiscal 2024 LTIP, respectively. At January 25, 2025, the maximum compensation expense that may be recorded for the performance-based portion of the Fiscal 2024 LTIP is $15,673,000.</w:t>
      </w:r>
    </w:p>
    <w:p>
      <w:pPr>
        <w:spacing w:after="0" w:line="196"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30, 2022, the Company granted awards under the 2021 Plan to key employees (“Fiscal 2023 LTIP”). Awards under the Fiscal 2023 LTIP consist of: (i) time-based restricted stock awards and time-based restricted stock units, which vest in equal tranches in July 2023, July 2024 and July 2025, and (ii) PRSUs, which vest based on the Company’s achievement of revenue and non-GAAP adjusted EBITDA targets for the three-year period ending April 30, 2025.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nine months ended January 25, 2025, the Company recorded $587,000, and $2,253,000 of compensation expense related to the Fiscal 2023 LTIP, respectively. For the three and nine months ended January 27, 2024, the Company recorded $702,000 and $2,554,000 of compensation expense related to the Fiscal 2023 LTIP, respectively. At January 25, 2025, the maximum compensation expense that may be recorded for the performance-based portion of the Fiscal 2023 LTIP is $11,448,000.</w:t>
      </w:r>
    </w:p>
    <w:p>
      <w:pPr>
        <w:spacing w:after="0" w:line="196"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During the three months ended July 31, 2021, the Company also granted awards under the Restated 2006 Plan to key employees (“Fiscal 2022 LTIP”). Awards under the Fiscal 2021 LTIP consist of: (i) time-based restricted stock awards, which vest in equal tranches in July 2022, July 2023 and July 2024, and (ii) PRSUs, which vest based on the Company’s achievement of revenue and non-GAAP operating income targets for the three-year period ending April 30, 2024. During the three months ended July 27, 2024, the Company issued a total of 15,427 fully-vested shares of the Company’s common stock to settle the PRSUs in the Fiscal 2022 LTIP. For the three and nine months ended January 25, 2025, the Company recorded no compensation expense. For the three and nine months ended January 27, 2024, the Company recorded $125,000 and $613,000 of compensation expense related to the Fiscal 2022 LTIP, respectively.</w:t>
      </w:r>
    </w:p>
    <w:p>
      <w:pPr>
        <w:spacing w:after="0" w:line="192"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16" w:lineRule="exact"/>
        <w:rPr>
          <w:sz w:val="20"/>
          <w:szCs w:val="20"/>
          <w:color w:val="auto"/>
        </w:rPr>
      </w:pPr>
    </w:p>
    <w:p>
      <w:pPr>
        <w:ind w:left="40" w:right="139"/>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January 25, 2025, the Company recorded an income tax benefit of $(605,000), and an income tax expense of $659,000 yielding an effective tax rate of 25.6% and 2.5%, respectively. For the three and nine months ended January 27, 2024, the Company recorded an income tax expense provision of $1,259,000 and $3,710,000, respectively, yielding an effective tax rate of 8.3% and 6.3%, respectively. The variance from statutory rates for the three months ended January 25, 2025 was primarily due to the loss before income taxes for the three months ended January 25, 2025. The variance from statutory rates for the nine months ended January 25, 2025 was primarily due to the decrease in income before taxes, offset by a decrease in foreign-derived intangible income (“FDII”) deductions and, federal R&amp;D credits. The variance from statutory rates for the three and nine months ended January 27, 2024 was primarily due to an increase in profit before taxes, foreign derived intangible income deductions and federal R&amp;D credits.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Share Repurchase Plan and Issuances</w:t>
      </w:r>
    </w:p>
    <w:p>
      <w:pPr>
        <w:spacing w:after="0" w:line="216" w:lineRule="exact"/>
        <w:rPr>
          <w:sz w:val="20"/>
          <w:szCs w:val="20"/>
          <w:color w:val="auto"/>
        </w:rPr>
      </w:pPr>
    </w:p>
    <w:p>
      <w:pPr>
        <w:ind w:left="40" w:right="99"/>
        <w:spacing w:after="0" w:line="231" w:lineRule="auto"/>
        <w:rPr>
          <w:sz w:val="20"/>
          <w:szCs w:val="20"/>
          <w:color w:val="auto"/>
        </w:rPr>
      </w:pPr>
      <w:r>
        <w:rPr>
          <w:rFonts w:ascii="Times New Roman" w:cs="Times New Roman" w:eastAsia="Times New Roman" w:hAnsi="Times New Roman"/>
          <w:sz w:val="18"/>
          <w:szCs w:val="18"/>
          <w:color w:val="auto"/>
        </w:rPr>
        <w:t>On September 8, 2022 the Company filed an S-3 shelf registration statement to offer and sell shares of the Company’s common stock, including a prospectus supplement in relation 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also dated September 8, 2022, with Jefferies LLC relating to the proposed offer and sale of shares of the Company’s common stock having an aggregate offering price of up to $200,000,000 from time to time through Jefferies LLC as the sales agent. During the six months ended October 28, 2023, the Company completed the Open Market Sale AgreementSM. During the six months ended October 28, 2023, the Company sold 807,370 shares for total gross proceeds of $91,313,000, total proceeds received of $88,574,000, net of commission expense and $88,437,000 net of equity issuance costs. As of January 27, 2024, the Company completed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and sold 1,917,100 of its shares for total gross proceeds of $200,000,000, total proceeds received of $193,999,000, net of commission expense and $193,086,000 net of equity issuance costs.</w:t>
      </w:r>
    </w:p>
    <w:p>
      <w:pPr>
        <w:spacing w:after="0" w:line="203" w:lineRule="exact"/>
        <w:rPr>
          <w:sz w:val="20"/>
          <w:szCs w:val="20"/>
          <w:color w:val="auto"/>
        </w:rPr>
      </w:pPr>
    </w:p>
    <w:p>
      <w:pPr>
        <w:ind w:left="40" w:right="7059" w:firstLine="4"/>
        <w:spacing w:after="0" w:line="532" w:lineRule="auto"/>
        <w:tabs>
          <w:tab w:leader="none" w:pos="31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Acquisitions Tomahawk Acquisition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On September 15, 2023, the Company closed its acquisition of Tomahawk Robotics, Inc., a leader in AI-enabled robotic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control systems. Pursuant to the merger agreement, the Company acquired 100% of Tomahawk equity for an aggregate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purchase price of $134,467,000 consisting of 985,999 shares of restricted common stock of the Company valued at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$109,820,000 and $27,205,000 cash-on-hand, net of $3,048,000 cash acquired, plus a $490,000 holdback. During the fiscal</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year ended April 30, 2024, the holdback was decreased $100,000 as part of the working capital adjustment, and the total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purchase price and goodwill, therefore, decreased by $100,000 as well. The remaining $390,000 holdback was paid during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three months ended October 26, 2024. The fair value of the shares issued was the closing price on September 15, 2023,</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close of the Tomahawk purchase agreement. Tomahawk is incorporated into AeroVironment’s UxS segment.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acquisition will enable deeper integration of both companies’ technology, leading to enhanced interoperability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interconnectivity of uncrewed systems through a singular platform with similar control features. The Company accounted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the acquisition under the acquisition method of accounting for business combinations.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final allocation of the purchase price over the estimated fair value of the assets and liabilities assumed in the acquisition of Tomahawk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Unbilled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Inventories, net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Customer relationship</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Deferred tax asset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Wages and related accruals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Customer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Current operating lease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Cash consideration, net of cash acquired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Holdback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September 15,</w:t>
      </w:r>
    </w:p>
    <w:p>
      <w:pPr>
        <w:spacing w:after="0" w:line="82"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515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17" w:lineRule="exact"/>
        <w:rPr>
          <w:sz w:val="20"/>
          <w:szCs w:val="20"/>
          <w:color w:val="auto"/>
        </w:rPr>
      </w:pPr>
    </w:p>
    <w:p>
      <w:pPr>
        <w:ind w:left="567" w:hanging="567"/>
        <w:spacing w:after="0"/>
        <w:tabs>
          <w:tab w:leader="none" w:pos="56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2,314</w:t>
      </w:r>
    </w:p>
    <w:p>
      <w:pPr>
        <w:spacing w:after="0" w:line="38" w:lineRule="exact"/>
        <w:rPr>
          <w:rFonts w:ascii="Times New Roman" w:cs="Times New Roman" w:eastAsia="Times New Roman" w:hAnsi="Times New Roman"/>
          <w:sz w:val="17"/>
          <w:szCs w:val="17"/>
          <w:color w:val="auto"/>
        </w:rPr>
      </w:pPr>
    </w:p>
    <w:p>
      <w:pPr>
        <w:ind w:left="70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993</w:t>
      </w:r>
    </w:p>
    <w:p>
      <w:pPr>
        <w:spacing w:after="0" w:line="21"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2,882</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148</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1,789</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1,337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71</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39,000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4,800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1,600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2,865</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95,414</w:t>
      </w:r>
    </w:p>
    <w:p>
      <w:pPr>
        <w:spacing w:after="0" w:line="9" w:lineRule="exact"/>
        <w:rPr>
          <w:sz w:val="20"/>
          <w:szCs w:val="20"/>
          <w:color w:val="auto"/>
        </w:rPr>
      </w:pPr>
    </w:p>
    <w:p>
      <w:pPr>
        <w:ind w:left="387" w:hanging="387"/>
        <w:spacing w:after="0"/>
        <w:tabs>
          <w:tab w:leader="none" w:pos="387" w:val="left"/>
        </w:tabs>
        <w:numPr>
          <w:ilvl w:val="0"/>
          <w:numId w:val="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153,213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6515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3,788</w:t>
      </w:r>
    </w:p>
    <w:p>
      <w:pPr>
        <w:spacing w:after="0" w:line="2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620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1,648</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482</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411</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855</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515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jc w:val="right"/>
        <w:ind w:right="119"/>
        <w:spacing w:after="0"/>
        <w:rPr>
          <w:sz w:val="20"/>
          <w:szCs w:val="20"/>
          <w:color w:val="auto"/>
        </w:rPr>
      </w:pPr>
      <w:r>
        <w:rPr>
          <w:rFonts w:ascii="Times New Roman" w:cs="Times New Roman" w:eastAsia="Times New Roman" w:hAnsi="Times New Roman"/>
          <w:sz w:val="18"/>
          <w:szCs w:val="18"/>
          <w:color w:val="auto"/>
        </w:rPr>
        <w:t>18,846</w:t>
      </w:r>
    </w:p>
    <w:p>
      <w:pPr>
        <w:spacing w:after="0" w:line="23" w:lineRule="exact"/>
        <w:rPr>
          <w:sz w:val="20"/>
          <w:szCs w:val="20"/>
          <w:color w:val="auto"/>
        </w:rPr>
      </w:pPr>
    </w:p>
    <w:p>
      <w:pPr>
        <w:ind w:left="387" w:hanging="387"/>
        <w:spacing w:after="0"/>
        <w:tabs>
          <w:tab w:leader="none" w:pos="387" w:val="left"/>
        </w:tabs>
        <w:numPr>
          <w:ilvl w:val="0"/>
          <w:numId w:val="7"/>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134,367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6515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87" w:hanging="387"/>
        <w:spacing w:after="0"/>
        <w:tabs>
          <w:tab w:leader="none" w:pos="38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109,820</w:t>
      </w:r>
    </w:p>
    <w:p>
      <w:pPr>
        <w:spacing w:after="0" w:line="38" w:lineRule="exact"/>
        <w:rPr>
          <w:rFonts w:ascii="Times New Roman" w:cs="Times New Roman" w:eastAsia="Times New Roman" w:hAnsi="Times New Roman"/>
          <w:sz w:val="17"/>
          <w:szCs w:val="17"/>
          <w:color w:val="auto"/>
        </w:rPr>
      </w:pPr>
    </w:p>
    <w:p>
      <w:pPr>
        <w:ind w:left="4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24,157</w:t>
      </w:r>
    </w:p>
    <w:p>
      <w:pPr>
        <w:spacing w:after="0" w:line="20" w:lineRule="exact"/>
        <w:rPr>
          <w:rFonts w:ascii="Times New Roman" w:cs="Times New Roman" w:eastAsia="Times New Roman" w:hAnsi="Times New Roman"/>
          <w:sz w:val="17"/>
          <w:szCs w:val="17"/>
          <w:color w:val="auto"/>
        </w:rPr>
      </w:pPr>
    </w:p>
    <w:p>
      <w:pPr>
        <w:ind w:left="70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390</w:t>
      </w:r>
    </w:p>
    <w:p>
      <w:pPr>
        <w:spacing w:after="0" w:line="21" w:lineRule="exact"/>
        <w:rPr>
          <w:sz w:val="20"/>
          <w:szCs w:val="20"/>
          <w:color w:val="auto"/>
        </w:rPr>
      </w:pPr>
    </w:p>
    <w:p>
      <w:pPr>
        <w:ind w:left="387" w:hanging="387"/>
        <w:spacing w:after="0"/>
        <w:tabs>
          <w:tab w:leader="none" w:pos="387" w:val="left"/>
        </w:tabs>
        <w:numPr>
          <w:ilvl w:val="0"/>
          <w:numId w:val="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134,367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6515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7213" w:space="720"/>
            <w:col w:w="1086"/>
          </w:cols>
          <w:pgMar w:left="1440" w:top="513" w:right="1440" w:bottom="1440" w:gutter="0" w:footer="0" w:header="0"/>
          <w:type w:val="continuous"/>
        </w:sectPr>
      </w:pPr>
    </w:p>
    <w:p>
      <w:pPr>
        <w:spacing w:after="0" w:line="52"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7"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Tomahawk and expected future customers in the UxS market. For income tax purposes the acquisition is treated as a stock acquisition, as such the goodwill associated with this purchase is not deductible.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Tomahawk Supplemental Pro Forma Information (unaudited)</w:t>
      </w:r>
    </w:p>
    <w:p>
      <w:pPr>
        <w:spacing w:after="0" w:line="229" w:lineRule="exact"/>
        <w:rPr>
          <w:sz w:val="20"/>
          <w:szCs w:val="20"/>
          <w:color w:val="auto"/>
        </w:rPr>
      </w:pPr>
    </w:p>
    <w:p>
      <w:pPr>
        <w:ind w:left="40" w:right="61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summary presents condensed consolidated information of the Company as if the business acquisition had occurred on May 1, 2022 (in thousands):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5"/>
                <w:szCs w:val="15"/>
                <w:color w:val="auto"/>
              </w:rPr>
            </w:pPr>
          </w:p>
        </w:tc>
      </w:tr>
      <w:tr>
        <w:trPr>
          <w:trHeight w:val="240"/>
        </w:trPr>
        <w:tc>
          <w:tcPr>
            <w:tcW w:w="28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38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27,</w:t>
            </w:r>
          </w:p>
        </w:tc>
      </w:tr>
      <w:tr>
        <w:trPr>
          <w:trHeight w:val="226"/>
        </w:trPr>
        <w:tc>
          <w:tcPr>
            <w:tcW w:w="284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9"/>
                <w:szCs w:val="19"/>
                <w:color w:val="auto"/>
              </w:rPr>
            </w:pPr>
          </w:p>
        </w:tc>
      </w:tr>
      <w:tr>
        <w:trPr>
          <w:trHeight w:val="210"/>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186,578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530,262</w:t>
            </w:r>
          </w:p>
        </w:tc>
        <w:tc>
          <w:tcPr>
            <w:tcW w:w="240" w:type="dxa"/>
            <w:vAlign w:val="bottom"/>
            <w:shd w:val="clear" w:color="auto" w:fill="CCEEFF"/>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240" w:type="dxa"/>
            <w:vAlign w:val="bottom"/>
          </w:tcPr>
          <w:p>
            <w:pPr>
              <w:spacing w:after="0"/>
              <w:rPr>
                <w:sz w:val="20"/>
                <w:szCs w:val="20"/>
                <w:color w:val="auto"/>
              </w:rPr>
            </w:pPr>
          </w:p>
        </w:tc>
      </w:tr>
    </w:tbl>
    <w:p>
      <w:pPr>
        <w:spacing w:after="0" w:line="179" w:lineRule="exact"/>
        <w:rPr>
          <w:sz w:val="20"/>
          <w:szCs w:val="20"/>
          <w:color w:val="auto"/>
        </w:rPr>
      </w:pPr>
    </w:p>
    <w:p>
      <w:pPr>
        <w:ind w:left="40" w:right="839"/>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acquisition included in the reported pro forma revenue and earnings.</w:t>
      </w:r>
    </w:p>
    <w:p>
      <w:pPr>
        <w:spacing w:after="0" w:line="162" w:lineRule="exact"/>
        <w:rPr>
          <w:sz w:val="20"/>
          <w:szCs w:val="20"/>
          <w:color w:val="auto"/>
        </w:rPr>
      </w:pPr>
    </w:p>
    <w:p>
      <w:pPr>
        <w:jc w:val="both"/>
        <w:ind w:left="40" w:right="99"/>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30, 2022, reflecting the additional amortization that would have been charged and including the results of Tomahawk prior to acquisition.</w:t>
      </w:r>
    </w:p>
    <w:p>
      <w:pPr>
        <w:spacing w:after="0" w:line="176"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2022, nor are they indicative of results of operations that may occur in the future.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17. Pension</w:t>
      </w:r>
    </w:p>
    <w:p>
      <w:pPr>
        <w:spacing w:after="0" w:line="229"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2024.</w:t>
      </w:r>
    </w:p>
    <w:p>
      <w:pPr>
        <w:spacing w:after="0" w:line="183"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The table below includes the projected benefit obligation and fair value of plan assets as of April 30, 2024. The net fair value of plan assets (in thousands) is recorded in other assets on the unaudited condensed consolidated balance sheet.</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26"/>
        </w:trPr>
        <w:tc>
          <w:tcPr>
            <w:tcW w:w="4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3"/>
        </w:trPr>
        <w:tc>
          <w:tcPr>
            <w:tcW w:w="4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9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10"/>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of the plan</w:t>
            </w:r>
          </w:p>
        </w:tc>
        <w:tc>
          <w:tcPr>
            <w:tcW w:w="2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4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8"/>
          <w:szCs w:val="18"/>
          <w:color w:val="auto"/>
        </w:rPr>
        <w:t>The projected benefit obligation includes assumptions of a discount rate of 3.9% and pension increase for in-payment benefits of 2.5% for both January 25, 2025 and April 30, 2024.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2025. The Company assumed expected return on plan assets of 2.9% for January 25, 2025 and April 30,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benefit payments as of April 30, 2024 (in thousands):</w:t>
            </w: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2030-2034</w:t>
            </w:r>
          </w:p>
        </w:tc>
        <w:tc>
          <w:tcPr>
            <w:tcW w:w="14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expected benefit payments</w:t>
            </w:r>
          </w:p>
        </w:tc>
        <w:tc>
          <w:tcPr>
            <w:tcW w:w="14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periodic benefit cost (in thousands) is recorded in interest expense, net.</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Borders>
              <w:bottom w:val="single" w:sz="8" w:color="auto"/>
            </w:tcBorders>
          </w:tcPr>
          <w:p>
            <w:pPr>
              <w:spacing w:after="0"/>
              <w:rPr>
                <w:sz w:val="15"/>
                <w:szCs w:val="15"/>
                <w:color w:val="auto"/>
              </w:rPr>
            </w:pPr>
          </w:p>
        </w:tc>
      </w:tr>
      <w:tr>
        <w:trPr>
          <w:trHeight w:val="254"/>
        </w:trPr>
        <w:tc>
          <w:tcPr>
            <w:tcW w:w="4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14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27,</w:t>
            </w:r>
          </w:p>
        </w:tc>
      </w:tr>
      <w:tr>
        <w:trPr>
          <w:trHeight w:val="226"/>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9"/>
                <w:szCs w:val="19"/>
                <w:color w:val="auto"/>
              </w:rPr>
            </w:pPr>
          </w:p>
        </w:tc>
        <w:tc>
          <w:tcPr>
            <w:tcW w:w="600" w:type="dxa"/>
            <w:vAlign w:val="bottom"/>
          </w:tcPr>
          <w:p>
            <w:pPr>
              <w:jc w:val="right"/>
              <w:ind w:right="44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89</w:t>
            </w:r>
          </w:p>
        </w:tc>
      </w:tr>
    </w:tbl>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18. Segments</w:t>
      </w:r>
    </w:p>
    <w:p>
      <w:pPr>
        <w:spacing w:after="0" w:line="229"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1, “Organization and Significant Accounting Policies.” The operating segments do not make sales to each other. Effective May 1, 2024, segment adjusted gross margin is the measure of profitability used by the CODM for purposes of making decisions about allocating resources to the segments and assessing performance. Segment adjusted gross margin is defined as gross margin before intangible amortization expense including amortization of purchase accounting adjustments. Prior period segment information has been revised to align with the new segment measure of profitability.</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UxS</w:t>
            </w:r>
          </w:p>
        </w:tc>
        <w:tc>
          <w:tcPr>
            <w:tcW w:w="2740" w:type="dxa"/>
            <w:vAlign w:val="bottom"/>
            <w:gridSpan w:val="6"/>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January 25, 2025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LMS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0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57,848</w:t>
            </w:r>
          </w:p>
        </w:tc>
        <w:tc>
          <w:tcPr>
            <w:tcW w:w="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80,206</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w:t>
            </w:r>
          </w:p>
        </w:tc>
        <w:tc>
          <w:tcPr>
            <w:tcW w:w="20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83,941</w:t>
            </w:r>
          </w:p>
        </w:tc>
        <w:tc>
          <w:tcPr>
            <w:tcW w:w="2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2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167,636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0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4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UxS</w:t>
            </w:r>
          </w:p>
        </w:tc>
        <w:tc>
          <w:tcPr>
            <w:tcW w:w="2740" w:type="dxa"/>
            <w:vAlign w:val="bottom"/>
            <w:gridSpan w:val="6"/>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January 27, 2024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LMS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104,522</w:t>
            </w:r>
          </w:p>
        </w:tc>
        <w:tc>
          <w:tcPr>
            <w:tcW w:w="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51,338</w:t>
            </w:r>
          </w:p>
        </w:tc>
        <w:tc>
          <w:tcPr>
            <w:tcW w:w="4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7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113,290</w:t>
            </w:r>
          </w:p>
        </w:tc>
        <w:tc>
          <w:tcPr>
            <w:tcW w:w="20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57,658</w:t>
            </w:r>
          </w:p>
        </w:tc>
        <w:tc>
          <w:tcPr>
            <w:tcW w:w="200" w:type="dxa"/>
            <w:vAlign w:val="bottom"/>
          </w:tcPr>
          <w:p>
            <w:pPr>
              <w:spacing w:after="0"/>
              <w:rPr>
                <w:sz w:val="19"/>
                <w:szCs w:val="19"/>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2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186,578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0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4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UxS</w:t>
            </w:r>
          </w:p>
        </w:tc>
        <w:tc>
          <w:tcPr>
            <w:tcW w:w="2740" w:type="dxa"/>
            <w:vAlign w:val="bottom"/>
            <w:gridSpan w:val="6"/>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 January 25, 2025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LMS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249,296</w:t>
            </w:r>
          </w:p>
        </w:tc>
        <w:tc>
          <w:tcPr>
            <w:tcW w:w="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199,316</w:t>
            </w:r>
          </w:p>
        </w:tc>
        <w:tc>
          <w:tcPr>
            <w:tcW w:w="44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269,142</w:t>
            </w:r>
          </w:p>
        </w:tc>
        <w:tc>
          <w:tcPr>
            <w:tcW w:w="20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213,629</w:t>
            </w:r>
          </w:p>
        </w:tc>
        <w:tc>
          <w:tcPr>
            <w:tcW w:w="2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62,806</w:t>
            </w:r>
          </w:p>
        </w:tc>
        <w:tc>
          <w:tcPr>
            <w:tcW w:w="2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138,040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14,963</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4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4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27,144</w:t>
            </w: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UxS</w:t>
            </w:r>
          </w:p>
        </w:tc>
        <w:tc>
          <w:tcPr>
            <w:tcW w:w="2740" w:type="dxa"/>
            <w:vAlign w:val="bottom"/>
            <w:gridSpan w:val="6"/>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 January 27, 2024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LMS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318,708</w:t>
            </w:r>
          </w:p>
        </w:tc>
        <w:tc>
          <w:tcPr>
            <w:tcW w:w="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100,645</w:t>
            </w:r>
          </w:p>
        </w:tc>
        <w:tc>
          <w:tcPr>
            <w:tcW w:w="4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7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25,562</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18,179</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54,827</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344,270</w:t>
            </w:r>
          </w:p>
        </w:tc>
        <w:tc>
          <w:tcPr>
            <w:tcW w:w="20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118,824</w:t>
            </w:r>
          </w:p>
        </w:tc>
        <w:tc>
          <w:tcPr>
            <w:tcW w:w="200" w:type="dxa"/>
            <w:vAlign w:val="bottom"/>
          </w:tcPr>
          <w:p>
            <w:pPr>
              <w:spacing w:after="0"/>
              <w:rPr>
                <w:sz w:val="19"/>
                <w:szCs w:val="19"/>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56,647</w:t>
            </w:r>
          </w:p>
        </w:tc>
        <w:tc>
          <w:tcPr>
            <w:tcW w:w="2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519,741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0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217,942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98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4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4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159"/>
        <w:spacing w:after="0" w:line="282" w:lineRule="auto"/>
        <w:rPr>
          <w:sz w:val="20"/>
          <w:szCs w:val="20"/>
          <w:color w:val="auto"/>
        </w:rPr>
      </w:pPr>
      <w:r>
        <w:rPr>
          <w:rFonts w:ascii="Times New Roman" w:cs="Times New Roman" w:eastAsia="Times New Roman" w:hAnsi="Times New Roman"/>
          <w:sz w:val="18"/>
          <w:szCs w:val="18"/>
          <w:color w:val="auto"/>
        </w:rPr>
        <w:t>The following table (in thousands) provides a reconciliation from segment adjusted gross margin to income before income taxes: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EndedNine Months Ended</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7"/>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18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January 27,</w:t>
            </w:r>
          </w:p>
        </w:tc>
      </w:tr>
      <w:tr>
        <w:trPr>
          <w:trHeight w:val="212"/>
        </w:trPr>
        <w:tc>
          <w:tcPr>
            <w:tcW w:w="3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217,942</w:t>
            </w:r>
          </w:p>
        </w:tc>
      </w:tr>
      <w:tr>
        <w:trPr>
          <w:trHeight w:val="230"/>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in cost of sales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w:t>
            </w: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(27,826)</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(79,800)</w:t>
            </w: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(62,618)</w:t>
            </w: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r>
      <w:tr>
        <w:trPr>
          <w:trHeight w:val="230"/>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58,824</w:t>
            </w:r>
          </w:p>
        </w:tc>
      </w:tr>
      <w:tr>
        <w:trPr>
          <w:trHeight w:val="648"/>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61"/>
        </w:trPr>
        <w:tc>
          <w:tcPr>
            <w:tcW w:w="3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Identifiable segment assets are summarized in the table below. Corporate assets primarily consist of cash and cash equivalents, prepaid expenses and other current assets, long-term investments, property and equipment, net, operating lease right-of-use assets, deferred income taxes and other assets managed centrally on behalf of the business segments.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January 25, 2025</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UxS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LMS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MW</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5"/>
                <w:szCs w:val="15"/>
                <w:color w:val="auto"/>
              </w:rPr>
            </w:pPr>
          </w:p>
        </w:tc>
        <w:tc>
          <w:tcPr>
            <w:tcW w:w="8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5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504,880</w:t>
            </w:r>
          </w:p>
        </w:tc>
        <w:tc>
          <w:tcPr>
            <w:tcW w:w="18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273,454</w:t>
            </w: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49,948</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$ 219,861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1,048,143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April 30, 2024</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590,619</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165,413</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$ 209,061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1,015,860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ind w:left="40" w:right="59"/>
        <w:spacing w:after="0" w:line="289" w:lineRule="auto"/>
        <w:rPr>
          <w:sz w:val="20"/>
          <w:szCs w:val="20"/>
          <w:color w:val="auto"/>
        </w:rPr>
      </w:pPr>
      <w:r>
        <w:rPr>
          <w:rFonts w:ascii="Times New Roman" w:cs="Times New Roman" w:eastAsia="Times New Roman" w:hAnsi="Times New Roman"/>
          <w:sz w:val="17"/>
          <w:szCs w:val="17"/>
          <w:color w:val="auto"/>
        </w:rPr>
        <w:t>On February 28, 2025, the Department of the Army issued a stop-work order on certain existing U.S. government contracts, previously awarded to the Company for foreign military sales funded by the U.S. government via foreign military financing. As of January 25, 2025, funded backlog included approximately $13,000,000 impacted by the stop-work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9"/>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9"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2024, as updated by our subsequent filings under the Securities and Exchange Act of 1934, as amended (the “Exchange Act”).</w:t>
      </w:r>
    </w:p>
    <w:p>
      <w:pPr>
        <w:spacing w:after="0" w:line="190"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Unless required by law, we expressly disclaim any obligation to update publicly any forward-looking statements, whether as result of new information, future events or otherwise.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519"/>
        <w:spacing w:after="0" w:line="282" w:lineRule="auto"/>
        <w:rPr>
          <w:sz w:val="20"/>
          <w:szCs w:val="20"/>
          <w:color w:val="auto"/>
        </w:rPr>
      </w:pPr>
      <w:r>
        <w:rPr>
          <w:rFonts w:ascii="Times New Roman" w:cs="Times New Roman" w:eastAsia="Times New Roman" w:hAnsi="Times New Roman"/>
          <w:sz w:val="18"/>
          <w:szCs w:val="18"/>
          <w:color w:val="auto"/>
        </w:rPr>
        <w:t>The following should be read in conjunction with the critical accounting estimates presented in our Annual Report on Form 10-K for the fiscal year ended April 30, 2024.</w:t>
      </w:r>
    </w:p>
    <w:p>
      <w:pPr>
        <w:spacing w:after="0" w:line="162"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jc w:val="both"/>
        <w:ind w:left="40" w:right="139"/>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in accordance with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ASC 606 requires revenue to be recognized when promised goods or services are transferred to customers in amounts that reflect the consideration to which we expect to be entitled in exchange for those goods or services.</w:t>
      </w:r>
    </w:p>
    <w:p>
      <w:pPr>
        <w:spacing w:after="0" w:line="175"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Revenue for LMS product deliveries, customization of UGV transport vehicles and customer-funded research and development contracts is recognized over time as costs are incurred. Contract services revenue is for the provision of services, including repairs and maintenance, training, engineering design, development and prototyping activities, and technical support services. 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thereby best depict, transfer of control to the customer. Contract costs include labor, materials, subcontractors’ costs, other direct costs, and indirect costs applicable on government and commercial contracts.</w:t>
      </w:r>
    </w:p>
    <w:p>
      <w:pPr>
        <w:spacing w:after="0" w:line="162" w:lineRule="exact"/>
        <w:rPr>
          <w:sz w:val="20"/>
          <w:szCs w:val="20"/>
          <w:color w:val="auto"/>
        </w:rPr>
      </w:pPr>
    </w:p>
    <w:p>
      <w:pPr>
        <w:jc w:val="both"/>
        <w:ind w:left="40" w:right="79"/>
        <w:spacing w:after="0" w:line="257"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Our Uncrewed Systems product sales revenue is primarily composed of revenue recognized on contracts for the delivery of UxS systems and spare parts, respectively.</w:t>
      </w:r>
    </w:p>
    <w:p>
      <w:pPr>
        <w:spacing w:after="0" w:line="1" w:lineRule="exact"/>
        <w:rPr>
          <w:sz w:val="20"/>
          <w:szCs w:val="20"/>
          <w:color w:val="auto"/>
        </w:rPr>
      </w:pPr>
    </w:p>
    <w:p>
      <w:pPr>
        <w:ind w:left="40" w:right="319"/>
        <w:spacing w:after="0" w:line="260" w:lineRule="auto"/>
        <w:rPr>
          <w:sz w:val="20"/>
          <w:szCs w:val="20"/>
          <w:color w:val="auto"/>
        </w:rPr>
      </w:pPr>
      <w:r>
        <w:rPr>
          <w:rFonts w:ascii="Times New Roman" w:cs="Times New Roman" w:eastAsia="Times New Roman" w:hAnsi="Times New Roman"/>
          <w:sz w:val="18"/>
          <w:szCs w:val="18"/>
          <w:color w:val="auto"/>
        </w:rPr>
        <w:t>Revenue is recognized at the point in time when control transfers to the customer, which generally occurs when title and risk of loss have passed to the customer.</w:t>
      </w:r>
    </w:p>
    <w:p>
      <w:pPr>
        <w:spacing w:after="0" w:line="181"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We review cost performance, estimates-to-complete and variable consideration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three and nine months ended January 25, 2025 and January 27, 2024,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ASC 606. Incentives or penalties and awards applicable to performance on contracts are considered in estimating revenue and profit rates, and are recorded when there is sufficient information to assess anticipated contract performance.</w:t>
      </w:r>
    </w:p>
    <w:p>
      <w:pPr>
        <w:spacing w:after="0" w:line="187" w:lineRule="exact"/>
        <w:rPr>
          <w:sz w:val="20"/>
          <w:szCs w:val="20"/>
          <w:color w:val="auto"/>
        </w:rPr>
      </w:pPr>
    </w:p>
    <w:p>
      <w:pPr>
        <w:ind w:left="40" w:right="659"/>
        <w:spacing w:after="0" w:line="282" w:lineRule="auto"/>
        <w:rPr>
          <w:sz w:val="20"/>
          <w:szCs w:val="20"/>
          <w:color w:val="auto"/>
        </w:rPr>
      </w:pPr>
      <w:r>
        <w:rPr>
          <w:rFonts w:ascii="Times New Roman" w:cs="Times New Roman" w:eastAsia="Times New Roman" w:hAnsi="Times New Roman"/>
          <w:sz w:val="18"/>
          <w:szCs w:val="18"/>
          <w:color w:val="auto"/>
        </w:rPr>
        <w:t>For the three months ended January 25, 2025 and January 27, 2024,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2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favorable adjustments</w:t>
            </w:r>
          </w:p>
        </w:tc>
        <w:tc>
          <w:tcPr>
            <w:tcW w:w="2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19"/>
        <w:spacing w:after="0" w:line="256" w:lineRule="auto"/>
        <w:rPr>
          <w:sz w:val="20"/>
          <w:szCs w:val="20"/>
          <w:color w:val="auto"/>
        </w:rPr>
      </w:pPr>
      <w:r>
        <w:rPr>
          <w:rFonts w:ascii="Times New Roman" w:cs="Times New Roman" w:eastAsia="Times New Roman" w:hAnsi="Times New Roman"/>
          <w:sz w:val="18"/>
          <w:szCs w:val="18"/>
          <w:color w:val="auto"/>
        </w:rPr>
        <w:t>For the three months ended January 25, 2025, favorable cumulative catch-up adjustments of $10.3 million were primarily due to cost adjustments on three contracts. During the three months ended January 25, 2025, the Company revised its estimates of the total expected costs to complete three LMS contracts. The aggregate impact of these adjustments in contract estimates on revenue related to performance obligations satisfied or partially satisfied in previous periods was an increase to revenue of approximately $9.6 million. For the same period, unfavorable cumulative catch-up adjustments of $1.2 million were primarily related to higher than expected costs on 23 contracts, which individually were not material.</w:t>
      </w:r>
    </w:p>
    <w:p>
      <w:pPr>
        <w:spacing w:after="0" w:line="187"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8"/>
          <w:szCs w:val="18"/>
          <w:color w:val="auto"/>
        </w:rPr>
        <w:t>For the three months ended January 27, 2024, favorable cumulative catch-up adjustments of $4.5 million were primarily due to cost adjustments on three contracts. During the three months ended January 27, 2024, we revised our estimates of the total expected costs to complete an LMS contract. The aggregate impact of these adjustments in contract estimates on revenue related to performance obligations satisfied or partially satisfied in previous periods was an increase to revenue of approximately $3.6 million. For the same period, unfavorable cumulative catch-up adjustments of $0.1 million were primarily related to higher than expected costs on three contracts, which individually were not material.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99"/>
        <w:spacing w:after="0" w:line="282" w:lineRule="auto"/>
        <w:rPr>
          <w:sz w:val="20"/>
          <w:szCs w:val="20"/>
          <w:color w:val="auto"/>
        </w:rPr>
      </w:pPr>
      <w:r>
        <w:rPr>
          <w:rFonts w:ascii="Times New Roman" w:cs="Times New Roman" w:eastAsia="Times New Roman" w:hAnsi="Times New Roman"/>
          <w:sz w:val="18"/>
          <w:szCs w:val="18"/>
          <w:color w:val="auto"/>
        </w:rPr>
        <w:t>For the nine months ended January 25, 2025 and January 27, 2024,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19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favorable (unfavorable) adjustments</w:t>
            </w:r>
          </w:p>
        </w:tc>
        <w:tc>
          <w:tcPr>
            <w:tcW w:w="1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8"/>
          <w:szCs w:val="18"/>
          <w:color w:val="auto"/>
        </w:rPr>
        <w:t>For the nine months ended January 25, 2025, favorable cumulative catch-up adjustments of $11.6 million were primarily due to cost adjustments on four contracts. During the nine months ended January 25, 2025, we definitized certain LMS undefinitized contract actions. The aggregate impact of these cumulative catch-up revenue adjustments for the contract definitization was an increase to revenue of approximately $9.9 million. The remaining adjustments individually were not material. For the same period, unfavorable cumulative catch-up adjustments of $2.1 million were primarily related to higher than expected costs on 30 contracts, which individually were not material.</w:t>
      </w:r>
    </w:p>
    <w:p>
      <w:pPr>
        <w:spacing w:after="0" w:line="187"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For the nine months ended January 27, 2024, favorable cumulative catch-up adjustments of $6.5 million were primarily due to cost adjustments on 17 contracts. During the nine months ended January 27, 2024, we revised our estimates of the total expected costs to complete an LMS contract. The aggregate impact of these adjustments in contract estimates on revenue related to performance obligations satisfied or partially satisfied in previous periods was an increase to revenue of approximately $1.4 million. For the same period, unfavorable cumulative catch-up adjustments of $1.5 million were primarily related to higher than expected costs on eight contracts, which individually were not material.</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left="40" w:right="19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pacing w:after="0" w:line="189"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our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our business.</w:t>
      </w:r>
    </w:p>
    <w:p>
      <w:pPr>
        <w:spacing w:after="0" w:line="192"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Subsequent to the performance of our annual goodwill impairment test for fiscal year 2023,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profitability growth rate expectations used in the valuation of the MUAS reporting unit. These changes in estimates, resulted in the recognition of a goodwill impairment charge of $156.0 million in the MUAS reporting unit during the fiscal year ended April 30,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As of January 25, 2025, our MUAS reporting unit had a goodwill balance of $135.8 million. The estimated fair value of the MUAS reporting unit does not substantially exceed its carrying value due to the impairment recorded during the fourth quarter ended April 30, 2023. The fair value of the MUAS reporting unit exceeded its carrying value by 10% as of January 28, 2024, the date of the most recent annual goodwill impairment test. Fair value determinations utilized in the quantitative goodwill impairment test require considerable judgment and are sensitive to changes in underlying assumptions, estimates, and market factors. Estimating the fair value of individual reporting units requires us to make assumptions and estimates regarding future plans, as well as industry, economic, and regulatory conditions. These assumptions and estimates include estimated future annual net cash flows, income tax rates, discount rates, growth rates, and other market factors. Estimated future annual net cash flows based in part upon our ability to obtain contracts from the U.S. D.o.D. and foreign allied nations and negotiate the estimated pricing are considered the most significant, sensitive assumptions. If current expectations of future growth rates and margins are not met, if market factors outside of our control, such as discount rates, income tax rates, or inflation, change, or if management’s expectations or plans otherwise change, including updates to long-term operating plans, then MUAS may become impaired in the future. Accordingly, the MUAS reporting unit is considered at an increased risk of failing future quantitative goodwill impairment tests. The intangibles included in the MUAS reporting unit of $10.9 million as of January 25, 2025 will also be evaluated for potential impairment during the fourth quarter impairment test. During the most recent annual impairment test during the fourth quarter of fiscal year 2024, the estimated fair value of all reporting units, other than MUAS, substantially exceeded their carrying value. As of January 25, 2025, we have not identified any events or circumstances that could trigger an impairment review prior to the Company’s annual impairment test.</w:t>
      </w:r>
    </w:p>
    <w:p>
      <w:pPr>
        <w:spacing w:after="0" w:line="191"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left="40" w:right="139"/>
        <w:spacing w:after="0" w:line="289" w:lineRule="auto"/>
        <w:rPr>
          <w:sz w:val="20"/>
          <w:szCs w:val="20"/>
          <w:color w:val="auto"/>
        </w:rPr>
      </w:pPr>
      <w:r>
        <w:rPr>
          <w:rFonts w:ascii="Times New Roman" w:cs="Times New Roman" w:eastAsia="Times New Roman" w:hAnsi="Times New Roman"/>
          <w:sz w:val="17"/>
          <w:szCs w:val="17"/>
          <w:color w:val="auto"/>
        </w:rPr>
        <w:t>Due to our fixed year end date of April 30, our first and fourth quarters each consist of approximately 13 weeks. The second and third quarters each consist of exactly 13 weeks. Our first three quarters end on a Saturday. Our 2025 fiscal year ends on April 30, 2025 and our fiscal quarters end on July 27, 2024, October 26, 2024 and January 25, 2025, respectively.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25, 2025 Compared to Three Months Ended January 27, 2024</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104,437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method investment income (loss), net of tax</w:t>
            </w:r>
          </w:p>
        </w:tc>
        <w:tc>
          <w:tcPr>
            <w:tcW w:w="15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19"/>
        <w:spacing w:after="0" w:line="254" w:lineRule="auto"/>
        <w:rPr>
          <w:sz w:val="20"/>
          <w:szCs w:val="20"/>
          <w:color w:val="auto"/>
        </w:rPr>
      </w:pPr>
      <w:r>
        <w:rPr>
          <w:rFonts w:ascii="Times New Roman" w:cs="Times New Roman" w:eastAsia="Times New Roman" w:hAnsi="Times New Roman"/>
          <w:sz w:val="18"/>
          <w:szCs w:val="18"/>
          <w:color w:val="auto"/>
        </w:rPr>
        <w:t>We have identified three reportable segments, Uncrewed Systems (“UxS”), Loitering Munitions Systems (“LMS”) and MacCready Works (“MW”). The UxS segment consists of our SUAS, including our Tomahawk acquisition, MUAS and UGV product lines. The LMS segment consists of our renamed existing tactical missile systems product lines. The MW segment consists of our MacCready Works products and services and the development of High Altitude Pseudo-Satellite systems (“HAPS”). The following tables (in thousands) set forth our segment revenue and segment adjusted gross margin for the periods indicated. Prior period segment information has been revised to align with the new segment measure of profitability. Segment adjusted gross margin is defined as gross margin before intangible amortization expense including amortization of purchase accounting adjustments. All corporate and headquarter expenses are allocated to the reportable segments.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UxS</w:t>
            </w:r>
          </w:p>
        </w:tc>
        <w:tc>
          <w:tcPr>
            <w:tcW w:w="220" w:type="dxa"/>
            <w:vAlign w:val="bottom"/>
          </w:tcPr>
          <w:p>
            <w:pPr>
              <w:spacing w:after="0"/>
              <w:rPr>
                <w:sz w:val="13"/>
                <w:szCs w:val="13"/>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January 25, 2025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LMS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57,848</w:t>
            </w:r>
          </w:p>
        </w:tc>
        <w:tc>
          <w:tcPr>
            <w:tcW w:w="4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80,206</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2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w:t>
            </w:r>
          </w:p>
        </w:tc>
        <w:tc>
          <w:tcPr>
            <w:tcW w:w="220" w:type="dxa"/>
            <w:vAlign w:val="bottom"/>
          </w:tcPr>
          <w:p>
            <w:pPr>
              <w:spacing w:after="0"/>
              <w:rPr>
                <w:sz w:val="19"/>
                <w:szCs w:val="19"/>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83,941</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167,636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4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UxS</w:t>
            </w:r>
          </w:p>
        </w:tc>
        <w:tc>
          <w:tcPr>
            <w:tcW w:w="220" w:type="dxa"/>
            <w:vAlign w:val="bottom"/>
          </w:tcPr>
          <w:p>
            <w:pPr>
              <w:spacing w:after="0"/>
              <w:rPr>
                <w:sz w:val="24"/>
                <w:szCs w:val="24"/>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January 27, 2024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LMS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104,522</w:t>
            </w:r>
          </w:p>
        </w:tc>
        <w:tc>
          <w:tcPr>
            <w:tcW w:w="4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51,338</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113,290</w:t>
            </w:r>
          </w:p>
        </w:tc>
        <w:tc>
          <w:tcPr>
            <w:tcW w:w="220" w:type="dxa"/>
            <w:vAlign w:val="bottom"/>
          </w:tcPr>
          <w:p>
            <w:pPr>
              <w:spacing w:after="0"/>
              <w:rPr>
                <w:sz w:val="19"/>
                <w:szCs w:val="19"/>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57,658</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186,578</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w:t>
            </w:r>
          </w:p>
        </w:tc>
        <w:tc>
          <w:tcPr>
            <w:tcW w:w="4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We recorded intangible amortization expense and other purchase accounting adjustments in the following categories on the accompanying unaudited condensed consolidated statements of operations: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5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18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200" w:type="dxa"/>
            <w:vAlign w:val="bottom"/>
          </w:tcPr>
          <w:p>
            <w:pPr>
              <w:spacing w:after="0"/>
              <w:rPr>
                <w:sz w:val="10"/>
                <w:szCs w:val="10"/>
                <w:color w:val="auto"/>
              </w:rPr>
            </w:pPr>
          </w:p>
        </w:tc>
      </w:tr>
      <w:tr>
        <w:trPr>
          <w:trHeight w:val="173"/>
        </w:trPr>
        <w:tc>
          <w:tcPr>
            <w:tcW w:w="35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12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3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3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00" w:type="dxa"/>
            <w:vAlign w:val="bottom"/>
          </w:tcPr>
          <w:p>
            <w:pPr>
              <w:spacing w:after="0"/>
              <w:rPr>
                <w:sz w:val="18"/>
                <w:szCs w:val="18"/>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00" w:type="dxa"/>
            <w:vAlign w:val="bottom"/>
            <w:shd w:val="clear" w:color="auto" w:fill="CCEEFF"/>
          </w:tcPr>
          <w:p>
            <w:pPr>
              <w:spacing w:after="0"/>
              <w:rPr>
                <w:sz w:val="18"/>
                <w:szCs w:val="18"/>
                <w:color w:val="auto"/>
              </w:rPr>
            </w:pPr>
          </w:p>
        </w:tc>
      </w:tr>
      <w:tr>
        <w:trPr>
          <w:trHeight w:val="216"/>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00" w:type="dxa"/>
            <w:vAlign w:val="bottom"/>
            <w:tcBorders>
              <w:bottom w:val="single" w:sz="8" w:color="CCEEFF"/>
            </w:tcBorders>
          </w:tcPr>
          <w:p>
            <w:pPr>
              <w:spacing w:after="0"/>
              <w:rPr>
                <w:sz w:val="18"/>
                <w:szCs w:val="18"/>
                <w:color w:val="auto"/>
              </w:rPr>
            </w:pPr>
          </w:p>
        </w:tc>
      </w:tr>
      <w:tr>
        <w:trPr>
          <w:trHeight w:val="210"/>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January 25, 2025 was $167.6 million, as compared to $186.6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January 27, 2024, representing a decrease of $18.9 million, or 10%. The decrease in revenue was due to a decrease in product revenue of $16.2 million and a decrease in service revenue of $2.8 million. The decrease in product revenue was primarily due to a decrease in product deliveries of our UxS products of $46.7 million primarily due to a decrease in international sales to Ukraine. The decrease was partially offset by an increase of $28.9 million from the production of our Switchblade products primarily driven by increased global demand for our Switchblade products associated with the current global conflicts as well as U.S. D.o.D. resupply and an increase in product deliveries of our MW products of $1.7 million due to the shift from development to early production of certain new products. The decrease in service revenue was due to a decrease of $1.6 million of training and repairs service revenue driven by the decrease in UxS product sales and a decrease of $1.2 million in customer funded R&amp;D and engineering services driven by a decrease in development programs in part due to delays in the establishment of the government fiscal year 2024 budget. The January 2025 Southern California high winds, fires and resulting blackouts and shutdowns negatively impacted revenue for the three months ended January 25, 2025. The increase in the LMS product revenues as compared to the prior year period is expected to continue for the remainder of the fiscal year ending April 30, 2025.</w:t>
      </w:r>
    </w:p>
    <w:p>
      <w:pPr>
        <w:spacing w:after="0" w:line="185"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three months ended January 25, 2025 was $104.4 million, as compared to $119.3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January 27, 2024, representing a decrease of $14.9 million, or 12%. The decrease in cost of sales was a result of a decrease in product cost of sales of $18.5 million, partially offset by an increase in service costs of sales of $3.6 million. The decrease in product costs of sales was primarily due to a decrease of approximately $10 million associated with the decrease in product revenue and approximately $8 million due to mix shift related primarily to the definitization of LMS contracts. The increase in service cost of sales was primarily due to an increase of approximately $5 million associated with a higher proportion of fixed asset allocated costs, partially offset by a decrease of approximately $2 million associated with the decrease in service revenue. Cost of sales for the three months ended January 25, 2025 included $3.7 million of intangible amortization and other related non-cash purchase accounting expenses as compared to $4.0 million for the three months ended January 27, 2024. As a percentage of revenue, cost of sales decreased from 64% to 62% primarily due to the definitization of LMS contracts, resulting in gross margin increasing from 36% to 38%.</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40" w:right="1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three months ended January 25, 2025 was $43.8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26% of revenue, as compared to SG&amp;A expense of $27.8 million, or 15% of revenue, for the three months ended January 27, 2024. The increase in SG&amp;A expense was primarily due to an increase of $10.1 million in acquisition related expenses related to the BlueHalo merger and an increase of $2.5 million of sales and marketing expense primarily driven by an increase in bid and proposal efforts. Sales and marketing expense includes commissions on certain direct commercial sales to international customers, and an increase in revenue results in an increase in commission expense.</w:t>
      </w:r>
    </w:p>
    <w:p>
      <w:pPr>
        <w:spacing w:after="0" w:line="182" w:lineRule="exact"/>
        <w:rPr>
          <w:sz w:val="20"/>
          <w:szCs w:val="20"/>
          <w:color w:val="auto"/>
        </w:rPr>
      </w:pPr>
    </w:p>
    <w:p>
      <w:pPr>
        <w:ind w:left="4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three months ended January 25, 2025 was $22.5 million, or 13%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$25.1 million, or 13% of revenue, for the three months ended January 27, 2024. The decrease was primarily due to an acceleration of R&amp;D activity in the second quarter of fiscal year 2025.</w:t>
      </w:r>
    </w:p>
    <w:p>
      <w:pPr>
        <w:spacing w:after="0" w:line="171" w:lineRule="exact"/>
        <w:rPr>
          <w:sz w:val="20"/>
          <w:szCs w:val="20"/>
          <w:color w:val="auto"/>
        </w:rPr>
      </w:pPr>
    </w:p>
    <w:p>
      <w:pPr>
        <w:ind w:left="4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three months ended January 25, 2025 was $0.2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net of $0.1 million for the three months ended January 27, 2024.</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for the three months ended January 25, 2025 was $1.0 million as compared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net of $1.0 million for the three months ended January 27, 2024.</w:t>
      </w:r>
    </w:p>
    <w:p>
      <w:pPr>
        <w:spacing w:after="0" w:line="155" w:lineRule="exact"/>
        <w:rPr>
          <w:sz w:val="20"/>
          <w:szCs w:val="20"/>
          <w:color w:val="auto"/>
        </w:rPr>
      </w:pPr>
    </w:p>
    <w:p>
      <w:pPr>
        <w:ind w:left="40" w:right="1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 from) Provision for Income Taxes. </w:t>
      </w:r>
      <w:r>
        <w:rPr>
          <w:rFonts w:ascii="Times New Roman" w:cs="Times New Roman" w:eastAsia="Times New Roman" w:hAnsi="Times New Roman"/>
          <w:sz w:val="18"/>
          <w:szCs w:val="18"/>
          <w:color w:val="auto"/>
        </w:rPr>
        <w:t>Our effective income tax rate was 25.6% for the three months ended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 2025, as compared to 8.3% for the three months ended January 27, 2024. The increase in our effective income tax rate was primarily due to an increase in FDII deductions and excess tax benefits from equity awards. The effective income tax rate for the three months ended January 25, 2025 was primarily impacted by expected federal R&amp;D tax credits and FDII deductions and excess tax benefits from equity awards.</w:t>
      </w:r>
    </w:p>
    <w:p>
      <w:pPr>
        <w:spacing w:after="0" w:line="179" w:lineRule="exact"/>
        <w:rPr>
          <w:sz w:val="20"/>
          <w:szCs w:val="20"/>
          <w:color w:val="auto"/>
        </w:rPr>
      </w:pPr>
    </w:p>
    <w:p>
      <w:pPr>
        <w:ind w:left="4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Loss, net of Tax. </w:t>
      </w:r>
      <w:r>
        <w:rPr>
          <w:rFonts w:ascii="Times New Roman" w:cs="Times New Roman" w:eastAsia="Times New Roman" w:hAnsi="Times New Roman"/>
          <w:sz w:val="18"/>
          <w:szCs w:val="18"/>
          <w:color w:val="auto"/>
        </w:rPr>
        <w:t>Equity method investment loss, net of tax for the three months ended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 2025 was $0 as compared to equity method investment loss, net of tax of $0.1 million for the three months ended January 27, 2024.</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Loitering Munitions Systems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20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80,206</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1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83,941</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57,658</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0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LMS revenue for the three months ended January 25, 2025 was $83.9 million, as compared to $57.7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January 27, 2024, representing an increase of $26.2 million, or 45%. The increase in revenue was due to an increase in product revenue of $28.9 million, partially offset by a decrease in service revenue of $2.6 million. The increase in product revenue was primarily due to increased production of our LMS systems primarily due to increased global demand for our loitering munitions systems associated with the current global conflicts as well as U.S. D.o.D. resupply. The decrease in service revenue was primarily due to decreases in customer-funded R&amp;D activities primarily associated with the shift from development to production of certain Switchblade products.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LMS Segment adjusted gross margin. </w:t>
      </w:r>
      <w:r>
        <w:rPr>
          <w:rFonts w:ascii="Times New Roman" w:cs="Times New Roman" w:eastAsia="Times New Roman" w:hAnsi="Times New Roman"/>
          <w:sz w:val="18"/>
          <w:szCs w:val="18"/>
          <w:color w:val="auto"/>
        </w:rPr>
        <w:t>LMS segment adjusted gross margin for the three months January 25, 2025 was</w:t>
      </w:r>
    </w:p>
    <w:p>
      <w:pPr>
        <w:spacing w:after="0" w:line="31"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$33.0 million, as compared to $18.0 million for the three months ended January 27, 2024, representing an increase of $15.0 million, or 83%. The increase in LMS segment adjusted gross margin was primarily due to an increase in revenue of $26.2 million, partially offset by an increase in adjusted cost of sales of $11.2 million. The increase in adjusted cost of sales was primarily due to an increase in sales volume of approximately $18 million, partially offset by a mix shift of approximately $7 million to related primarily to the definitization of LMS contracts. LMS is operating under multiple unpriced change orders, or UCO's, for which we recognize revenue based upon estimates of the final price negotiations. In the period these contracts are definitized a cumulative catch-up revenue adjustment may be recorded.</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Uncrewed Systems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20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57,848</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1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113,290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0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UxS revenue for the three months ended January 25, 2025 was $63.8 million, as compared to $113.3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January 27, 2024, representing a decrease of $49.5 million, or 44%. The decrease in revenue was due to a decrease in product revenue of $46.7 million and a decrease in service revenue of $2.9 million. The decrease in product revenue was primarily due to $46.7 million of decreased international sales of our UxS family of systems, most significantly sales to Ukraine. The decrease in service revenue was primarily due to a decrease of $1.9 million of customer-funded R&amp;D and engineering services.</w:t>
      </w:r>
    </w:p>
    <w:p>
      <w:pPr>
        <w:spacing w:after="0" w:line="182" w:lineRule="exact"/>
        <w:rPr>
          <w:sz w:val="20"/>
          <w:szCs w:val="20"/>
          <w:color w:val="auto"/>
        </w:rPr>
      </w:pPr>
    </w:p>
    <w:p>
      <w:pPr>
        <w:ind w:left="4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UxS Segment adjusted gross margin. </w:t>
      </w:r>
      <w:r>
        <w:rPr>
          <w:rFonts w:ascii="Times New Roman" w:cs="Times New Roman" w:eastAsia="Times New Roman" w:hAnsi="Times New Roman"/>
          <w:sz w:val="18"/>
          <w:szCs w:val="18"/>
          <w:color w:val="auto"/>
        </w:rPr>
        <w:t>UxS segment adjusted gross margin for the three months January 25, 2025 was $29.4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$50.1 million for the three months ended January 27, 2024, representing a decrease of $20.7 million, or 41%. The decrease in UxS segment adjusted gross margin was primarily due to a decrease in revenue of $49.5 million, partially offset by a decrease of $28.8 million in adjusted cost of sales. The decrease in adjusted cost of sales was primarily due to a decrease in sales volume of approximately $29 million. Adjusted cost of sales is defined as cost of sales before intangible amortization expense including amortization of purchase accounting adjustments.</w:t>
      </w: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MacCready Works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20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1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0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right="1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MW revenue for the three months ended January 25, 2025 was $19.9 million, as compared to $15.6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January 27, 2024, representing an increase of $4.3 million, or 28%. The increase in revenue was due to an increase in service revenue of $2.7 million and an increase in product revenue of $1.6 million. The increase in service revenue was primarily due to an increase of $2.7 million in customer funded R&amp;D and engineering services efforts primarily due to HAPS return to flight services. The increase in product revenue was primarily driven by the shift from development to production of certain new product lines.</w:t>
      </w:r>
    </w:p>
    <w:p>
      <w:pPr>
        <w:spacing w:after="0" w:line="182"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MW Segment adjusted gross margin. </w:t>
      </w:r>
      <w:r>
        <w:rPr>
          <w:rFonts w:ascii="Times New Roman" w:cs="Times New Roman" w:eastAsia="Times New Roman" w:hAnsi="Times New Roman"/>
          <w:sz w:val="18"/>
          <w:szCs w:val="18"/>
          <w:color w:val="auto"/>
        </w:rPr>
        <w:t>MW segment adjusted gross margin for the three months January 25, 2025 was $4.5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$3.3 million for the three months ended January 27, 2024, representing an increase of $1.2 million or 36%. The increase in MW adjusted gross margin was primarily due to an increase in revenue of $4.3 million, partially offset by an increase in adjusted cost of sales of $3.1 million. The increase in adjusted cost of sales was primarily due to an increase in sales volume of approximately $3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January 25, 2025 Compared to Nine Months Ended January 27, 2024</w:t>
      </w:r>
    </w:p>
    <w:p>
      <w:pPr>
        <w:spacing w:after="0" w:line="189" w:lineRule="exact"/>
        <w:rPr>
          <w:sz w:val="20"/>
          <w:szCs w:val="20"/>
          <w:color w:val="auto"/>
        </w:rPr>
      </w:pPr>
    </w:p>
    <w:p>
      <w:pPr>
        <w:ind w:left="40" w:right="319"/>
        <w:spacing w:after="0" w:line="261" w:lineRule="auto"/>
        <w:rPr>
          <w:sz w:val="20"/>
          <w:szCs w:val="20"/>
          <w:color w:val="auto"/>
        </w:rPr>
      </w:pPr>
      <w:r>
        <w:rPr>
          <w:rFonts w:ascii="Times New Roman" w:cs="Times New Roman" w:eastAsia="Times New Roman" w:hAnsi="Times New Roman"/>
          <w:sz w:val="18"/>
          <w:szCs w:val="18"/>
          <w:color w:val="auto"/>
        </w:rPr>
        <w:t>The following tables (in thousands) sets forth our revenue, gross margin and adjusted gross margin generated by each reporting segment for the periods indicated. Adjusted margin is defined as gross margin before intangible amortization, amortization of purchase accounting adjustments. All corporate and headquarter expenses are allocated to the reportable segments.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67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960" w:type="dxa"/>
            <w:vAlign w:val="bottom"/>
            <w:tcBorders>
              <w:top w:val="single" w:sz="8" w:color="auto"/>
            </w:tcBorders>
            <w:gridSpan w:val="2"/>
          </w:tcPr>
          <w:p>
            <w:pPr>
              <w:jc w:val="right"/>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100" w:type="dxa"/>
            <w:vAlign w:val="bottom"/>
          </w:tcPr>
          <w:p>
            <w:pPr>
              <w:spacing w:after="0"/>
              <w:rPr>
                <w:sz w:val="10"/>
                <w:szCs w:val="10"/>
                <w:color w:val="auto"/>
              </w:rPr>
            </w:pPr>
          </w:p>
        </w:tc>
      </w:tr>
      <w:tr>
        <w:trPr>
          <w:trHeight w:val="173"/>
        </w:trPr>
        <w:tc>
          <w:tcPr>
            <w:tcW w:w="6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519,741</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327,273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311,444</w:t>
            </w:r>
          </w:p>
        </w:tc>
        <w:tc>
          <w:tcPr>
            <w:tcW w:w="10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208,297</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79,800</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62,618</w:t>
            </w:r>
          </w:p>
        </w:tc>
        <w:tc>
          <w:tcPr>
            <w:tcW w:w="100" w:type="dxa"/>
            <w:vAlign w:val="bottom"/>
            <w:shd w:val="clear" w:color="auto" w:fill="CCEEFF"/>
          </w:tcPr>
          <w:p>
            <w:pPr>
              <w:spacing w:after="0"/>
              <w:rPr>
                <w:sz w:val="18"/>
                <w:szCs w:val="18"/>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65,879</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(1,177)</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(4,072)</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(2,983)</w:t>
            </w: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58,824</w:t>
            </w:r>
          </w:p>
        </w:tc>
        <w:tc>
          <w:tcPr>
            <w:tcW w:w="100" w:type="dxa"/>
            <w:vAlign w:val="bottom"/>
          </w:tcPr>
          <w:p>
            <w:pPr>
              <w:spacing w:after="0"/>
              <w:rPr>
                <w:sz w:val="18"/>
                <w:szCs w:val="18"/>
                <w:color w:val="auto"/>
              </w:rPr>
            </w:pPr>
          </w:p>
        </w:tc>
      </w:tr>
      <w:tr>
        <w:trPr>
          <w:trHeight w:val="23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shd w:val="clear" w:color="auto" w:fill="CCEEFF"/>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 income (loss), net of tax</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w:t>
            </w:r>
          </w:p>
        </w:tc>
      </w:tr>
      <w:tr>
        <w:trPr>
          <w:trHeight w:val="210"/>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UxS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January 25, 2025</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LMS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199,316</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00" w:type="dxa"/>
            <w:vAlign w:val="bottom"/>
          </w:tcPr>
          <w:p>
            <w:pPr>
              <w:spacing w:after="0"/>
              <w:rPr>
                <w:sz w:val="18"/>
                <w:szCs w:val="18"/>
                <w:color w:val="auto"/>
              </w:rPr>
            </w:pPr>
          </w:p>
        </w:tc>
        <w:tc>
          <w:tcPr>
            <w:tcW w:w="2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269,142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213,629</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76,437</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UxS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January 27, 2024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LMS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318,708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100,645</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00" w:type="dxa"/>
            <w:vAlign w:val="bottom"/>
          </w:tcPr>
          <w:p>
            <w:pPr>
              <w:spacing w:after="0"/>
              <w:rPr>
                <w:sz w:val="18"/>
                <w:szCs w:val="18"/>
                <w:color w:val="auto"/>
              </w:rPr>
            </w:pPr>
          </w:p>
        </w:tc>
        <w:tc>
          <w:tcPr>
            <w:tcW w:w="2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18,179</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344,270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118,824</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166,088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nine months ended January 25, 2025 was $545.6 million, as compared to $519.7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ended January 27,2024, representing an increase of $25.8 million, or 5%. The increase in revenue was due to an increase in product revenue of $29.3 million, partially offset by a decrease in service revenue of $3.5 million. The increase in product revenue was primarily due to an increase of $98.7 million from the production of our Switchblade products, driven by increased global demand for our LMS associated with the current global conflicts as well as U.S. D.o.D. resupply and a cumulative catch-up revenue adjustment for the definitization of LMS contracts of $9.9 million. The increase was partially offset by a decrease of $69.4 million of product deliveries of our UxS products, primarily due to a decrease in international sales to Ukraine. The decrease in service revenue was primarily due to a decrease of $1.9 million in customer funded R&amp;D and engineering services due to a decrease in development programs in part due to delays in the establishment of the government fiscal year 2024 budget and a decrease of $1.6 million in training and repair services primarily due to the decrease in UxS product revenue. The January 2025 Southern California high winds, fires and resulting blackouts and shutdowns negatively impacted revenue for the three months ended January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19"/>
        <w:spacing w:after="0" w:line="282" w:lineRule="auto"/>
        <w:rPr>
          <w:sz w:val="20"/>
          <w:szCs w:val="20"/>
          <w:color w:val="auto"/>
        </w:rPr>
      </w:pPr>
      <w:r>
        <w:rPr>
          <w:rFonts w:ascii="Times New Roman" w:cs="Times New Roman" w:eastAsia="Times New Roman" w:hAnsi="Times New Roman"/>
          <w:sz w:val="18"/>
          <w:szCs w:val="18"/>
          <w:color w:val="auto"/>
        </w:rPr>
        <w:t>25, 2025. The increase in the LMS product revenues as compared to the prior year period is expected to continue for the remainder of the fiscal year ending April 30, 2025.</w:t>
      </w:r>
    </w:p>
    <w:p>
      <w:pPr>
        <w:spacing w:after="0" w:line="158"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nine months ended January 25, 2025 was $327.3 million, as compared to $311.4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nine months ended January 27, 2024, representing an increase of $15.9 million, or 5%. The increase in cost of sales was a result of an increase in product cost of sales of $13.4 million, partially offset by a decrease in service costs of sales of $2.4 million. The increase in product costs of sales was primarily due to an increase of approximately $16 million associated with the increase in product revenue, partially offset by approximately $3 million due to a mix shift related primarily to the definitization of LMS contracts. The increase in service cost of sales was primarily due to an increase in mix shift of approximately $5 million due to a higher proportion of fixed asset allocated costs, partially offset by a decrease of approximately $3 million associated with the decrease in service revenue. Cost of sales for the nine months ended January 25, 2025 included $11.1 million of intangible amortization and other related non-cash purchase accounting expenses as compared to $9.6 million for the nine months ended January 27, 2024. As a percentage of revenue, cost of sales remained consistent at 60% resulting in gross margin remaining consistent at 40%.</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nine months ended January 25, 2025 was $115.5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of revenue, as compared to SG&amp;A expense of $79.8 million, or 15% of revenue, for the nine months ended January 27, 2024. The increase in SG&amp;A expense was primarily due to an increase of $12.0 million in acquisition related expenses, $11.3 million of sales and marketing expense primarily driven by an increase in bid and proposal efforts and an increase of $9.0 million in employee related expenses primarily driven by an increase in average headcount to support our growth and expansion of our global business development team. Sales and marketing expense includes commissions on certain direct commercial sales to international customers, and an increase in revenue results in an increase in commission expense.</w:t>
      </w:r>
    </w:p>
    <w:p>
      <w:pPr>
        <w:spacing w:after="0" w:line="183" w:lineRule="exact"/>
        <w:rPr>
          <w:sz w:val="20"/>
          <w:szCs w:val="20"/>
          <w:color w:val="auto"/>
        </w:rPr>
      </w:pPr>
    </w:p>
    <w:p>
      <w:pPr>
        <w:ind w:left="4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nine months ended January 25, 2025 was $75.8 million, or 14%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$62.6 million, or 12% of revenue, for the nine months ended January 27,2024. The increase was primarily due to an increase in development activities regarding enhanced capabilities for our products, development of new product lines and support for our acquired businesses.</w:t>
      </w:r>
    </w:p>
    <w:p>
      <w:pPr>
        <w:spacing w:after="0" w:line="176"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nine months ended January 25, 2025 was $1.2 million compared to $4.1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nine months ended January 27,2024. The decrease in interest expense, net was primarily due to lower average outstanding balances on our debt facility.</w:t>
      </w:r>
    </w:p>
    <w:p>
      <w:pPr>
        <w:spacing w:after="0" w:line="171" w:lineRule="exact"/>
        <w:rPr>
          <w:sz w:val="20"/>
          <w:szCs w:val="20"/>
          <w:color w:val="auto"/>
        </w:rPr>
      </w:pPr>
    </w:p>
    <w:p>
      <w:pPr>
        <w:jc w:val="both"/>
        <w:ind w:left="4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for the nine months ended January 25, 2025 was $0.8 million compared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net of $(3.0) million for the nine months ended January 27, 2024. The increase was primarily due to net unrealized gains associated with the fair market value of our equity security investments.</w:t>
      </w:r>
    </w:p>
    <w:p>
      <w:pPr>
        <w:spacing w:after="0" w:line="171"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Our effective income tax rate was 2.5% for the nine months ended January 25, 2025,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6.3% for the nine months ended January 27, 2024. The decrease in our effective income tax rate was primarily due to an increase in FDII deductions and excess tax benefits from the vesting of equity awards. The effective income tax rate for the nine months ended January 25, 2025 was primarily impacted by expected federal R&amp;D tax credits and FDII deductions and excess tax benefits from equity awards.</w:t>
      </w:r>
    </w:p>
    <w:p>
      <w:pPr>
        <w:spacing w:after="0" w:line="179" w:lineRule="exact"/>
        <w:rPr>
          <w:sz w:val="20"/>
          <w:szCs w:val="20"/>
          <w:color w:val="auto"/>
        </w:rPr>
      </w:pPr>
    </w:p>
    <w:p>
      <w:pPr>
        <w:ind w:left="4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Income (Loss), net of Tax. </w:t>
      </w:r>
      <w:r>
        <w:rPr>
          <w:rFonts w:ascii="Times New Roman" w:cs="Times New Roman" w:eastAsia="Times New Roman" w:hAnsi="Times New Roman"/>
          <w:sz w:val="18"/>
          <w:szCs w:val="18"/>
          <w:color w:val="auto"/>
        </w:rPr>
        <w:t>Equity method investment income, net of tax for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January 25, 2025 was $1.1 million as compared to equity method investment loss, net of tax of $(1.5) million for the nine months ended January 27,2024.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Loitering Munitions Systems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7"/>
        </w:trPr>
        <w:tc>
          <w:tcPr>
            <w:tcW w:w="4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January 27,</w:t>
            </w:r>
          </w:p>
        </w:tc>
      </w:tr>
      <w:tr>
        <w:trPr>
          <w:trHeight w:val="199"/>
        </w:trPr>
        <w:tc>
          <w:tcPr>
            <w:tcW w:w="412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199,316</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100,645</w:t>
            </w: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1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18,179</w:t>
            </w:r>
          </w:p>
        </w:tc>
      </w:tr>
      <w:tr>
        <w:trPr>
          <w:trHeight w:val="209"/>
        </w:trPr>
        <w:tc>
          <w:tcPr>
            <w:tcW w:w="4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213,629</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118,824</w:t>
            </w:r>
          </w:p>
        </w:tc>
      </w:tr>
      <w:tr>
        <w:trPr>
          <w:trHeight w:val="216"/>
        </w:trPr>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76,437</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39,648</w:t>
            </w:r>
          </w:p>
        </w:tc>
      </w:tr>
    </w:tbl>
    <w:p>
      <w:pPr>
        <w:spacing w:after="0" w:line="175"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LMS revenue for the nine months ended January 25, 2025 was $213.6 million, as compared to $118.8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January 25, 2025, representing an increase of $94.8 million, or 80%. The increase in revenue was due to an increase in product revenue of $98.7 million, partially offset by a decrease in service revenue of $3.9 million. The increase in product revenue was primarily due to increased production of our LMS systems primarily due to increased global demand for our loitering munitions systems associated with the current global conflicts as well as U.S. D.o.D. resupply and a cumulative catch-up revenue adjustment for the definitization of LMS contracts of $9.9 million. The decrease in service revenue was primarily due to decreases in customer-funded R&amp;D activities primarily associated with the shift from development to production of certain Switchblade products.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LMS Segment adjusted gross margin. </w:t>
      </w:r>
      <w:r>
        <w:rPr>
          <w:rFonts w:ascii="Times New Roman" w:cs="Times New Roman" w:eastAsia="Times New Roman" w:hAnsi="Times New Roman"/>
          <w:sz w:val="18"/>
          <w:szCs w:val="18"/>
          <w:color w:val="auto"/>
        </w:rPr>
        <w:t>LMS segment adjusted gross margin for the nine months January 25, 2025 was</w:t>
      </w:r>
    </w:p>
    <w:p>
      <w:pPr>
        <w:spacing w:after="0" w:line="31" w:lineRule="exact"/>
        <w:rPr>
          <w:sz w:val="20"/>
          <w:szCs w:val="20"/>
          <w:color w:val="auto"/>
        </w:rPr>
      </w:pPr>
    </w:p>
    <w:p>
      <w:pPr>
        <w:ind w:left="40" w:right="139"/>
        <w:spacing w:after="0" w:line="251" w:lineRule="auto"/>
        <w:rPr>
          <w:sz w:val="20"/>
          <w:szCs w:val="20"/>
          <w:color w:val="auto"/>
        </w:rPr>
      </w:pPr>
      <w:r>
        <w:rPr>
          <w:rFonts w:ascii="Times New Roman" w:cs="Times New Roman" w:eastAsia="Times New Roman" w:hAnsi="Times New Roman"/>
          <w:sz w:val="18"/>
          <w:szCs w:val="18"/>
          <w:color w:val="auto"/>
        </w:rPr>
        <w:t>$76.4 million, as compared to $39.6 million for the nine months ended January 27, 2024, representing an increase of $36.8 million, or 93%. The increase in LMS segment adjusted gross margin was primarily due to an increase in revenue of $94.8 million, inclusive of the cumulative catch-up revenue adjustment of $9.9 million, partially offset by an increase in adjusted cost of sales of $58.0 million. The increase in adjusted cost of sales was primarily due to an increase in sales volume of approximately $62 million, partially offset by mix shift of approximately $4 million related primarily to the definitization of LMS contracts. LMS is operating under multiple unpriced change orders, or UCO's, for which we recognize revenue based upon estimates of the final price negotiations. In the period these contracts are definitized a cumulative catch-up revenue adjustment may be recorded.</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Uncrewed Systems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7"/>
        </w:trPr>
        <w:tc>
          <w:tcPr>
            <w:tcW w:w="4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January 27,</w:t>
            </w:r>
          </w:p>
        </w:tc>
      </w:tr>
      <w:tr>
        <w:trPr>
          <w:trHeight w:val="199"/>
        </w:trPr>
        <w:tc>
          <w:tcPr>
            <w:tcW w:w="412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249,296</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318,708</w:t>
            </w: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1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25,562</w:t>
            </w:r>
          </w:p>
        </w:tc>
      </w:tr>
      <w:tr>
        <w:trPr>
          <w:trHeight w:val="210"/>
        </w:trPr>
        <w:tc>
          <w:tcPr>
            <w:tcW w:w="4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269,142</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344,270</w:t>
            </w:r>
          </w:p>
        </w:tc>
      </w:tr>
      <w:tr>
        <w:trPr>
          <w:trHeight w:val="216"/>
        </w:trPr>
        <w:tc>
          <w:tcPr>
            <w:tcW w:w="4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138,040</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166,088</w:t>
            </w:r>
          </w:p>
        </w:tc>
      </w:tr>
    </w:tbl>
    <w:p>
      <w:pPr>
        <w:spacing w:after="0" w:line="391"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UxS revenue for the nine months ended January 25, 2025 was $269.1 million, as compared to $344.3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January 27, 2024, representing a decrease of $75.2 million, or 22%. The decrease in revenue was due to a decrease in product revenue of $69.4 million and a decrease in service revenue of $5.7 million. The decrease in product revenue was primarily due to $69.4 million of decreased international sales of our SUAS family of systems, significantly sales to Ukraine. The decrease in service revenue was primarily due to a decrease of $4.8 million of customer funded R&amp;D and engineering services primarily due to the completion of certain MUAS contracts during the nine months ended January 27, 2024.</w:t>
      </w:r>
    </w:p>
    <w:p>
      <w:pPr>
        <w:spacing w:after="0" w:line="183" w:lineRule="exact"/>
        <w:rPr>
          <w:sz w:val="20"/>
          <w:szCs w:val="20"/>
          <w:color w:val="auto"/>
        </w:rPr>
      </w:pPr>
    </w:p>
    <w:p>
      <w:pPr>
        <w:ind w:left="4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UxS Segment adjusted gross margin. </w:t>
      </w:r>
      <w:r>
        <w:rPr>
          <w:rFonts w:ascii="Times New Roman" w:cs="Times New Roman" w:eastAsia="Times New Roman" w:hAnsi="Times New Roman"/>
          <w:sz w:val="18"/>
          <w:szCs w:val="18"/>
          <w:color w:val="auto"/>
        </w:rPr>
        <w:t>UxS segment adjusted gross margin for the nine months January 25, 2025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$138.0 million, as compared to $166.1 million for the nine months ended January 27, 2024, representing a decrease of</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$28.1 million, or 17%. The decrease in UxS segment adjusted gross margin was primarily due to a decrease in revenue of $75.2 million, partially offset by a decrease of $47.1 million in adjusted cost of sales. The decrease in adjusted cost of sales was due to a decrease in sales volume of approximately $40 million and by a mix shift of approximately $7 million primarily due to primarily due to a higher proportion of international products sales. Adjusted cost of sales is defined as cost of sales before intangible amortization expense including amortization of purchase accounting adjustments.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MacCready Works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20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1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60,930</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62,806</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0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14,963</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 w:right="3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MW revenue for the nine months ended January 25, 2025 was $62.8 million, as compared to $56.6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January 27, 2024, representing an increase of $6.2 million, or 11%. The increase in revenue was primarily due to an increase in service revenue of $6.1 million. The increase in service revenue was primarily due to an increase of $6.1 million in customer funded R&amp;D efforts and engineering services in part due to HAPS return to flight services.</w:t>
      </w:r>
    </w:p>
    <w:p>
      <w:pPr>
        <w:spacing w:after="0" w:line="179"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MW Segment adjusted gross margin. </w:t>
      </w:r>
      <w:r>
        <w:rPr>
          <w:rFonts w:ascii="Times New Roman" w:cs="Times New Roman" w:eastAsia="Times New Roman" w:hAnsi="Times New Roman"/>
          <w:sz w:val="18"/>
          <w:szCs w:val="18"/>
          <w:color w:val="auto"/>
        </w:rPr>
        <w:t>MW segment adjusted gross margin for the nine months January 25, 2025 was $15.0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$12.2 million for the nine months ended January 27, 2024, representing an increase of $2.8 million, or 23%. The increase in MW adjusted gross margin was primarily due to an increase in revenue of $6.2 million, partially offset by an increase in adjusted cost of sales of $3.4 million, primarily due to an increase in sales volume.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Consistent with ASC 606, we define funded backlog as remaining performance obligations under firm orders for which funding is currently appropriated to us under a customer contract. As of January 25, 2025, our funded backlog was approximately $763.5 million, as compared to $400.2 million as of April 30, 2024. The Department of the Army issued a stop-work order on certain existing U.S. government contracts, previously awarded to us for foreign military sales funded by the U.S. government via foreign military financing. As of January 25, 2025, funded backlog included approximately $13 million impacted by the stop-work order.</w:t>
      </w:r>
    </w:p>
    <w:p>
      <w:pPr>
        <w:spacing w:after="0" w:line="187"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8"/>
          <w:szCs w:val="18"/>
          <w:color w:val="auto"/>
        </w:rPr>
        <w:t>In addition to our funded backlog, we also had unfunded backlog of $1,429.9 million as of January 25, 2025. Unfunded backlog does not meet the definition of a performance obligation under ASC 606. We define unfunded backlog as the total remaining potential order amounts under cost reimbursable and fixed price contracts with (i) multiple one-year options and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89"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219"/>
        <w:spacing w:after="0" w:line="230" w:lineRule="auto"/>
        <w:rPr>
          <w:sz w:val="20"/>
          <w:szCs w:val="20"/>
          <w:color w:val="auto"/>
        </w:rPr>
      </w:pPr>
      <w:r>
        <w:rPr>
          <w:rFonts w:ascii="Times New Roman" w:cs="Times New Roman" w:eastAsia="Times New Roman" w:hAnsi="Times New Roman"/>
          <w:sz w:val="18"/>
          <w:szCs w:val="18"/>
          <w:color w:val="auto"/>
        </w:rPr>
        <w:t>On September 8, 2022, we filed an S-3 shelf registration statement to offer and sell shares of our common stock and other securities, including a prospectus supplement in relation 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also dated September 8, 2022, with Jefferies LLC relating to the proposed offer and sale of shares of our common stock having an aggregate offering price of up to $200.0 million from time to time through Jefferies LLC as our sales agent. During the six months ended October 28, 2023, we completed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During the six months ended October 28, 2023, we sold 807,370 shares for total gross proceeds of $91.3 million, total proceeds received of $88.6 million, net of commission expense and $88.4 million net of equity issuance costs. As of October 28, 2023, we sold 1,917,100 of our shares for total gross proceeds of $200.0 million and $194.0 million proceeds received, net of commission expense and $193.1 million net of equity issuance costs.</w:t>
      </w:r>
    </w:p>
    <w:p>
      <w:pPr>
        <w:spacing w:after="0" w:line="198" w:lineRule="exact"/>
        <w:rPr>
          <w:sz w:val="20"/>
          <w:szCs w:val="20"/>
          <w:color w:val="auto"/>
        </w:rPr>
      </w:pPr>
    </w:p>
    <w:p>
      <w:pPr>
        <w:ind w:left="40" w:right="139"/>
        <w:spacing w:after="0" w:line="252" w:lineRule="auto"/>
        <w:rPr>
          <w:sz w:val="20"/>
          <w:szCs w:val="20"/>
          <w:color w:val="auto"/>
        </w:rPr>
      </w:pPr>
      <w:r>
        <w:rPr>
          <w:rFonts w:ascii="Times New Roman" w:cs="Times New Roman" w:eastAsia="Times New Roman" w:hAnsi="Times New Roman"/>
          <w:sz w:val="18"/>
          <w:szCs w:val="18"/>
          <w:color w:val="auto"/>
        </w:rPr>
        <w:t>On February 19, 2021, in connection with the consummation of the Arcturus Acquisition, we entered into the Credit Agreement for (i) the Revolving Facility, and (ii) the Term Loan Facility, and together with the Revolving Credit Facility, the “Credit Facilities.” The Term Loan Facility required payment of 5% of the outstanding obligations in each of the first four loan years,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On October 4, 2024, we amended the Credit Facility agreement to increase the Revolving Facility to $200 million, and the Term Loan Facility was fully repaid in full and removed from the Amended Credit Facility. Our ability to borrow under the Revolving Facility is reduced by outstanding letters of credit of $9.5 million as of January 25, 2025. As of January 25, 2025, approximately $165.5 million was available under the Revolving Facility. On February 26, 2025, we borrowed an additional $15.0 million under the Revolving Facility. Borrowings under the Revolving Facility may be used for working capital and other general corporate purposes, including acquisitions that meet certain parameters. Refer to Note 9—Debt to our unaudited condensed consolidated financial statements in Part I, Item 1 of this Quarterly Report on Form 10-Q for further details. In addition, Telerob has a line of credit of €7.0 million ($7.3 million) available for issuing letters of credit of which €0.4 million ($0.4 million) was outstanding as of January 25, 2025.</w:t>
      </w:r>
    </w:p>
    <w:p>
      <w:pPr>
        <w:spacing w:after="0" w:line="196"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8"/>
          <w:szCs w:val="18"/>
          <w:color w:val="auto"/>
        </w:rPr>
        <w:t>We anticipate funding our normal recurring trade payables, accrued expenses, ongoing R&amp;D costs and obligations under the Credit Facilities through our existing working capital and funds provided by operating activities including those provided by our acquisitions.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94"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Our primary recurring liquidity needs are for financing working capital, investing in capital expenditures, supporting product development efforts, introducing new products and enhancing existing products, marketing acceptance and adoption of our products and services, and possible acquisition of entities or strategic assets, including expenses related to the BlueHalo transaction.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94" w:lineRule="exact"/>
        <w:rPr>
          <w:sz w:val="20"/>
          <w:szCs w:val="20"/>
          <w:color w:val="auto"/>
        </w:rPr>
      </w:pPr>
    </w:p>
    <w:p>
      <w:pPr>
        <w:ind w:left="40" w:right="339"/>
        <w:spacing w:after="0" w:line="289" w:lineRule="auto"/>
        <w:rPr>
          <w:sz w:val="20"/>
          <w:szCs w:val="20"/>
          <w:color w:val="auto"/>
        </w:rPr>
      </w:pPr>
      <w:r>
        <w:rPr>
          <w:rFonts w:ascii="Times New Roman" w:cs="Times New Roman" w:eastAsia="Times New Roman" w:hAnsi="Times New Roman"/>
          <w:sz w:val="17"/>
          <w:szCs w:val="17"/>
          <w:color w:val="auto"/>
        </w:rPr>
        <w:t>In connection with the BlueHalo acquisition, we entered into the Debt Commitment Letter with BofA and JPM on November 18, 2024 to amend the Amended Credit Facility, and amended and restated on December 30, 2024 to include U.S. Bank, Citibank, BMO Bank, Citizens and RBC, to provide a new term loan facility, referred to as the Acquisition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Financing Facility. The initial principal amount of the Acquisition Financing Facility will be $700,000,000, and the Acquisition Financing Facility will have a maturity date of two years from the effective date of the amendment to the Amended Credit Facility. The proceeds of the Acquisition Financing Facility will be used to refinance a portion of BlueHalo’s debt and pay fees, costs and expenses incurred in connection with the Transactions. We expect the debt will be serviced from the combined cash flows of the Company and BlueHalo. Our ability to restructure or refinance this additional indebtedness (or otherwise refinance the indebtedness of BlueHalo) will depend on numerous factors, including the condition of the capital markets and our results of operations and financial condition. Any refinancing with new debt could be at higher interest rates and may require us to comply with more onerous covenants than the Acquisition Financing Facility, which could further restrict our business operations. Any refinancing through our sale of equity or equity-linked securities would result in further dilution to our stockholders or may provide for rights, preferences or privileges senior to those of holders of our common stock.</w:t>
      </w:r>
    </w:p>
    <w:p>
      <w:pPr>
        <w:spacing w:after="0" w:line="19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0"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During the fiscal year ended April 30, 2022, we made certain commitments outside of the ordinary course of business, including capital contribution commitments to a second limited partnership fund (refer to Note 5—Equity Method Investments to our unaudited condensed consolidated financial statements in Part I, Item 1 of this Quarterly Report on Form 10-Q). Under the terms of a new limited partnership agreement, we have committed to make capital contributions to such fund totaling $20.0 million, inclusive of the expected reinvestment of distributions from our existing limited partnership fund, of which $8.8 million was remaining at January 25, 2025. The contributions are anticipated to be paid over the next three fiscal years. The UGV second year earnout of €2.0 million (approximately $2.1 million) was paid in November 2023. The Tomahawk acquisition closed on September 15, 2023, and we paid a total purchase price of $134.4 million consisting of $109.8 million in stock and $24.2 million from cash on hand, net of cash acquired. Due to the internal revenue service tax capitalization rules, Section 174, which requires R&amp;D expenditures to be capitalized and amortized over a 5 year period for tax purposes, we expect the elevated levels of cash paid for U.S. federal income taxes to continue during the fiscal year ending April 30, 2025 and future fiscal years.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40" w:right="499"/>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cash flow data for the nine months ended January 25, 2025 and January 27, 2024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5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January 25,</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January 27,</w:t>
            </w:r>
          </w:p>
        </w:tc>
        <w:tc>
          <w:tcPr>
            <w:tcW w:w="100" w:type="dxa"/>
            <w:vAlign w:val="bottom"/>
          </w:tcPr>
          <w:p>
            <w:pPr>
              <w:spacing w:after="0"/>
              <w:rPr>
                <w:sz w:val="10"/>
                <w:szCs w:val="10"/>
                <w:color w:val="auto"/>
              </w:rPr>
            </w:pPr>
          </w:p>
        </w:tc>
      </w:tr>
      <w:tr>
        <w:trPr>
          <w:trHeight w:val="173"/>
        </w:trPr>
        <w:tc>
          <w:tcPr>
            <w:tcW w:w="5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28"/>
        </w:trPr>
        <w:tc>
          <w:tcPr>
            <w:tcW w:w="5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4"/>
          </w:tcPr>
          <w:p>
            <w:pPr>
              <w:jc w:val="right"/>
              <w:ind w:right="678"/>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26,965</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(41,432)</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Provided by Operating Activities. </w:t>
      </w:r>
      <w:r>
        <w:rPr>
          <w:rFonts w:ascii="Times New Roman" w:cs="Times New Roman" w:eastAsia="Times New Roman" w:hAnsi="Times New Roman"/>
          <w:sz w:val="18"/>
          <w:szCs w:val="18"/>
          <w:color w:val="auto"/>
        </w:rPr>
        <w:t>Net cash used in operating activities for the nine months ended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 2025 increased by $28.0 million to $(1.1) million, as compared to net cash provided by operating activities of $27.0 million for the nine months ended January 27, 2024. The decrease in net cash provided by operating activities was primarily due to a decrease in net income of $26.7 million and a decrease in non-cash expenses of $7.2 million primarily due to a decrease in reserve for inventory excess and obsolescence, partially offset by an increase in depreciation and amortization, partially offset by an increase in cash as a result of changes in operating assets and liabilities of $5.9 million, largely related to inventories and unbilled receivables and retentions, partially offset by accounts receivable, due to year over year timing differences.</w:t>
      </w:r>
    </w:p>
    <w:p>
      <w:pPr>
        <w:spacing w:after="0" w:line="185" w:lineRule="exact"/>
        <w:rPr>
          <w:sz w:val="20"/>
          <w:szCs w:val="20"/>
          <w:color w:val="auto"/>
        </w:rPr>
      </w:pPr>
    </w:p>
    <w:p>
      <w:pPr>
        <w:ind w:left="4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Investing Activities. </w:t>
      </w:r>
      <w:r>
        <w:rPr>
          <w:rFonts w:ascii="Times New Roman" w:cs="Times New Roman" w:eastAsia="Times New Roman" w:hAnsi="Times New Roman"/>
          <w:sz w:val="18"/>
          <w:szCs w:val="18"/>
          <w:color w:val="auto"/>
        </w:rPr>
        <w:t>Net cash used in investing activities decreased by $24.8 million to $16.6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ended January 25, 2025, as compared to $41.4 million for the nine months ended January 27, 2024. The</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decrease in net cash used in investing activities was primarily due to a decrease in business acquisitions due to Tomahawk acquisition during the nine months ended January 27, 2024.</w:t>
      </w:r>
    </w:p>
    <w:p>
      <w:pPr>
        <w:spacing w:after="0" w:line="158"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Financing Activities. </w:t>
      </w:r>
      <w:r>
        <w:rPr>
          <w:rFonts w:ascii="Times New Roman" w:cs="Times New Roman" w:eastAsia="Times New Roman" w:hAnsi="Times New Roman"/>
          <w:sz w:val="18"/>
          <w:szCs w:val="18"/>
          <w:color w:val="auto"/>
        </w:rPr>
        <w:t>Net cash used in financing activities decreased by $2.2 million to $8.4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ended January 25, 2025, as compared to net cash used in financing activities of $10.6 million for the nine months ended January 27, 2024. The decrease in net cash used in financing activities was primarily due to a decrease in net principal payments of the credit facilities of $92 million, partially offset by a decrease in proceeds from shares issued of $88.4 million.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ind w:left="40" w:right="299"/>
        <w:spacing w:after="0" w:line="266" w:lineRule="auto"/>
        <w:rPr>
          <w:sz w:val="20"/>
          <w:szCs w:val="20"/>
          <w:color w:val="auto"/>
        </w:rPr>
      </w:pPr>
      <w:r>
        <w:rPr>
          <w:rFonts w:ascii="Times New Roman" w:cs="Times New Roman" w:eastAsia="Times New Roman" w:hAnsi="Times New Roman"/>
          <w:sz w:val="18"/>
          <w:szCs w:val="18"/>
          <w:color w:val="auto"/>
        </w:rPr>
        <w:t>Please refer to Note 1—Organization and Significant Accounting Policies to our unaudited condensed consolidated financial statements in Part I, Item 1 of this Quarterly Report on Form 10-Q for the conclusion that we did not adopt any accounting standards during the nine months ended January 25, 2025.</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It is our policy not to enter into interest rate derivative financial instruments. On February 19, 2021, in connection with the consummation of the Arcturus Acquisition, we entered into the Credit Facilities. The current outstanding balance of the revolving credit facility is $25.0 million and bears a variable interest rate. The market interest rate has increased significantly, and if market interest rates continue to increase, interest due on the revolving credit facility would increase.</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16"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Since a significant part of our sales and expenses are denominated in U.S. dollars, we have not experienced significant foreign exchange gains or losses to date. We occasionally engage in forward contracts in foreign currencies to limit our exposure on non-U.S. dollar transactions. With the acquisition of Telerob, a portion of our cash balance is denominated in Euros, which is Telerob’s functional currency.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16"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70"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6"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January 25, 2025, the end of the period covered by this Quarterly Report on Form 10-Q.</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8"/>
          <w:szCs w:val="18"/>
          <w:color w:val="auto"/>
        </w:rPr>
        <w:t>Based on the foregoing, our Chief Executive Officer and Chief Financial Officer concluded that, as of January 25, 2025, the end of the period covered by this Quarterly Report on Form 10-Q, our disclosure controls and procedures were effective and were operating at a reasonable assurance level.</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or in other factors identified in connection with the evaluation required by paragraph (d) of Rules 13a-15 or 15d-15 under the Exchange Act that occurred during the quarter ended January 25, 2025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8"/>
          <w:szCs w:val="18"/>
          <w:color w:val="auto"/>
        </w:rPr>
        <w:t>On August 9, 2021, a former employee filed a class action complaint against AeroVironment in California Superior Court in Los Angeles, California alleging various claims pursuant to the California Labor Code related to wages, meal breaks, overtime, unreimbursed business expenses and other recordkeeping matters. The complaint seeks a jury trial and payment of various alleged unpaid wages, penalties, interest and attorneys’ fees in unspecified amounts. We filed our answer on December 16, 2021. Written and oral discovery are ongoing. A mediation session in this matter is currently scheduled for May 8, 2025.</w:t>
      </w:r>
    </w:p>
    <w:p>
      <w:pPr>
        <w:spacing w:after="0" w:line="187"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On March 29, 2024, a former employee filed a complaint against AeroVironment in the Ventura County Superior Court in California, alleging violations of the California Labor Code related to wages, meal breaks, overtime, unreimbursed business expenses and other recordkeeping matters and seeking penalties recoverable under California Labor Code section 2698, et. seq., Private Attorney General Act of 2004 (“PAGA”) and all other remedies available under PAGA. The complaint seeks civil penalties on behalf of the plaintiff and similarly situations persons pursuant to PAGA. We filed our answer on June 20, 2024. The parties have stipulated to stay this PAGA case ahead of the mediation in the class action matter listed in the immediately preceding paragraph above.</w:t>
      </w:r>
    </w:p>
    <w:p>
      <w:pPr>
        <w:spacing w:after="0" w:line="189" w:lineRule="exact"/>
        <w:rPr>
          <w:sz w:val="20"/>
          <w:szCs w:val="20"/>
          <w:color w:val="auto"/>
        </w:rPr>
      </w:pPr>
    </w:p>
    <w:p>
      <w:pPr>
        <w:jc w:val="both"/>
        <w:ind w:left="40" w:right="139"/>
        <w:spacing w:after="0" w:line="289" w:lineRule="auto"/>
        <w:rPr>
          <w:sz w:val="20"/>
          <w:szCs w:val="20"/>
          <w:color w:val="auto"/>
        </w:rPr>
      </w:pPr>
      <w:r>
        <w:rPr>
          <w:rFonts w:ascii="Times New Roman" w:cs="Times New Roman" w:eastAsia="Times New Roman" w:hAnsi="Times New Roman"/>
          <w:sz w:val="17"/>
          <w:szCs w:val="17"/>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40" w:right="519"/>
        <w:spacing w:after="0" w:line="266" w:lineRule="auto"/>
        <w:rPr>
          <w:sz w:val="20"/>
          <w:szCs w:val="20"/>
          <w:color w:val="auto"/>
        </w:rPr>
      </w:pPr>
      <w:r>
        <w:rPr>
          <w:rFonts w:ascii="Times New Roman" w:cs="Times New Roman" w:eastAsia="Times New Roman" w:hAnsi="Times New Roman"/>
          <w:sz w:val="18"/>
          <w:szCs w:val="18"/>
          <w:color w:val="auto"/>
        </w:rPr>
        <w:t>Except as set for below, there have been no material changes to the risk factors disclosed under Part I, Item 1A, “Risk Factors,” of our Annual Report on Form 10-K for the fiscal year ended April 30, 2024. Please refer to that section for disclosures regarding the risks and uncertainties related to our business.</w:t>
      </w: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Relating to the Company’s Pending Acquisition of BlueHalo</w:t>
      </w:r>
    </w:p>
    <w:p>
      <w:pPr>
        <w:spacing w:after="0" w:line="225" w:lineRule="exact"/>
        <w:rPr>
          <w:sz w:val="20"/>
          <w:szCs w:val="20"/>
          <w:color w:val="auto"/>
        </w:rPr>
      </w:pPr>
    </w:p>
    <w:p>
      <w:pPr>
        <w:ind w:left="4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Transactions (as defined below) are subject to closing conditions and may not be completed, the Merger Agreement (as defined below) may be terminated in accordance with its terms, and we may be required to pay a termination fee upon termination.</w:t>
      </w:r>
    </w:p>
    <w:p>
      <w:pPr>
        <w:spacing w:after="0" w:line="175"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On November 18, 2024, we entered into an Agreement and Plan of Merger (the “Merger Agreement”) with Archangel Merger Sub LLC, a Delaware limited liability company and a direct wholly owned subsidiary of the Company (“Merger Sub”), BlueHalo Financing Topco, LLC, a Delaware limited liability company (“BlueHalo”), and BlueHalo Holdings Parent, LLC, a Delaware limited liability company and sole member of BlueHalo Financing Topco, LLC (“Seller”), pursuant to which, among other matters, and subject to the satisfaction or waiver of the conditions set forth in the Merger Agreement, Merger Sub will merge with and into BlueHalo, with BlueHalo continuing as a wholly owned subsidiary of the Company and the surviving company of the merger (the “Transactions”).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The Transactions are subject to customary closing conditions that must be satisfied or waived prior to the consummation of the Transactions (the “Closing”), including, among other things, (i) the absence of any order that is in effect and restrains, enjoins or otherwise prohibits the consummation of the Transactions, (ii) the shares of common stock to be issued in the Transactions being approved for listing (subject to official notice of issuance) on Nasdaq as of the Closing, (iii) our receipt of executed joinder and lock-up agreements from holders of incentive units and restrictive common units of Seller (“Seller Members”) entitled to receive 85% of the Aggregate Closing Consideration (as defined in the Merger Agreement), as adjusted, (iv) approval by our stockholders of the issuance of shares under the Merger Agreement in accordance with the rules of Nasdaq at a special meeting, and (v) receipt of all required consents of governmental authorities pursuant to antitrust laws and foreign direct investments laws, as applicable. No assurance can be given that the required shareholder consents and approvals will be obtained or that the required conditions to closing will be satisfied, and, if all required consents and approvals are obtained and the conditions are satisfied, no assurance can be given as to the terms, conditions and timing of the consents and approvals. Any delay in completing the Transactions could cause the combined company not to realize, or to be delayed in realizing, some or all of the benefits that we expect to achieve if the Transactions are successfully completed within the expected time frame.</w:t>
      </w:r>
    </w:p>
    <w:p>
      <w:pPr>
        <w:spacing w:after="0" w:line="197"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Additionally, either party may terminate the Merger Agreement under certain circumstances, including, among other reasons, if the Transactions are not completed by August 18, 2025 (subject to certain conditions and one automatic extension period to February 18, 2026 as set forth in the Merger Agreement). The Company may be required to pay a termination fee of $200 million to Seller upon termination of the Merger Agreement under specified circumstances, including (i) termination by the Company if the Board of Directors of the Company (the “Board”) determines that an intervening event has occurred or the Board has received a proposal to acquire the Company that the Board has determined in good faith constitutes a superior offer pursuant to the terms of the Merger Agreement (an “Alternative Sale Transaction”), (ii) termination by Seller if the Board exercises its right, subject to certain limitations, to change its recommendation to the Company’s stockholders with respect to the Merger Agreement and the Transactions (a “Company Board Adverse Recommendation Change”) or (iii) if the Company consummates an Alternative Sale Transaction within nine months of termination of the Merger Agreement, subject to certain conditions as set forth in the Merger Agreement.</w:t>
      </w:r>
    </w:p>
    <w:p>
      <w:pPr>
        <w:spacing w:after="0" w:line="192"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Moreover, if the Transactions are not completed for any reason, including as a result of failure to obtain all requisite regulatory approvals or if the Company stockholders fail to approve the applicable proposals, our ongoing business may be adversely affected and, without realizing any of the expected benefits of having completed the Transactions, we would be subject to a number of risks, including the following:</w:t>
      </w:r>
    </w:p>
    <w:p>
      <w:pPr>
        <w:spacing w:after="0" w:line="180" w:lineRule="exact"/>
        <w:rPr>
          <w:sz w:val="20"/>
          <w:szCs w:val="20"/>
          <w:color w:val="auto"/>
        </w:rPr>
      </w:pPr>
    </w:p>
    <w:p>
      <w:pPr>
        <w:ind w:left="720" w:hanging="325"/>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including negative impacts on our stock price;</w:t>
      </w:r>
    </w:p>
    <w:p>
      <w:pPr>
        <w:spacing w:after="0" w:line="225" w:lineRule="exact"/>
        <w:rPr>
          <w:rFonts w:ascii="Times New Roman" w:cs="Times New Roman" w:eastAsia="Times New Roman" w:hAnsi="Times New Roman"/>
          <w:sz w:val="18"/>
          <w:szCs w:val="18"/>
          <w:color w:val="auto"/>
        </w:rPr>
      </w:pPr>
    </w:p>
    <w:p>
      <w:pPr>
        <w:ind w:left="720" w:right="419" w:hanging="325"/>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our customers, suppliers, distributors, other business partners and employees;</w:t>
      </w:r>
    </w:p>
    <w:p>
      <w:pPr>
        <w:spacing w:after="0" w:line="161" w:lineRule="exact"/>
        <w:rPr>
          <w:rFonts w:ascii="Times New Roman" w:cs="Times New Roman" w:eastAsia="Times New Roman" w:hAnsi="Times New Roman"/>
          <w:sz w:val="18"/>
          <w:szCs w:val="18"/>
          <w:color w:val="auto"/>
        </w:rPr>
      </w:pPr>
    </w:p>
    <w:p>
      <w:pPr>
        <w:ind w:left="720" w:right="259" w:hanging="325"/>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our costs relating to the Transactions, such as financial advisory, legal, financing and accounting costs and associated fees and expenses, whether or not the Transactions are completed;</w:t>
      </w:r>
    </w:p>
    <w:p>
      <w:pPr>
        <w:spacing w:after="0" w:line="161" w:lineRule="exact"/>
        <w:rPr>
          <w:rFonts w:ascii="Times New Roman" w:cs="Times New Roman" w:eastAsia="Times New Roman" w:hAnsi="Times New Roman"/>
          <w:sz w:val="18"/>
          <w:szCs w:val="18"/>
          <w:color w:val="auto"/>
        </w:rPr>
      </w:pPr>
    </w:p>
    <w:p>
      <w:pPr>
        <w:ind w:left="720" w:right="279" w:hanging="325"/>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could decline to the extent that the current market price reflects a market assumption that the Transactions will be completed;</w:t>
      </w:r>
    </w:p>
    <w:p>
      <w:pPr>
        <w:spacing w:after="0" w:line="161" w:lineRule="exact"/>
        <w:rPr>
          <w:rFonts w:ascii="Times New Roman" w:cs="Times New Roman" w:eastAsia="Times New Roman" w:hAnsi="Times New Roman"/>
          <w:sz w:val="18"/>
          <w:szCs w:val="18"/>
          <w:color w:val="auto"/>
        </w:rPr>
      </w:pPr>
    </w:p>
    <w:p>
      <w:pPr>
        <w:ind w:left="720" w:right="499" w:hanging="325"/>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places certain restrictions on the conduct of our business prior to completion of the Transactions and such restrictions, the waiver of which are subject to the consent of BlueHalo or Seller, may prevent us from taking actions during the pendency of the Transactions that would be beneficial; and</w:t>
      </w:r>
    </w:p>
    <w:p>
      <w:pPr>
        <w:spacing w:after="0" w:line="175" w:lineRule="exact"/>
        <w:rPr>
          <w:rFonts w:ascii="Times New Roman" w:cs="Times New Roman" w:eastAsia="Times New Roman" w:hAnsi="Times New Roman"/>
          <w:sz w:val="18"/>
          <w:szCs w:val="18"/>
          <w:color w:val="auto"/>
        </w:rPr>
      </w:pPr>
    </w:p>
    <w:p>
      <w:pPr>
        <w:jc w:val="both"/>
        <w:ind w:left="720" w:right="139" w:hanging="325"/>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Transactions (including integration planning) will require substantial commitments of time and resources by management and other key employees, which could otherwise have been devoted to day-to-day operations or to other opportunities that may have been beneficial to us as an independent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business relationships of the Company and BlueHalo may be subject to disruption due to uncertainty associated with the Transactions, which could have a material adverse effect on the results of operations, cash flows and financial position of the Company or BlueHalo pending and following the Transactions.</w:t>
      </w:r>
    </w:p>
    <w:p>
      <w:pPr>
        <w:spacing w:after="0" w:line="175"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8"/>
          <w:szCs w:val="18"/>
          <w:color w:val="auto"/>
        </w:rPr>
        <w:t>Parties with which the Company or BlueHalo do business may experience uncertainty associated with the Transactions, including with respect to current or future business relationships with the combined company following the Transactions. The Company’s and BlueHalo’s business relationships may be subject to disruption as customers, distributors, suppliers, vendors, landlords, joint venture partners and other business partners may attempt to delay or defer entering into new business relationships, negotiate changes in existing business relationships or consider entering into business relationships with parties other than the Company or BlueHalo prior to or following the Transactions. These disruptions could have a material and adverse effect on the results of operations, cash flows and financial position of the Company or BlueHalo, regardless of whether the Transactions are completed, as well as a material and adverse effect on the Company’s ability to realize the expected cost savings and other benefits of the Transactions. The risk, and adverse effect, of any disruption could be exacerbated by a delay in completion of the Transactions or termination of the Merger Agreement.</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consideration payable under the Merger Agreement will not be adjusted based on our performance.</w:t>
      </w:r>
    </w:p>
    <w:p>
      <w:pPr>
        <w:spacing w:after="0" w:line="229"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Under the Merger Agreement, the aggregate merger consideration payable by us consists of 18,548,698 shares of our common stock, subject to downward adjustments as set forth in the Merger Agreement based on the excess closing indebtedness share amount of 1,098,133 shares and the closing leakage share amount to be determined at Closing. Leakage is defined as the aggregate amount of all distributions or payments of cash or other property made by the BlueHalo and each subsidiary of BlueHalo for certain transactions specified in the Merger Agreement between June 30, 2024 and the Closing Date. The aggregate merger consideration will not be adjusted for changes in the market price of our common stock or the economic performance of the Company or BlueHalo. If the market price of our common stock increases or the economic performance of BlueHalo relative to us declines (or the economic performance of BlueHalo relative to us improves), the consideration will not be adjusted to account for any such changes or any effective increase or decrease in the value of the consideration issued or paid under the Merger Agreement.</w:t>
      </w:r>
    </w:p>
    <w:p>
      <w:pPr>
        <w:spacing w:after="0" w:line="190" w:lineRule="exact"/>
        <w:rPr>
          <w:sz w:val="20"/>
          <w:szCs w:val="20"/>
          <w:color w:val="auto"/>
        </w:rPr>
      </w:pPr>
    </w:p>
    <w:p>
      <w:pPr>
        <w:jc w:val="both"/>
        <w:ind w:left="4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business uncertainties and contractual restrictions, including the risk of litigation, while the Transactions are pending that may cause disruption and may make it more difficult to maintain relationships with employees, suppliers or customers.</w:t>
      </w:r>
    </w:p>
    <w:p>
      <w:pPr>
        <w:spacing w:after="0" w:line="175"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Uncertainty about the effect of the Transactions on employees, suppliers and customers may have an adverse effect on us or BlueHalo, which uncertainties may impair our or BlueHalo’s ability to attract, retain and motivate key personnel until the Transactions are completed and for a period of time thereafter, and could cause customers, suppliers and others that deal with us or BlueHalo to seek to change existing business relationships with any of us.</w:t>
      </w:r>
    </w:p>
    <w:p>
      <w:pPr>
        <w:spacing w:after="0" w:line="180" w:lineRule="exact"/>
        <w:rPr>
          <w:sz w:val="20"/>
          <w:szCs w:val="20"/>
          <w:color w:val="auto"/>
        </w:rPr>
      </w:pPr>
    </w:p>
    <w:p>
      <w:pPr>
        <w:ind w:left="40" w:right="79"/>
        <w:spacing w:after="0" w:line="277" w:lineRule="auto"/>
        <w:rPr>
          <w:sz w:val="20"/>
          <w:szCs w:val="20"/>
          <w:color w:val="auto"/>
        </w:rPr>
      </w:pPr>
      <w:r>
        <w:rPr>
          <w:rFonts w:ascii="Times New Roman" w:cs="Times New Roman" w:eastAsia="Times New Roman" w:hAnsi="Times New Roman"/>
          <w:sz w:val="17"/>
          <w:szCs w:val="17"/>
          <w:color w:val="auto"/>
        </w:rPr>
        <w:t>Employee retention and recruitment may be challenging before the completion of the Transactions, as employees and prospective employees may experience uncertainty about their future roles following the Transactions. Key employees may depart or prospective key employees may fail to accept employment with us or BlueHalo because of issues relating to the uncertainty and difficulty of integration or a desire not to remain with the combined company following the Transactions, any of which could have a material adverse effect on our business, financial condition and results of operations.</w:t>
      </w:r>
    </w:p>
    <w:p>
      <w:pPr>
        <w:spacing w:after="0" w:line="168"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The pursuit of the Transactions and the preparation for the integration may place a significant burden on management and internal resources. The diversion of management’s attention away from day-to-day business concerns and any difficulties encountered in the transition and integration process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Until the completion of the Transactions or the termination of the Merger Agreement in accordance with its terms, we are prohibited from entering into certain transactions and taking certain actions that might otherwise be beneficial to us and our stockholders, and may find other transactions or actions impractical to undertake during such period.</w:t>
      </w:r>
    </w:p>
    <w:p>
      <w:pPr>
        <w:spacing w:after="0" w:line="175" w:lineRule="exact"/>
        <w:rPr>
          <w:sz w:val="20"/>
          <w:szCs w:val="20"/>
          <w:color w:val="auto"/>
        </w:rPr>
      </w:pPr>
    </w:p>
    <w:p>
      <w:pPr>
        <w:ind w:left="40" w:right="199"/>
        <w:spacing w:after="0" w:line="254" w:lineRule="auto"/>
        <w:rPr>
          <w:sz w:val="20"/>
          <w:szCs w:val="20"/>
          <w:color w:val="auto"/>
        </w:rPr>
      </w:pPr>
      <w:r>
        <w:rPr>
          <w:rFonts w:ascii="Times New Roman" w:cs="Times New Roman" w:eastAsia="Times New Roman" w:hAnsi="Times New Roman"/>
          <w:sz w:val="18"/>
          <w:szCs w:val="18"/>
          <w:color w:val="auto"/>
        </w:rPr>
        <w:t>During the period between the date of the Merger Agreement and the Closing, which, under the Merger Agreement, could take until August 18, 2025 (subject to certain conditions and one automatic extension period to February 18, 2026 as set forth in the Merger Agreement), the Merger Agreement restricts us from taking specified actions or from pursuing what might otherwise be attractive business opportunities or making other changes to our business, in each case without the consent of BlueHalo or Seller. These restrictions may prevent us from taking actions during the pendency of the Transactions that would have been beneficial. Adverse effects arising from these restrictions during the pendency of the Transactions could be exacerbated by any delays in consummation of the Transactions or termination of the Merger Agreement.</w:t>
      </w:r>
    </w:p>
    <w:p>
      <w:pPr>
        <w:spacing w:after="0" w:line="192"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Additionally, even if the Merger Agreement does not expressly restrict us from taking a certain action prior to the completion of the Transactions or the termination of the Merger Agreement, the pendency of the Transactions may make it impractical for us to do so. For example, while we may wish to raise capital for strategic or other reasons and would not be prohibited from doing so under the Merger Agreement, our ability to do so may be limited, or may adversely affect the terms on which we are able to raise such capital.</w:t>
      </w:r>
    </w:p>
    <w:p>
      <w:pPr>
        <w:spacing w:after="0" w:line="179"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and BlueHalo must obtain certain regulatory approvals and clearances to consummate the Transactions, which, if delayed, not granted or granted with unacceptable conditions, could prevent, substantially delay or impair consummation of the Transactions, result in additional expenditures of money and resources or reduce the anticipated benefits of the Transactions.</w:t>
      </w:r>
    </w:p>
    <w:p>
      <w:pPr>
        <w:spacing w:after="0" w:line="180"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Completion of the Transactions is conditioned upon the expiration or early termination of the waiting period relating to the Transactions under the HSR Act (which expiration occurred on January 3, 2025) and other similar antitrust laws in certain other countries as well as certain other applicable laws or regulations and the governmental authorizations required to complete the Transactions having been obtained and being in full force and effect. Although the Company and BlueHalo have agreed in the Merger Agreement to use their reasonable best efforts, subject to certain limitations, to make certain governmental filings or obtain the required governmental authorizations, as the case may be, there can be no assurance that the relevant waiting periods will expire or authorizations will be obtained, and if such authorizations are not obtained, the Transactions will not be completed.</w:t>
      </w:r>
    </w:p>
    <w:p>
      <w:pPr>
        <w:spacing w:after="0" w:line="192" w:lineRule="exact"/>
        <w:rPr>
          <w:sz w:val="20"/>
          <w:szCs w:val="20"/>
          <w:color w:val="auto"/>
        </w:rPr>
      </w:pPr>
    </w:p>
    <w:p>
      <w:pPr>
        <w:ind w:left="40" w:right="79"/>
        <w:spacing w:after="0" w:line="271" w:lineRule="auto"/>
        <w:rPr>
          <w:sz w:val="20"/>
          <w:szCs w:val="20"/>
          <w:color w:val="auto"/>
        </w:rPr>
      </w:pPr>
      <w:r>
        <w:rPr>
          <w:rFonts w:ascii="Times New Roman" w:cs="Times New Roman" w:eastAsia="Times New Roman" w:hAnsi="Times New Roman"/>
          <w:sz w:val="17"/>
          <w:szCs w:val="17"/>
          <w:color w:val="auto"/>
        </w:rPr>
        <w:t>At any time before or after consummation of the Transactions, the DOJ or the FTC, any state attorney general, or a governmental authority in another country could take such action under the antitrust laws as it deems necessary or desirable in the public interest, including but not limited to seeking to enjoin the completion of the Transactions, seeking divestiture of substantial assets of the parties or requiring the parties to license, or hold separate, assets or terminate existing relationships and contractual rights. Private parties may also seek to take legal action under the antitrust laws under certain circumstances. Such conditions or changes and the process of obtaining regulatory approvals could have the effect of delaying or impeding consummation of the Transactions or of imposing additional costs or limitations on the Company or BlueHalo following completion of the Transactions, any of which might have an adverse effect on the Company or BlueHalo following completion of the Transactions and may diminish the anticipated benefits of the Transactions.</w:t>
      </w:r>
    </w:p>
    <w:p>
      <w:pPr>
        <w:spacing w:after="0" w:line="169" w:lineRule="exact"/>
        <w:rPr>
          <w:sz w:val="20"/>
          <w:szCs w:val="20"/>
          <w:color w:val="auto"/>
        </w:rPr>
      </w:pPr>
    </w:p>
    <w:p>
      <w:pPr>
        <w:ind w:left="4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limits our ability to pursue alternatives to the Transactions and may discourage a potential competing acquirer of the Company, including the payment by the Company of a termination fee.</w:t>
      </w:r>
    </w:p>
    <w:p>
      <w:pPr>
        <w:spacing w:after="0" w:line="159"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The Merger Agreement contains provisions that, subject to limited exceptions, restrict our ability to directly or indirectly (i) solicit, initiate or knowingly encourage, or take any action to facilitate any inquiries, announcements or communications relating to, or the making of any submission, proposal or offer that constitutes or that could reasonably be expected to lead to, a Parent Acquisition Proposal (as defined the Merger Agreement), (ii) enter into, participate in, cooperate with any person with respect to, maintain or continue any discussions or negotiations relating to, any Parent Acquisition Proposal with any person other than Seller, BlueHalo or their affiliates, (iii) furnish to any person other than Seller, BlueHalo or their affiliates any non-public information in connection with or in response to a Parent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Proposal, (iv) accept any Parent Acquisition Proposal or enter into any agreement, arrangement, term sheet, letter of intent, or understanding (whether written or oral) providing for the consummation of any transaction contemplated by any Parent Acquisition Proposal or otherwise relating to any Parent Acquisition Proposal, (v) adopt, approve or recommend or make any public statement approving or recommending any inquiry, proposal or offer that constitutes, or could reasonably be expected to lead to, a Parent Acquisition Proposal, (vi) take any action or exempt any person (other than the Company and its subsidiaries) from the restriction on “business combinations” or any similar provision contained in applicable takeover laws or the Company’s organizational or other governing documents, or (vii) resolve, propose or agree to do any of the foregoing. The Company shall, and shall cause each of its representatives and each of its subsidiaries (and each of their respective representatives) to, immediately cease and cause to be terminated any and all existing activities, discussions or negotiations with any persons conducted prior to or on the date of the Merger Agreement with respect to any Parent Acquisition Proposal. The Company may be required to pay a termination fee of $200 million to Seller upon termination of the Merger Agreement under specified circumstances, including (i) termination by the Company to accept an Alternative Sale Transaction, (ii) termination by Seller due to the occurrence of a Company Board Adverse Recommendation Change or (iii) if the Company consummates an Alternative Sale Transaction within nine months of termination of the Merger Agreement, subject to certain conditions as set forth in the Merger Agreement.</w:t>
      </w:r>
    </w:p>
    <w:p>
      <w:pPr>
        <w:spacing w:after="0" w:line="196"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These provisions could discourage a potential third-party acquirer that might have an interest in acquiring all or a significant portion of us from considering or proposing that acquisition, even if it were prepared to pay above market value, or might otherwise result in a potential third-party acquirer proposing to pay a lower price to our stockholders than it might otherwise have proposed to pay because of the added expense of the termination fee that may become payable in certain circumstances.</w:t>
      </w:r>
    </w:p>
    <w:p>
      <w:pPr>
        <w:spacing w:after="0" w:line="183"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If the Merger Agreement is terminated and we decide to seek another merger transaction, we may not be able to negotiate or consummate a transaction with another party on terms comparable to, or better than, the terms of the Merger Agreement.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Transactions will involve substantial costs.</w:t>
      </w:r>
    </w:p>
    <w:p>
      <w:pPr>
        <w:spacing w:after="0" w:line="229"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8"/>
          <w:szCs w:val="18"/>
          <w:color w:val="auto"/>
        </w:rPr>
        <w:t>We have incurred and expect to incur substantial non-recurring costs associated with the Transactions and combining the operations of the two companies, as well as transaction fees and other costs related to the Transactions. These costs and expenses include fees paid to legal, financial and accounting advisors, regulatory and public relations advisors, filing fees, printing costs and other costs and expenses. Portions of these transaction costs are contingent upon the Closing occurring, although some have been and will be incurred regardless of whether the Transactions are consummated.</w:t>
      </w:r>
    </w:p>
    <w:p>
      <w:pPr>
        <w:spacing w:after="0" w:line="183"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In addition, the combined company will also incur significant restructuring and integration costs in connection with the integration of the Company and BlueHalo and the execution of our business plan, including costs relating to formulating and implementing integration plans and eliminating duplicative costs, as well as potential employment-related costs. The costs related to restructuring will be expensed as a cost of the ongoing results of operations of either us or the combined company. There are processes, policies, procedures, operations, technologies and systems that must be integrated in connection with the Transactions and the integration of BlueHalo’s business. While we have assumed a certain level of expenses would be incurred to integrate the Company and BlueHalo and achieve synergies and efficiencies and we continue to assess the magnitude of these costs, many of these expenses are, by their nature, difficult to estimate accurately and there are many factors beyond our control that could affect the total amount or timing of these costs. Although we expect that the elimination of duplicative costs, as well as the realization of strategic benefits, additional income, synergies and other efficiencies should allow the combined company to offset integration-related costs over time, this net benefit may not be achieved in the near term, or at all.</w:t>
      </w:r>
    </w:p>
    <w:p>
      <w:pPr>
        <w:spacing w:after="0" w:line="186" w:lineRule="exact"/>
        <w:rPr>
          <w:sz w:val="20"/>
          <w:szCs w:val="20"/>
          <w:color w:val="auto"/>
        </w:rPr>
      </w:pPr>
    </w:p>
    <w:p>
      <w:pPr>
        <w:jc w:val="both"/>
        <w:ind w:left="40" w:right="7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Securities class action and derivative lawsuits may be filed against us, or against our directors, challenging the Transactions, and an adverse ruling in any such lawsuit may prevent the Closing from occurring at all or from occurring within the expected time frame.</w:t>
      </w:r>
    </w:p>
    <w:p>
      <w:pPr>
        <w:spacing w:after="0" w:line="175" w:lineRule="exact"/>
        <w:rPr>
          <w:sz w:val="20"/>
          <w:szCs w:val="20"/>
          <w:color w:val="auto"/>
        </w:rPr>
      </w:pPr>
    </w:p>
    <w:p>
      <w:pPr>
        <w:ind w:left="40" w:right="299"/>
        <w:spacing w:after="0" w:line="282"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acquisition, merger or other business combination agreements. Transactions like the Transactions are frequently subject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8"/>
          <w:szCs w:val="18"/>
          <w:color w:val="auto"/>
        </w:rPr>
        <w:t>to litigation or other legal proceedings, including actions alleging that our Board breached their fiduciary duties to our stockholders by entering into the Merger Agreement. We cannot provide assurance that such litigation or other legal proceedings will not be brought. If litigation or other legal proceedings are in fact brought against us, or against our Board, we will defend against it, but we may not be successful in doing so. An adverse outcome in such matters, as well as the costs and efforts of a defense even if successful, could have a material adverse effect on the business, results of operations or financial position of us or the combined company, including through the possible diversion of each company’s resources or distraction of key personnel.</w:t>
      </w:r>
    </w:p>
    <w:p>
      <w:pPr>
        <w:spacing w:after="0" w:line="189" w:lineRule="exact"/>
        <w:rPr>
          <w:sz w:val="20"/>
          <w:szCs w:val="20"/>
          <w:color w:val="auto"/>
        </w:rPr>
      </w:pPr>
    </w:p>
    <w:p>
      <w:pPr>
        <w:ind w:left="40" w:right="139"/>
        <w:spacing w:after="0" w:line="273" w:lineRule="auto"/>
        <w:rPr>
          <w:sz w:val="20"/>
          <w:szCs w:val="20"/>
          <w:color w:val="auto"/>
        </w:rPr>
      </w:pPr>
      <w:r>
        <w:rPr>
          <w:rFonts w:ascii="Times New Roman" w:cs="Times New Roman" w:eastAsia="Times New Roman" w:hAnsi="Times New Roman"/>
          <w:sz w:val="17"/>
          <w:szCs w:val="17"/>
          <w:color w:val="auto"/>
        </w:rPr>
        <w:t>Lawsuits that may be brought against us, BlueHalo or our or its directors could also seek, among other things, injunctive relief or other equitable relief, including a request to enjoin us from consummating the Transactions. One of the conditions to the Closing is that no order, award or judgment by any court or other tribunal of competent jurisdiction has been entered and continues to be in effect and no law has been adopted or is effective, in either case, that prohibits or makes illegal the Closing. Consequently, if a plaintiff is successful in obtaining an order, award or judgment prohibiting completion of the Transactions, that order, award or judgment may delay or prevent the Closing from being completed within the expected time frame or at all, which may adversely affect our business, financial position and results of operations.</w:t>
      </w:r>
    </w:p>
    <w:p>
      <w:pPr>
        <w:spacing w:after="0" w:line="167" w:lineRule="exact"/>
        <w:rPr>
          <w:sz w:val="20"/>
          <w:szCs w:val="20"/>
          <w:color w:val="auto"/>
        </w:rPr>
      </w:pPr>
    </w:p>
    <w:p>
      <w:pPr>
        <w:ind w:left="4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Transactions may be completed even though a material adverse effect may result from the announcement of the Transactions, industry-wide changes or other causes.</w:t>
      </w:r>
    </w:p>
    <w:p>
      <w:pPr>
        <w:spacing w:after="0" w:line="159"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In general, neither we nor BlueHalo is obligated to complete the Transactions if there is a material adverse effect impacting the other party between the date of the Merger Agreement and the Closing. However, certain types of changes are excluded from the concept of a “material adverse effect” as it is defined in the Merger Agreement. Such exclusions include but are not limited to changes in general economic or political conditions, industry wide changes, changes resulting from the announcement of the Transactions, natural disasters, pandemics, other public health events and changes in GAAP. Therefore, if any of these events were to occur affecting us or BlueHalo, the other party would still be obliged to effect the Closing. If any such adverse changes occur and we and BlueHalo execute the Closing, the stock price of the combined company may suffer. This in turn may reduce the value of the Transactions to the stockholders of the Company, BlueHalo or both.</w:t>
      </w:r>
    </w:p>
    <w:p>
      <w:pPr>
        <w:spacing w:after="0" w:line="184" w:lineRule="exact"/>
        <w:rPr>
          <w:sz w:val="20"/>
          <w:szCs w:val="20"/>
          <w:color w:val="auto"/>
        </w:rPr>
      </w:pPr>
    </w:p>
    <w:p>
      <w:pPr>
        <w:ind w:left="4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not realize a benefit from the Transactions commensurate with the ownership dilution they will experience in connection with the Transactions.</w:t>
      </w:r>
    </w:p>
    <w:p>
      <w:pPr>
        <w:spacing w:after="0" w:line="159"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If the combined company is unable to realize the full strategic and financial benefits currently anticipated from the Transactions, our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Transactions.</w:t>
      </w:r>
    </w:p>
    <w:p>
      <w:pPr>
        <w:spacing w:after="0" w:line="176"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Combining the businesses of the Company and BlueHalo may be more difficult, costly or time-consuming than expected and the combined company may fail to realize the anticipated synergies and other benefits of the Transactions, which may adversely affect the combined company’s business results and negatively affect the value of our common stock following the Closing.</w:t>
      </w:r>
    </w:p>
    <w:p>
      <w:pPr>
        <w:spacing w:after="0" w:line="180"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The Company and BlueHalo have operated and, until the completion of the Transactions will continue to operate, independently. The success of the Transactions will depend on, among other things, the ability of the Company and BlueHalo to combine their respective businesses in a manner that facilitates growth opportunities and realizes expected cost savings. We have entered into the Merger Agreement because we believe that the Transactions are fair to and in the best interests of our stockholders and that combining the businesses of the Company and BlueHalo will produce benefits as well as cost savings and other cost and capital expenditure synergies.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119"/>
        <w:spacing w:after="0" w:line="266" w:lineRule="auto"/>
        <w:rPr>
          <w:sz w:val="20"/>
          <w:szCs w:val="20"/>
          <w:color w:val="auto"/>
        </w:rPr>
      </w:pPr>
      <w:r>
        <w:rPr>
          <w:rFonts w:ascii="Times New Roman" w:cs="Times New Roman" w:eastAsia="Times New Roman" w:hAnsi="Times New Roman"/>
          <w:sz w:val="18"/>
          <w:szCs w:val="18"/>
          <w:color w:val="auto"/>
        </w:rPr>
        <w:t>Following the Closing, the Company and BlueHalo must successfully combine their respective businesses in a manner that permits these benefits to be realized. For example, the following issues, among others, must be addressed in integrating the operations of the two companies in order to realize the anticipated benefits of the Transactions:</w:t>
      </w:r>
    </w:p>
    <w:p>
      <w:pPr>
        <w:spacing w:after="0" w:line="176" w:lineRule="exact"/>
        <w:rPr>
          <w:sz w:val="20"/>
          <w:szCs w:val="20"/>
          <w:color w:val="auto"/>
        </w:rPr>
      </w:pPr>
    </w:p>
    <w:p>
      <w:pPr>
        <w:ind w:left="720" w:hanging="325"/>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companies’ operations and corporate functions;</w:t>
      </w:r>
    </w:p>
    <w:p>
      <w:pPr>
        <w:spacing w:after="0" w:line="225" w:lineRule="exact"/>
        <w:rPr>
          <w:rFonts w:ascii="Times New Roman" w:cs="Times New Roman" w:eastAsia="Times New Roman" w:hAnsi="Times New Roman"/>
          <w:sz w:val="18"/>
          <w:szCs w:val="18"/>
          <w:color w:val="auto"/>
        </w:rPr>
      </w:pPr>
    </w:p>
    <w:p>
      <w:pPr>
        <w:ind w:left="720" w:right="299" w:hanging="325"/>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businesses of the Company and BlueHalo and meeting the capital requirements of the combined company in a manner that permits the combined company to achieve any cost savings or other synergies anticipated to result from the Transactions, the failure of which would result in the anticipated benefits of the Transactions not being realized in the time frame currently anticipated or at all;</w:t>
      </w:r>
    </w:p>
    <w:p>
      <w:pPr>
        <w:spacing w:after="0" w:line="17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from the two companies;</w:t>
      </w:r>
    </w:p>
    <w:p>
      <w:pPr>
        <w:spacing w:after="0" w:line="225" w:lineRule="exact"/>
        <w:rPr>
          <w:rFonts w:ascii="Times New Roman" w:cs="Times New Roman" w:eastAsia="Times New Roman" w:hAnsi="Times New Roman"/>
          <w:sz w:val="18"/>
          <w:szCs w:val="18"/>
          <w:color w:val="auto"/>
        </w:rPr>
      </w:pPr>
    </w:p>
    <w:p>
      <w:pPr>
        <w:ind w:left="720" w:right="359" w:hanging="325"/>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harmonizing the companies’ operating practices, employee development and compensation programs, internal controls and other policies, procedures and processes;</w:t>
      </w:r>
    </w:p>
    <w:p>
      <w:pPr>
        <w:spacing w:after="0" w:line="161" w:lineRule="exact"/>
        <w:rPr>
          <w:rFonts w:ascii="Times New Roman" w:cs="Times New Roman" w:eastAsia="Times New Roman" w:hAnsi="Times New Roman"/>
          <w:sz w:val="18"/>
          <w:szCs w:val="18"/>
          <w:color w:val="auto"/>
        </w:rPr>
      </w:pPr>
    </w:p>
    <w:p>
      <w:pPr>
        <w:ind w:left="720" w:right="119" w:hanging="325"/>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suppliers, distributors and vendors, avoiding delays in entering into new agreements with prospective customers, suppliers, distributors and vendors, and leveraging relationships with such third parties for the benefit of the combined company;</w:t>
      </w:r>
    </w:p>
    <w:p>
      <w:pPr>
        <w:spacing w:after="0" w:line="175"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possible differences in business backgrounds, corporate cultures and management philosophies;</w:t>
      </w:r>
    </w:p>
    <w:p>
      <w:pPr>
        <w:spacing w:after="0" w:line="225"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companies’ administrative and information technology infrastructure;</w:t>
      </w:r>
    </w:p>
    <w:p>
      <w:pPr>
        <w:spacing w:after="0" w:line="225"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distribution and marketing efforts; and</w:t>
      </w:r>
    </w:p>
    <w:p>
      <w:pPr>
        <w:spacing w:after="0" w:line="225"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actions that may be required in connection with obtaining regulatory or other governmental approvals.</w:t>
      </w:r>
    </w:p>
    <w:p>
      <w:pPr>
        <w:spacing w:after="0" w:line="225" w:lineRule="exact"/>
        <w:rPr>
          <w:sz w:val="20"/>
          <w:szCs w:val="20"/>
          <w:color w:val="auto"/>
        </w:rPr>
      </w:pPr>
    </w:p>
    <w:p>
      <w:pPr>
        <w:ind w:left="40" w:right="119"/>
        <w:spacing w:after="0" w:line="274" w:lineRule="auto"/>
        <w:rPr>
          <w:sz w:val="20"/>
          <w:szCs w:val="20"/>
          <w:color w:val="auto"/>
        </w:rPr>
      </w:pPr>
      <w:r>
        <w:rPr>
          <w:rFonts w:ascii="Times New Roman" w:cs="Times New Roman" w:eastAsia="Times New Roman" w:hAnsi="Times New Roman"/>
          <w:sz w:val="17"/>
          <w:szCs w:val="17"/>
          <w:color w:val="auto"/>
        </w:rPr>
        <w:t>It is possible that the integration process could result in the loss of key AeroVironment or BlueHalo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In addition, the actual integration may result in additional and unforeseen expenses. If the combined company is not able to adequately address integration challenges, we may be unable to successfully integrate operations and the anticipated benefits of the integration plan may not be realized.</w:t>
      </w:r>
    </w:p>
    <w:p>
      <w:pPr>
        <w:spacing w:after="0" w:line="173"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8"/>
          <w:szCs w:val="18"/>
          <w:color w:val="auto"/>
        </w:rPr>
        <w:t>In addition, the combined company must achieve the anticipated growth and cost savings without adversely affecting current revenues and investments in future growth. If the combined company is not able to successfully achieve these objectives, the anticipated synergies and other benefits of the Transactions may not be realized fully, or at all, or may take longer to realize than expected. Additionally, we may inherit from BlueHalo legal, regulatory, and other risks that occurred prior to the Transactions, whether known or unknown to us, which may be material to the combined company. Actual growth, cost and capital expenditure synergies and other cost savings, if achieved, may be lower than what we expect and may take longer to achieve than anticipated. Moreover, at times the attention of the combined company’s management and resources may be focused on the integration of the businesses of the two companies and diverted from day-to-day business operations or other opportunities that may have been beneficial to such company, which may disrupt the combined company’s ongoing business.</w:t>
      </w:r>
    </w:p>
    <w:p>
      <w:pPr>
        <w:spacing w:after="0" w:line="194"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benefits of the Transactions, as well as any delays encountered in the integration process, could have an adverse effect upon the revenues, level of expenses and operating results of the combined company, which may adversely affect the value of our common stock following the consummation of the Transactions. Moreover, if the combined company is unable to realize the full strategic and financial benefits currently anticipated from the Transactions, AeroVironment stockholders will have experienced substantial dilution of their ownership interests without receiving any commensurate benefit, or only receiving part of the commensurate benefit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the extent the combined company is able to realize only part of the strategic and financial benefits currently anticipated from the Transactions.</w:t>
      </w:r>
    </w:p>
    <w:p>
      <w:pPr>
        <w:spacing w:after="0" w:line="158" w:lineRule="exact"/>
        <w:rPr>
          <w:sz w:val="20"/>
          <w:szCs w:val="20"/>
          <w:color w:val="auto"/>
        </w:rPr>
      </w:pPr>
    </w:p>
    <w:p>
      <w:pPr>
        <w:ind w:left="40" w:right="3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not be able to retain customers, suppliers or distributors, or customers, suppliers or distributors may seek to modify contractual relationships with the combined company, which could have an adverse effect on the combined company’s business and operations. Third parties may terminate or alter existing contracts or relationships with the combined company.</w:t>
      </w:r>
    </w:p>
    <w:p>
      <w:pPr>
        <w:spacing w:after="0" w:line="180"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As a result of the Transactions, the combined company may experience impacts on relationships with customers, suppliers and distributors that may harm the combined company’s business and results of operations. Certain customers, suppliers or distributors may seek to terminate or modify contractual obligations following the Closing whether or not contractual rights are triggered as a result. There can be no guarantee that customers, suppliers and distributors will remain with or continue to have a relationship with the combined company or do so on the same or similar contractual terms following the Closing. If any customers, suppliers or distributors seek to terminate or modify contractual obligations or discontinue the relationship with the combined company, then the combined company’s business and results of operations may be harmed. If the combined company’s suppliers were to seek to terminate or modify an arrangement with the combined company, then the combined company may be unable to procure necessary supplies from other suppliers in a timely and efficient manner and on acceptable terms, or at all.</w:t>
      </w:r>
    </w:p>
    <w:p>
      <w:pPr>
        <w:spacing w:after="0" w:line="194"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We and BlueHalo also have contracts with third parties, which may require consent from these parties in connection with the Transactions, or which may otherwise contain limitations applicable to such contracts following the Closing. If these consents cannot be obtained, the combined company may suffer a loss of potential future revenue, incur costs and lose rights that may be material to the combined company’s business. In addition, third parties with whom we or BlueHalo currently have relationships may terminate or otherwise reduce the scope of their relationship in anticipation of the Closing. Any such disruptions could limit the combined company’s ability to achieve the anticipated benefits of the Transactions. The adverse effect of any such disruptions could also be exacerbated by a delay in the Closing or by a termination of the Merger Agreement.</w:t>
      </w:r>
    </w:p>
    <w:p>
      <w:pPr>
        <w:spacing w:after="0" w:line="188" w:lineRule="exact"/>
        <w:rPr>
          <w:sz w:val="20"/>
          <w:szCs w:val="20"/>
          <w:color w:val="auto"/>
        </w:rPr>
      </w:pPr>
    </w:p>
    <w:p>
      <w:pPr>
        <w:ind w:left="4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and BlueHalo’s directors and executive officers have interests in the Transactions that are different from our stockholders generally and that may influence them to support or approve the Transactions.</w:t>
      </w:r>
    </w:p>
    <w:p>
      <w:pPr>
        <w:spacing w:after="0" w:line="159" w:lineRule="exact"/>
        <w:rPr>
          <w:sz w:val="20"/>
          <w:szCs w:val="20"/>
          <w:color w:val="auto"/>
        </w:rPr>
      </w:pPr>
    </w:p>
    <w:p>
      <w:pPr>
        <w:ind w:left="40" w:right="159"/>
        <w:spacing w:after="0" w:line="254" w:lineRule="auto"/>
        <w:rPr>
          <w:sz w:val="20"/>
          <w:szCs w:val="20"/>
          <w:color w:val="auto"/>
        </w:rPr>
      </w:pPr>
      <w:r>
        <w:rPr>
          <w:rFonts w:ascii="Times New Roman" w:cs="Times New Roman" w:eastAsia="Times New Roman" w:hAnsi="Times New Roman"/>
          <w:sz w:val="18"/>
          <w:szCs w:val="18"/>
          <w:color w:val="auto"/>
        </w:rPr>
        <w:t>Directors and executive officers of the Company and BlueHalo may have interests in the Transactions that are different from, or in addition to, the interests of other AeroVironment stockholders generally. These interests with respect to our directors and executive officers may include, among others, acceleration of stock option or restricted stock unit vesting, retention bonus payments, severance payments if employment is terminated in a qualifying termination in connection with the Transactions and rights to continued indemnification, expense advancement and insurance coverage. The current members of our Board are expected to continue as directors of the combined company after the effective time of the Transactions, and, following the closing of the Transactions, will be eligible to be compensated similarly to other non-employee directors of the combined company.</w:t>
      </w:r>
    </w:p>
    <w:p>
      <w:pPr>
        <w:spacing w:after="0" w:line="192"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8"/>
          <w:szCs w:val="18"/>
          <w:color w:val="auto"/>
        </w:rPr>
        <w:t>Our Board and the Board of Directors of BlueHalo were aware of and considered those interests, among other matters, in reaching their decisions to approve and adopt the Merger Agreement, approve the Transactions, and recommend the approval of the Merger Agreement to the Company stockholders and BlueHalo holders, respectively. These interests, among other factors, may have influenced the directors and executive officers of the Company and BlueHalo to support or approve the Transactions.</w:t>
      </w:r>
    </w:p>
    <w:p>
      <w:pPr>
        <w:spacing w:after="0" w:line="179" w:lineRule="exact"/>
        <w:rPr>
          <w:sz w:val="20"/>
          <w:szCs w:val="20"/>
          <w:color w:val="auto"/>
        </w:rPr>
      </w:pPr>
    </w:p>
    <w:p>
      <w:pPr>
        <w:jc w:val="both"/>
        <w:ind w:left="4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funds affiliated with Arlington Capital Partners are expected to beneficially own approximately 26.2% of our common stock, which will allow them the ability to exert significant influence over us, and their interests may conflict with ours or yours in the future.</w:t>
      </w:r>
    </w:p>
    <w:p>
      <w:pPr>
        <w:spacing w:after="0" w:line="175" w:lineRule="exact"/>
        <w:rPr>
          <w:sz w:val="20"/>
          <w:szCs w:val="20"/>
          <w:color w:val="auto"/>
        </w:rPr>
      </w:pPr>
    </w:p>
    <w:p>
      <w:pPr>
        <w:ind w:left="40" w:right="259"/>
        <w:spacing w:after="0" w:line="281" w:lineRule="auto"/>
        <w:rPr>
          <w:sz w:val="20"/>
          <w:szCs w:val="20"/>
          <w:color w:val="auto"/>
        </w:rPr>
      </w:pPr>
      <w:r>
        <w:rPr>
          <w:rFonts w:ascii="Times New Roman" w:cs="Times New Roman" w:eastAsia="Times New Roman" w:hAnsi="Times New Roman"/>
          <w:sz w:val="17"/>
          <w:szCs w:val="17"/>
          <w:color w:val="auto"/>
        </w:rPr>
        <w:t>Following the Closing, funds affiliated with Arlington Capital Partners are expected to beneficially own approximately 26.2% of our common stock. Accordingly, after the Closing these stockholders may exercise significant influence over matters requiring stockholder approval, including the election of our directors and the determination of significant corporate actions. This concentration of voting power and control could have a significant effect in delaying, deferring or</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66" w:lineRule="auto"/>
        <w:rPr>
          <w:sz w:val="20"/>
          <w:szCs w:val="20"/>
          <w:color w:val="auto"/>
        </w:rPr>
      </w:pPr>
      <w:r>
        <w:rPr>
          <w:rFonts w:ascii="Times New Roman" w:cs="Times New Roman" w:eastAsia="Times New Roman" w:hAnsi="Times New Roman"/>
          <w:sz w:val="18"/>
          <w:szCs w:val="18"/>
          <w:color w:val="auto"/>
        </w:rPr>
        <w:t>preventing an action that might otherwise be beneficial to our other stockholders or that could be disadvantageous to our stockholders with interests different from yours. As a result, the market price of our common stock could be adversely affected.</w:t>
      </w:r>
    </w:p>
    <w:p>
      <w:pPr>
        <w:spacing w:after="0" w:line="176"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funds affiliated with Arlington Capital Partners (the “Sponsor Members”) entered into a shareholder’s agreement (the “Shareholder’s Agreement”) with the Company pursuant to which the Sponsor Members have, among other things, agreed to abide by customary standstill covenants, obligations to vote consistent with the recommendation of the Board, and customary employee non-solicit restrictions with respect to the employees of the Company and its subsidiaries (including BlueHalo and its subsidiaries after the Closing). Under the Shareholder’s Agreement, the Company has, among other things and subject to the Closing, agreed to provide the Sponsor Members with certain board designation rights and, following a lock-up period as set forth in the Shareholder’s Agreement, customary registration rights, including customary demand and piggyback rights. The Sponsor Members will have such designation rights to designate two directors until it and its affiliates cease to collectively hold and own, directly or indirectly, at least 20% of the issued and outstanding Company common stock and the Sponsor Members will have such designation rights to designate one director until they and their affiliates cease to collectively hold and own, directly or indirectly, at least 15% but less than 20% of the issued and outstanding Company common stock. The Board of Directors of the combined company (the “New Company Board”) is expected to consist of ten members, up to two of whom may be designated by the Sponsor Members for approval by the stockholders of the Company for appointment to the New Company Board, subject to certain conditions and qualifications as set forth in the Shareholder’s Agreement (the “Shareholder Nominees”).</w:t>
      </w:r>
    </w:p>
    <w:p>
      <w:pPr>
        <w:spacing w:after="0" w:line="195"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8"/>
          <w:szCs w:val="18"/>
          <w:color w:val="auto"/>
        </w:rPr>
        <w:t>Moreover, the Shareholder’s Agreement provides that we renounce any interests or expectancy in being offered any business opportunities which the Shareholder Nominees, the Sponsor Members, or their affiliates conduct whether directly or indirectly, whether or not such business is competitive with or in the same or similar lines of business as the Company. This renunciation does not extend to business opportunities invested in on the basis of confidential information received from the Company or its representatives.</w:t>
      </w:r>
    </w:p>
    <w:p>
      <w:pPr>
        <w:spacing w:after="0" w:line="179" w:lineRule="exact"/>
        <w:rPr>
          <w:sz w:val="20"/>
          <w:szCs w:val="20"/>
          <w:color w:val="auto"/>
        </w:rPr>
      </w:pPr>
    </w:p>
    <w:p>
      <w:pPr>
        <w:ind w:left="4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the Company Common Stock after the Transactions may be affected by factors different from those currently affecting the shares of Company Common Stock.</w:t>
      </w:r>
    </w:p>
    <w:p>
      <w:pPr>
        <w:spacing w:after="0" w:line="159" w:lineRule="exact"/>
        <w:rPr>
          <w:sz w:val="20"/>
          <w:szCs w:val="20"/>
          <w:color w:val="auto"/>
        </w:rPr>
      </w:pPr>
    </w:p>
    <w:p>
      <w:pPr>
        <w:ind w:left="40" w:right="239"/>
        <w:spacing w:after="0" w:line="258" w:lineRule="auto"/>
        <w:rPr>
          <w:sz w:val="20"/>
          <w:szCs w:val="20"/>
          <w:color w:val="auto"/>
        </w:rPr>
      </w:pPr>
      <w:r>
        <w:rPr>
          <w:rFonts w:ascii="Times New Roman" w:cs="Times New Roman" w:eastAsia="Times New Roman" w:hAnsi="Times New Roman"/>
          <w:sz w:val="18"/>
          <w:szCs w:val="18"/>
          <w:color w:val="auto"/>
        </w:rPr>
        <w:t>Upon completion of the Transactions, the Seller liquidation and the Seller distribution, Seller equityholders will become Company shareholders. Our business currently differs, and may differ in the future, in certain respects from that of BlueHalo and certain adjustments may be made to our business as a result of the Transactions. Accordingly, the results of operations of the combined company and the market price of the Company Common Stock after the completion of the Transactions may be affected by factors different from those currently affecting our results of operations.</w:t>
      </w:r>
    </w:p>
    <w:p>
      <w:pPr>
        <w:spacing w:after="0" w:line="179" w:lineRule="exact"/>
        <w:rPr>
          <w:sz w:val="20"/>
          <w:szCs w:val="20"/>
          <w:color w:val="auto"/>
        </w:rPr>
      </w:pPr>
    </w:p>
    <w:p>
      <w:pPr>
        <w:ind w:left="4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BlueHalo is currently not a U.S. public reporting company and the obligations associated with integrating into a public company, including to remediate BlueHalo’s material weaknesses in internal control over financial reporting, may require significant resources and management attention.</w:t>
      </w:r>
    </w:p>
    <w:p>
      <w:pPr>
        <w:spacing w:after="0" w:line="175" w:lineRule="exact"/>
        <w:rPr>
          <w:sz w:val="20"/>
          <w:szCs w:val="20"/>
          <w:color w:val="auto"/>
        </w:rPr>
      </w:pPr>
    </w:p>
    <w:p>
      <w:pPr>
        <w:ind w:left="40" w:right="119"/>
        <w:spacing w:after="0" w:line="252" w:lineRule="auto"/>
        <w:rPr>
          <w:sz w:val="20"/>
          <w:szCs w:val="20"/>
          <w:color w:val="auto"/>
        </w:rPr>
      </w:pPr>
      <w:r>
        <w:rPr>
          <w:rFonts w:ascii="Times New Roman" w:cs="Times New Roman" w:eastAsia="Times New Roman" w:hAnsi="Times New Roman"/>
          <w:sz w:val="18"/>
          <w:szCs w:val="18"/>
          <w:color w:val="auto"/>
        </w:rPr>
        <w:t>BlueHalo is, and prior to the Closing will remain, a private company that is not subject to public company reporting requirements. Additionally, from the time it was formed until the time it entered the Merger Agreement, BlueHalo consummated a number of acquisitions of companies of varying degrees of size and sophistication with varying degrees of disclosure controls and procedures. As a public company, we are required to document and test our internal controls over financial reporting pursuant to Section 404(b) of the Sarbanes-Oxley Act of 2002, so that our management can certify as to the effectiveness of our internal control over financial reporting in connection with the annual report. BlueHalo (including all of its prior acquisitions) will be required to be included in the scope of our internal control over financial reporting in the annual report to be filed with the SEC for the fiscal year following the fiscal year in which the Closing occurs and thereafter, which requires us to make and document significant changes to our internal controls over financial reporting. In connection with the preparation of its audited consolidated financial statements for the year ended December 31, 2023, BlueHalo identified two material weaknesses in its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Specifically, BlueHalo (i) did not maintain a sufficient complement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personnel with an appropriate degree of internal controls and accounting knowledge, experience, and training commensurate with its accounting and financial reporting requirements and (ii) did not design and maintain program change management controls to ensure that program and data changes are identified, tested, authorized, and implemented appropriately, or user access controls to ensure appropriate segregation of duties and to adequately restrict user and privileged access to appropriate personnel. Bringing BlueHalo into compliance with rules and regulations applicable to us as a public company and integrating BlueHalo into our current compliance and accounting system and disclosure controls and procedures is expected to increase our legal and financial compliance costs, make some activities more difficult, time-consuming or costly and increase demand on our systems and resources. We cannot predict or estimate the amount of additional costs we may incur to bring BlueHalo into compliance with these requirements (including by remediating its outstanding material weaknesses) and we cannot guarantee the measures we take will be sufficient to satisfy our obligations as a public company. Ineffective internal control over financial reporting could also cause investors to lose confidence in the combined company’s reported financial information, which would harm the combined company’s business and likely have a negative effect on the trading price of the combined company’s shares of common stock. Furthermore, the need to establish the necessary corporate infrastructure to integrate BlueHalo may divert management’s attention from implementing our growth strategy, which could prevent us from improving our business, financial condition and results of operations.</w:t>
      </w:r>
    </w:p>
    <w:p>
      <w:pPr>
        <w:spacing w:after="0" w:line="191" w:lineRule="exact"/>
        <w:rPr>
          <w:sz w:val="20"/>
          <w:szCs w:val="20"/>
          <w:color w:val="auto"/>
        </w:rPr>
      </w:pPr>
    </w:p>
    <w:p>
      <w:pPr>
        <w:ind w:left="40" w:right="5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stockholders will have a reduced ownership and voting interest in, and will exercise less influence over the management of, the combined company following the Closing as compared to their current ownership and voting interests in the respective companies.</w:t>
      </w:r>
    </w:p>
    <w:p>
      <w:pPr>
        <w:spacing w:after="0" w:line="175"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After the Closing, the current AeroVironment stockholders will own a smaller percentage of the combined company than their ownership of AeroVironment prior to the Transactions. Immediately after the Closing, the Seller liquidation and the Seller distribution, our stockholders as of immediately prior to the Closing, based on shares of AeroVironment common stock outstanding as of February 7, 2025, are expected to own approximately 61.8% of the outstanding shares of the combined company and Seller equityholders are expected to own approximately 38.2% of the outstanding shares of the combined company. The exact equity stake of AeroVironment stockholders and Seller equityholders in the combined company immediately following the effective time will depend on the number of shares of AeroVironment common stock issued and outstanding immediately prior to the effective time and additional adjustments to the Aggregate Closing Consideration for the closing leakage share amount. As a result of this reduced ownership, the current AeroVironment stockholders will be able to exercise less influence over the combined company following the Closing as compared to their current ownership.</w:t>
      </w:r>
    </w:p>
    <w:p>
      <w:pPr>
        <w:spacing w:after="0" w:line="188" w:lineRule="exact"/>
        <w:rPr>
          <w:sz w:val="20"/>
          <w:szCs w:val="20"/>
          <w:color w:val="auto"/>
        </w:rPr>
      </w:pPr>
    </w:p>
    <w:p>
      <w:pPr>
        <w:ind w:left="4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anticipate our indebtedness will increase upon completion of the Transactions and may have the effect of heightening other risks we now face.</w:t>
      </w:r>
    </w:p>
    <w:p>
      <w:pPr>
        <w:spacing w:after="0" w:line="15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Upon completion of the Transactions, we intend to refinance certain indebtedness of BlueHalo and, assuming that occurs, our consolidated indebtedness will increase substantially and we will be subject to increased risks associated with debt financing. As of January 25, 2025, we had indebtedness of approximately $25 million under our existing credit agreement consisting of borrowings under our $200 million revolving credit facility. In connection with the execution of the Merger Agreement, we entered into a commitment letter (the “Debt Commitment Letter”) with BofA NA and BofA Securities, Inc. and JPM on November 18, 2024 and amended and restated on December 30, 2024 to include U.S. Bank, Citi, BMO Bank, Citizens, and RBC; RBC, together with BofA, JPM, U.S. Bank, Citi, BMO Bank, and Citizens, the “Commitment Parties,” and BofA Securities, JPM and U.S. Bank, collectively, the “Joint Lead Arrangers”), pursuant to which the Joint Lead Arrangers have committed to amend our existing credit agreement (such amendment, the “Credit Agreement Amendment”) to provide a new Term Loan A facility (the “Acquisition Financing Facility”). The initial principal amount of the Acquisition Financing Facility will be $700 million, and the Acquisition Financing Facility will have a maturity date of two years from the effective date of the Credit Agreement Amendment.</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Our increased indebtedness could have important consequences to holders of our common stock, including:</w:t>
      </w:r>
    </w:p>
    <w:p>
      <w:pPr>
        <w:spacing w:after="0" w:line="225" w:lineRule="exact"/>
        <w:rPr>
          <w:sz w:val="20"/>
          <w:szCs w:val="20"/>
          <w:color w:val="auto"/>
        </w:rPr>
      </w:pPr>
    </w:p>
    <w:p>
      <w:pPr>
        <w:ind w:left="720" w:hanging="325"/>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19" w:hanging="325"/>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and other general corporate requirements;</w:t>
      </w:r>
    </w:p>
    <w:p>
      <w:pPr>
        <w:spacing w:after="0" w:line="161" w:lineRule="exact"/>
        <w:rPr>
          <w:rFonts w:ascii="Times New Roman" w:cs="Times New Roman" w:eastAsia="Times New Roman" w:hAnsi="Times New Roman"/>
          <w:sz w:val="18"/>
          <w:szCs w:val="18"/>
          <w:color w:val="auto"/>
        </w:rPr>
      </w:pPr>
    </w:p>
    <w:p>
      <w:pPr>
        <w:ind w:left="720" w:right="619" w:hanging="325"/>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use of a substantial portion of our cash flow from operations for the payment of principal and interest on our indebtedness, thereby reducing our ability to use our cash flow to fund working capital, acquisitions, capital expenditures and general corporate requirements;</w:t>
      </w:r>
    </w:p>
    <w:p>
      <w:pPr>
        <w:spacing w:after="0" w:line="175"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 and</w:t>
      </w:r>
    </w:p>
    <w:p>
      <w:pPr>
        <w:spacing w:after="0" w:line="225"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putting us at a disadvantage compared to its competitors with less indebtedness.</w:t>
      </w:r>
    </w:p>
    <w:p>
      <w:pPr>
        <w:spacing w:after="0" w:line="225"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Our ability to restructure or refinance this additional indebtedness (or otherwise refinance the indebtedness of BlueHalo) will depend on numerous factors, including the condition of the capital markets and our results of operations and financial condition. Any refinancing with new debt could be at higher interest rates and may require us to comply with more onerous covenants than the Acquisition Financing Facility, which could further restrict our business operations. Any refinancing through our sale of equity or equity-linked securities would result in further dilution to our stockholders or may provide for rights, preferences or privileges senior to those of holders of our common stock.</w:t>
      </w:r>
    </w:p>
    <w:p>
      <w:pPr>
        <w:spacing w:after="0" w:line="183"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growth of BlueHalo’s business through recently completed acquisitions may expose BlueHalo and the combined company to various risks, including those relating to difficulties in identifying suitable, accretive acquisition opportunities and integrating businesses, assets and personnel, as well as difficulties in obtaining financing for targeted acquisitions.</w:t>
      </w:r>
    </w:p>
    <w:p>
      <w:pPr>
        <w:spacing w:after="0" w:line="180" w:lineRule="exact"/>
        <w:rPr>
          <w:sz w:val="20"/>
          <w:szCs w:val="20"/>
          <w:color w:val="auto"/>
        </w:rPr>
      </w:pPr>
    </w:p>
    <w:p>
      <w:pPr>
        <w:ind w:left="40" w:right="599"/>
        <w:spacing w:after="0" w:line="282" w:lineRule="auto"/>
        <w:rPr>
          <w:sz w:val="20"/>
          <w:szCs w:val="20"/>
          <w:color w:val="auto"/>
        </w:rPr>
      </w:pPr>
      <w:r>
        <w:rPr>
          <w:rFonts w:ascii="Times New Roman" w:cs="Times New Roman" w:eastAsia="Times New Roman" w:hAnsi="Times New Roman"/>
          <w:sz w:val="18"/>
          <w:szCs w:val="18"/>
          <w:color w:val="auto"/>
        </w:rPr>
        <w:t>BlueHalo has pursued selected, accretive acquisitions of complementary assets and businesses. Acquisitions involve numerous risks, including:</w:t>
      </w:r>
    </w:p>
    <w:p>
      <w:pPr>
        <w:spacing w:after="0" w:line="162" w:lineRule="exact"/>
        <w:rPr>
          <w:sz w:val="20"/>
          <w:szCs w:val="20"/>
          <w:color w:val="auto"/>
        </w:rPr>
      </w:pPr>
    </w:p>
    <w:p>
      <w:pPr>
        <w:ind w:left="720" w:right="699" w:hanging="325"/>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exposure to liabilities assumed in connection with the acquired business or assets, including, but not limited to, environmental liabilities and title issues;</w:t>
      </w:r>
    </w:p>
    <w:p>
      <w:pPr>
        <w:ind w:left="720" w:hanging="325"/>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and assets of the acquired business and the acquired personnel;</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a larger, more complex, integrated business;</w:t>
      </w:r>
    </w:p>
    <w:p>
      <w:pPr>
        <w:spacing w:after="0" w:line="9" w:lineRule="exact"/>
        <w:rPr>
          <w:rFonts w:ascii="Times New Roman" w:cs="Times New Roman" w:eastAsia="Times New Roman" w:hAnsi="Times New Roman"/>
          <w:sz w:val="18"/>
          <w:szCs w:val="18"/>
          <w:color w:val="auto"/>
        </w:rPr>
      </w:pPr>
    </w:p>
    <w:p>
      <w:pPr>
        <w:ind w:left="720" w:right="79" w:hanging="325"/>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BlueHalo’s ability to properly assess and maintain an effective internal control environment over an acquired business;</w:t>
      </w:r>
    </w:p>
    <w:p>
      <w:pPr>
        <w:ind w:left="720" w:hanging="325"/>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of key employees, customers and business partners of the acquired business;</w:t>
      </w:r>
    </w:p>
    <w:p>
      <w:pPr>
        <w:spacing w:after="0" w:line="9" w:lineRule="exact"/>
        <w:rPr>
          <w:rFonts w:ascii="Times New Roman" w:cs="Times New Roman" w:eastAsia="Times New Roman" w:hAnsi="Times New Roman"/>
          <w:sz w:val="18"/>
          <w:szCs w:val="18"/>
          <w:color w:val="auto"/>
        </w:rPr>
      </w:pPr>
    </w:p>
    <w:p>
      <w:pPr>
        <w:ind w:left="720" w:right="79" w:hanging="325"/>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at one or both of the companies as a result of the diversion of management’s attention from their day-to-day responsibilities caused by completing an acquisition and integrating an acquired business;</w:t>
      </w:r>
    </w:p>
    <w:p>
      <w:pPr>
        <w:ind w:left="720" w:hanging="325"/>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markets in which BlueHalo has limited prior experience; and</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BlueHalo’s expenses and working capital requirements.</w:t>
      </w:r>
    </w:p>
    <w:p>
      <w:pPr>
        <w:spacing w:after="0" w:line="207"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The process of integrating an acquired business may involve unforeseen costs and delays or other operational, technical and financial difficulties, and may require a significant amount of time and resources. Difficulties may arise when integrating an acquired business’s operations and in realizing expected benefits and synergies from acquisitions. The integration process may involve unforeseen difficulties and may require a disproportionate amount of managerial and financial resources. The inability to successfully integrate the operations of acquired businesses may prevent consolidation savings and result in the incurrence of unanticipated costs and liabilities.</w:t>
      </w:r>
    </w:p>
    <w:p>
      <w:pPr>
        <w:spacing w:after="0" w:line="187"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Failure to incorporate acquired businesses and assets into its existing operations successfully or to minimize any unforeseen operational difficulties could have a material adverse effect on the business, liquidity position, financial condition, prospects and results of operations. Furthermore, competition for acquisitions may increase the cost of or otherwise impede the completion of acquisitions.</w:t>
      </w:r>
    </w:p>
    <w:p>
      <w:pPr>
        <w:spacing w:after="0" w:line="180"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8"/>
          <w:szCs w:val="18"/>
          <w:color w:val="auto"/>
        </w:rPr>
        <w:t>In addition, insufficient capital resources would prevent the completion of any acquisitions. The combined company may incur substantial indebtedness to finance any future acquisitions and also may issue equity, debt or convertible securities in connection with such acquisitions. Debt service requirements could represent a significant burden on the combined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8"/>
          <w:szCs w:val="18"/>
          <w:color w:val="auto"/>
        </w:rPr>
        <w:t>company’s results of operations and financial condition, and the issuance of additional equity or convertible securities could be dilutive to the combined company’s stockholders. Furthermore, the combined company may not be able to obtain additional financing as needed or on satisfactory terms.</w:t>
      </w:r>
    </w:p>
    <w:p>
      <w:pPr>
        <w:spacing w:after="0" w:line="176"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The combined company’s ability to continue to grow through acquisitions and manage growth will require the combined company to continue to invest in operational, financial and management information systems and to attract, retain, motivate and effectively manage its employees. The inability to effectively manage the integration of acquisitions could reduce the combined company’s focus on operations, which, in turn, could negatively impact its earnings and growth. The combined company’s financial position and results of operations may fluctuate significantly from period to period, based on whether or not significant acquisitions are completed in particular periods.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U.S. and other government budgets, changes in spending or budgetary priorities, delays in contract awards or in the release of approved funds may significantly and adversely affect our future revenue.</w:t>
      </w:r>
    </w:p>
    <w:p>
      <w:pPr>
        <w:spacing w:after="0" w:line="15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Because we generate a significant portion of our total sales, including sales of our UxS and LMS products and services, from the U.S. government and its agencies and from foreign governments, our results of operations could be adversely affected by government spending caps, delays in the government budget process, program starts, the award of contracts or orders under existing contracts, or delays in release of funds by the federal government. Delays in the definitization of a contract could result in delayed funding, billing and payment. Our business may be adversely impacted due to shifts in the political environment and resulting changes in the government and agency leadership positions and priorities for funding. We cannot assure you that current levels of congressional funding for our products and services will continue and that our business will not decline, or that such funding will be accessible consistent with previously realized timelines due to federal budgetary review activities and potential freezes on or cancellation of various governmental programs from time to time. If annual budget appropriations or continuing resolutions are not enacted timely, we could face U.S. government shutdowns, which could adversely impact our programs and contracts with the U.S. government, our ability to receive timely payment from U.S. government entities and our ability to timely obtain export licenses for our products and services to fulfill contracts with our international customers.</w:t>
      </w:r>
    </w:p>
    <w:p>
      <w:pPr>
        <w:spacing w:after="0" w:line="187"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Additionally, there is a possibility that political decisions made by the U.S. government, such as policy changes regarding prior military commitments by the second Trump administration, including those regarding ongoing conflicts, including between Russia and Ukraine or Israel and Hamas, or an impasse on policy issues between the executive branch and Congress, could impact future spending and program authorizations, which may not increase or may decrease or shift to programs in areas in which we do not provide products or services or are less likely to be awarded contracts. Such changes in spending authorizations and budgetary priorities may occur as a result of shifts in spending priorities from defense-related and other programs due to, among other factors, competing demands for federal funds and the number and intensity of military conflicts. We have recently received a stop work order on certain existing U.S. government contracts previously awarded to us for foreign military sales funded by the U.S. government via foreign military financing because of shifting foreign military aid priorities, which are having a negative impact on our results of operations. We may continue to receive future stop work orders and/or contract cancellations for other existing U.S. government contracts due to shifting foreign military aid priorities, including due to the recently announced pause on U.S. military assistance to Ukraine, and we cannot project the aggregate negative impact on our results of operations due to any future stop work orders and/or contract cancellations.</w:t>
      </w:r>
    </w:p>
    <w:p>
      <w:pPr>
        <w:spacing w:after="0" w:line="193"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75" w:lineRule="exact"/>
        <w:rPr>
          <w:sz w:val="20"/>
          <w:szCs w:val="20"/>
          <w:color w:val="auto"/>
        </w:rPr>
      </w:pPr>
    </w:p>
    <w:p>
      <w:pPr>
        <w:ind w:left="40" w:right="219"/>
        <w:spacing w:after="0" w:line="258" w:lineRule="auto"/>
        <w:rPr>
          <w:sz w:val="20"/>
          <w:szCs w:val="20"/>
          <w:color w:val="auto"/>
        </w:rPr>
      </w:pPr>
      <w:r>
        <w:rPr>
          <w:rFonts w:ascii="Times New Roman" w:cs="Times New Roman" w:eastAsia="Times New Roman" w:hAnsi="Times New Roman"/>
          <w:sz w:val="18"/>
          <w:szCs w:val="18"/>
          <w:color w:val="auto"/>
        </w:rPr>
        <w:t>Our ability to meet customers’ demands depends, in part, on our ability to obtain timely and adequate delivery of quality materials, parts and components from our suppliers. We obtain certain of our hardware components, various subsystems and systems from a limited group of suppliers, some of which are sole source suppliers. Although we hold long term non-binding contracts with certain key suppliers that establish pricing, minimize lead times and to some degree mitigate risk, we do not have long-term agreements with all suppliers that obligate them to continue to sell components, products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99"/>
        <w:spacing w:after="0" w:line="261" w:lineRule="auto"/>
        <w:rPr>
          <w:sz w:val="20"/>
          <w:szCs w:val="20"/>
          <w:color w:val="auto"/>
        </w:rPr>
      </w:pPr>
      <w:r>
        <w:rPr>
          <w:rFonts w:ascii="Times New Roman" w:cs="Times New Roman" w:eastAsia="Times New Roman" w:hAnsi="Times New Roman"/>
          <w:sz w:val="18"/>
          <w:szCs w:val="18"/>
          <w:color w:val="auto"/>
        </w:rPr>
        <w:t>required to build our systems or products to us. Our reliance on suppliers without long term non-binding contracts involves significant risks and uncertainties, including whether our suppliers will provide an adequate supply of required components or products of sufficient quality, will increase prices for the components or products and will perform their obligations on a timely basis.</w:t>
      </w:r>
    </w:p>
    <w:p>
      <w:pPr>
        <w:spacing w:after="0" w:line="180"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If any of our supplier’s face capacity constraints, financial instability, or an unwillingness to provide raw materials or components to us, we may need to seek alternative suppliers or revise our designs, particularly because some of our components are sourced from foreign countries. Locating alternative sources may take several months, and even then, we might encounter significant delays in manufacturing and shipping. Additionally, credit constraints among key suppliers could impact our cash flow. We have also experienced rising costs for components, shipping, warehousing, and inventory. The permanence of these cost increases remains uncertain, and obtaining replacement components within our required time frames may prove challenging. Shortages could lead to excess inventory and potential obsolescence risks.</w:t>
      </w:r>
    </w:p>
    <w:p>
      <w:pPr>
        <w:spacing w:after="0" w:line="3"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In addition, certain raw materials and components used in the manufacture of our products and in our development programs, are periodically subject to supply shortages, and our business is subject to the risk of price increases and periodic delays in delivery. The electronic components industry has experienced significant shifts in supply levels in recent years. Demand for components in the memory sector is poised for substantial growth, driven by artificial intelligence applications such as large language models and generative artificial intelligence. Due to the volatility of supply and increase in demand, lead times and prices for certain components, such as memory related microprocessors, may continue to experience supply and price uncertainty.</w:t>
      </w:r>
    </w:p>
    <w:p>
      <w:pPr>
        <w:spacing w:after="0" w:line="188"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Escalating restrictions between the U.S. and China contribute to supply chain complexities. In January 2024, China imposed sanctions on AeroVironment in response to sales of military equipment by the U.S. Government to Taiwan. Additionally, in March 2025, China’s Ministry of Commerce placed the Company on China’s export control list. While we have not experienced, and do not expect to experience, a material negative impact on our business as a result of the announced sanctions and export restrictions, we cannot be certain that a material negative effect will not occur in the future as a result of these sanctions and restrictions or future sanctions or restrictions that may be imposed. Some of our components sourced from foreign countries, including China, are at risk of further sanctions and other trade restrictive actions, and any escalation in global trade tensions or trade restrictions may hinder our ability to obtain these components from new suppliers. Restrictions on semiconductor manufacturing equipment and raw materials could lead to higher material costs, material unavailability, and transportation uncertainty.</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Trading Plan</w:t>
      </w:r>
    </w:p>
    <w:p>
      <w:pPr>
        <w:spacing w:after="0" w:line="229" w:lineRule="exact"/>
        <w:rPr>
          <w:sz w:val="20"/>
          <w:szCs w:val="20"/>
          <w:color w:val="auto"/>
        </w:rPr>
      </w:pPr>
    </w:p>
    <w:p>
      <w:pPr>
        <w:ind w:left="40" w:right="99"/>
        <w:spacing w:after="0" w:line="312" w:lineRule="auto"/>
        <w:rPr>
          <w:sz w:val="20"/>
          <w:szCs w:val="20"/>
          <w:color w:val="auto"/>
        </w:rPr>
      </w:pPr>
      <w:r>
        <w:rPr>
          <w:rFonts w:ascii="Times New Roman" w:cs="Times New Roman" w:eastAsia="Times New Roman" w:hAnsi="Times New Roman"/>
          <w:sz w:val="17"/>
          <w:szCs w:val="17"/>
          <w:color w:val="auto"/>
        </w:rPr>
        <w:t>During the three months ended January 25, 2025, none of our directors or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24"/>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780" w:type="dxa"/>
            <w:vAlign w:val="bottom"/>
            <w:tcBorders>
              <w:bottom w:val="single" w:sz="8" w:color="0000EE"/>
            </w:tcBorders>
            <w:gridSpan w:val="18"/>
          </w:tcPr>
          <w:p>
            <w:pPr>
              <w:spacing w:after="0" w:line="169"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Agreement and Plan of Merger, dated November 18,</w:t>
              </w:r>
            </w:hyperlink>
          </w:p>
        </w:tc>
        <w:tc>
          <w:tcPr>
            <w:tcW w:w="300" w:type="dxa"/>
            <w:vAlign w:val="bottom"/>
            <w:gridSpan w:val="10"/>
          </w:tcPr>
          <w:p>
            <w:pPr>
              <w:spacing w:after="0"/>
              <w:rPr>
                <w:sz w:val="14"/>
                <w:szCs w:val="14"/>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gridSpan w:val="29"/>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2024, by and among the Company, Merger Sub,</w:t>
              </w:r>
            </w:hyperlink>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4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BlueHalo and Seller</w:t>
              </w:r>
            </w:hyperlink>
          </w:p>
        </w:tc>
        <w:tc>
          <w:tcPr>
            <w:tcW w:w="640" w:type="dxa"/>
            <w:vAlign w:val="bottom"/>
            <w:gridSpan w:val="17"/>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9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Amended and Restated Certificate of Incorporation of</w:t>
              </w:r>
            </w:hyperlink>
          </w:p>
        </w:tc>
        <w:tc>
          <w:tcPr>
            <w:tcW w:w="200" w:type="dxa"/>
            <w:vAlign w:val="bottom"/>
            <w:gridSpan w:val="7"/>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gridSpan w:val="2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AeroVironment, Inc.</w:t>
              </w:r>
            </w:hyperlink>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0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Fifth Amended and Restated Bylaws of AeroVironment,</w:t>
              </w:r>
            </w:hyperlink>
          </w:p>
        </w:tc>
        <w:tc>
          <w:tcPr>
            <w:tcW w:w="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gridSpan w:val="29"/>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Inc., amended as of October 1, 2024.</w:t>
              </w:r>
            </w:hyperlink>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gridSpan w:val="29"/>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Seller and Sponsor Member Support</w:t>
              </w:r>
            </w:hyperlink>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gridSpan w:val="29"/>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Agreement (incorporated by reference to Exhibit 10.1 to</w:t>
              </w:r>
            </w:hyperlink>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0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the Company’s Current Report on Form 8-K filed with</w:t>
              </w:r>
            </w:hyperlink>
          </w:p>
        </w:tc>
        <w:tc>
          <w:tcPr>
            <w:tcW w:w="4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9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the SEC on November 19, 2024)</w:t>
              </w:r>
            </w:hyperlink>
          </w:p>
        </w:tc>
        <w:tc>
          <w:tcPr>
            <w:tcW w:w="160" w:type="dxa"/>
            <w:vAlign w:val="bottom"/>
            <w:gridSpan w:val="6"/>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10.2(1)</w:t>
            </w: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Joinder and Lock-Up Agreement (incorporated</w:t>
              </w:r>
            </w:hyperlink>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9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by reference to Exhibit 10.2 to the Company’s Current</w:t>
              </w:r>
            </w:hyperlink>
          </w:p>
        </w:tc>
        <w:tc>
          <w:tcPr>
            <w:tcW w:w="120" w:type="dxa"/>
            <w:vAlign w:val="bottom"/>
            <w:gridSpan w:val="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9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Report on Form 8-K filed with the SEC on November</w:t>
              </w:r>
            </w:hyperlink>
          </w:p>
        </w:tc>
        <w:tc>
          <w:tcPr>
            <w:tcW w:w="160" w:type="dxa"/>
            <w:vAlign w:val="bottom"/>
            <w:gridSpan w:val="6"/>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960" w:type="dxa"/>
            <w:vAlign w:val="bottom"/>
            <w:gridSpan w:val="2"/>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96">
              <w:r>
                <w:rPr>
                  <w:rFonts w:ascii="Times New Roman" w:cs="Times New Roman" w:eastAsia="Times New Roman" w:hAnsi="Times New Roman"/>
                  <w:sz w:val="18"/>
                  <w:szCs w:val="18"/>
                  <w:color w:val="0000EE"/>
                  <w:w w:val="98"/>
                </w:rPr>
                <w:t>19, 2024)</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8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Shareholder’s Agreement, dated as of November 18,</w:t>
              </w:r>
            </w:hyperlink>
          </w:p>
        </w:tc>
        <w:tc>
          <w:tcPr>
            <w:tcW w:w="260" w:type="dxa"/>
            <w:vAlign w:val="bottom"/>
            <w:gridSpan w:val="9"/>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7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2024, by and among the Company and the Sponsor</w:t>
              </w:r>
            </w:hyperlink>
          </w:p>
        </w:tc>
        <w:tc>
          <w:tcPr>
            <w:tcW w:w="340" w:type="dxa"/>
            <w:vAlign w:val="bottom"/>
            <w:gridSpan w:val="1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8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Members party thereto (incorporated by reference to</w:t>
              </w:r>
            </w:hyperlink>
          </w:p>
        </w:tc>
        <w:tc>
          <w:tcPr>
            <w:tcW w:w="220" w:type="dxa"/>
            <w:vAlign w:val="bottom"/>
            <w:gridSpan w:val="8"/>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0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Exhibit 10.3 to the Company’s Current Report on Form</w:t>
              </w:r>
            </w:hyperlink>
          </w:p>
        </w:tc>
        <w:tc>
          <w:tcPr>
            <w:tcW w:w="6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8-K filed with the SEC on November 19, 2024)</w:t>
              </w:r>
            </w:hyperlink>
          </w:p>
        </w:tc>
        <w:tc>
          <w:tcPr>
            <w:tcW w:w="660" w:type="dxa"/>
            <w:vAlign w:val="bottom"/>
            <w:gridSpan w:val="18"/>
          </w:tcPr>
          <w:p>
            <w:pPr>
              <w:spacing w:after="0"/>
              <w:rPr>
                <w:sz w:val="17"/>
                <w:szCs w:val="17"/>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10.4(3)</w:t>
            </w: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gridSpan w:val="29"/>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Amended and Restated Executive Severance Plan of</w:t>
              </w:r>
            </w:hyperlink>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AeroVironment, Inc. (incorporated by reference to</w:t>
              </w:r>
            </w:hyperlink>
          </w:p>
        </w:tc>
        <w:tc>
          <w:tcPr>
            <w:tcW w:w="120" w:type="dxa"/>
            <w:vAlign w:val="bottom"/>
            <w:tcBorders>
              <w:top w:val="single" w:sz="8" w:color="0000EE"/>
            </w:tcBorders>
            <w:gridSpan w:val="4"/>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gridSpan w:val="29"/>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Exhibit 10.3 to the Company’s Quarterly Report on</w:t>
              </w:r>
            </w:hyperlink>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gridSpan w:val="29"/>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10-Q filed with the SEC on December 5, 2024)</w:t>
              </w:r>
            </w:hyperlink>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10.5(3)</w:t>
            </w:r>
          </w:p>
        </w:tc>
        <w:tc>
          <w:tcPr>
            <w:tcW w:w="200" w:type="dxa"/>
            <w:vAlign w:val="bottom"/>
          </w:tcPr>
          <w:p>
            <w:pPr>
              <w:spacing w:after="0"/>
              <w:rPr>
                <w:sz w:val="17"/>
                <w:szCs w:val="17"/>
                <w:color w:val="auto"/>
              </w:rPr>
            </w:pPr>
          </w:p>
        </w:tc>
        <w:tc>
          <w:tcPr>
            <w:tcW w:w="77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Executive Transaction Severance Plan of AeroVironment, Inc. (incorporated by reference to Exhibit 10.4 to</w:t>
              </w:r>
            </w:hyperlink>
          </w:p>
        </w:tc>
        <w:tc>
          <w:tcPr>
            <w:tcW w:w="10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60" w:type="dxa"/>
            <w:vAlign w:val="bottom"/>
            <w:gridSpan w:val="30"/>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the Company’s Quarterly Report on Form 10-Q filed with the SEC on December 5, 2024)</w:t>
              </w:r>
            </w:hyperlink>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7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w:t>
            </w:r>
          </w:p>
        </w:tc>
        <w:tc>
          <w:tcPr>
            <w:tcW w:w="360" w:type="dxa"/>
            <w:vAlign w:val="bottom"/>
            <w:gridSpan w:val="1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7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and Rule 15d-14(a) of the Securities</w:t>
            </w:r>
          </w:p>
        </w:tc>
        <w:tc>
          <w:tcPr>
            <w:tcW w:w="340" w:type="dxa"/>
            <w:vAlign w:val="bottom"/>
            <w:gridSpan w:val="1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amended</w:t>
            </w:r>
            <w:r>
              <w:rPr>
                <w:rFonts w:ascii="Times New Roman" w:cs="Times New Roman" w:eastAsia="Times New Roman" w:hAnsi="Times New Roman"/>
                <w:sz w:val="18"/>
                <w:szCs w:val="18"/>
                <w:color w:val="000000"/>
              </w:rPr>
              <w:t>.</w:t>
            </w: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w:t>
            </w: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780" w:type="dxa"/>
            <w:vAlign w:val="bottom"/>
            <w:gridSpan w:val="10"/>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7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and Rule 15d-14(a) of the Securities</w:t>
            </w:r>
          </w:p>
        </w:tc>
        <w:tc>
          <w:tcPr>
            <w:tcW w:w="340" w:type="dxa"/>
            <w:vAlign w:val="bottom"/>
            <w:gridSpan w:val="1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amended</w:t>
            </w:r>
            <w:r>
              <w:rPr>
                <w:rFonts w:ascii="Times New Roman" w:cs="Times New Roman" w:eastAsia="Times New Roman" w:hAnsi="Times New Roman"/>
                <w:sz w:val="18"/>
                <w:szCs w:val="18"/>
                <w:color w:val="000000"/>
              </w:rPr>
              <w:t>.</w:t>
            </w: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32#</w:t>
            </w: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6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w:t>
            </w:r>
          </w:p>
        </w:tc>
        <w:tc>
          <w:tcPr>
            <w:tcW w:w="460" w:type="dxa"/>
            <w:vAlign w:val="bottom"/>
            <w:gridSpan w:val="16"/>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0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Officer pursuant to 18 U.S.C. Section 1350, as</w:t>
            </w:r>
          </w:p>
        </w:tc>
        <w:tc>
          <w:tcPr>
            <w:tcW w:w="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w:t>
            </w: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98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r>
              <w:rPr>
                <w:rFonts w:ascii="Times New Roman" w:cs="Times New Roman" w:eastAsia="Times New Roman" w:hAnsi="Times New Roman"/>
                <w:sz w:val="18"/>
                <w:szCs w:val="18"/>
                <w:color w:val="000000"/>
              </w:rPr>
              <w:t>.</w:t>
            </w:r>
          </w:p>
        </w:tc>
        <w:tc>
          <w:tcPr>
            <w:tcW w:w="120" w:type="dxa"/>
            <w:vAlign w:val="bottom"/>
            <w:gridSpan w:val="5"/>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240" w:type="dxa"/>
            <w:vAlign w:val="bottom"/>
            <w:gridSpan w:val="26"/>
          </w:tcPr>
          <w:p>
            <w:pPr>
              <w:spacing w:after="0" w:line="20" w:lineRule="exact"/>
              <w:rPr>
                <w:sz w:val="1"/>
                <w:szCs w:val="1"/>
                <w:color w:val="auto"/>
              </w:rPr>
            </w:pPr>
          </w:p>
        </w:tc>
      </w:tr>
      <w:tr>
        <w:trPr>
          <w:trHeight w:val="218"/>
        </w:trPr>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r>
      <w:tr>
        <w:trPr>
          <w:trHeight w:val="216"/>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Files because its</w:t>
            </w:r>
          </w:p>
        </w:tc>
      </w:tr>
      <w:tr>
        <w:trPr>
          <w:trHeight w:val="216"/>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r>
      <w:tr>
        <w:trPr>
          <w:trHeight w:val="216"/>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16"/>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16"/>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16"/>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16"/>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16"/>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216"/>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16"/>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r>
      <w:tr>
        <w:trPr>
          <w:trHeight w:val="234"/>
        </w:trPr>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1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r>
    </w:tbl>
    <w:p>
      <w:pPr>
        <w:spacing w:after="0" w:line="184" w:lineRule="exact"/>
        <w:rPr>
          <w:sz w:val="20"/>
          <w:szCs w:val="20"/>
          <w:color w:val="auto"/>
        </w:rPr>
      </w:pPr>
    </w:p>
    <w:p>
      <w:pPr>
        <w:ind w:left="360" w:right="399" w:hanging="316"/>
        <w:spacing w:after="0" w:line="226" w:lineRule="exact"/>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2.1 to the Company’s Current Report on Form 8-K filed November 19, 2024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ind w:left="360" w:right="319" w:hanging="316"/>
        <w:spacing w:after="0" w:line="216" w:lineRule="exact"/>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3.1 and Exhibit 3.2 to the Company’s Current Report on Form 8-K filed October 3, 2024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ind w:left="360" w:right="239" w:hanging="316"/>
        <w:spacing w:after="0" w:line="258"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December 5, 2024 (File No. 001-33261).</w:t>
      </w:r>
    </w:p>
    <w:p>
      <w:pPr>
        <w:spacing w:after="0" w:line="169" w:lineRule="exact"/>
        <w:rPr>
          <w:sz w:val="20"/>
          <w:szCs w:val="20"/>
          <w:color w:val="auto"/>
        </w:rPr>
      </w:pPr>
    </w:p>
    <w:p>
      <w:pPr>
        <w:ind w:left="360" w:right="79" w:hanging="316"/>
        <w:spacing w:after="0" w:line="258" w:lineRule="auto"/>
        <w:tabs>
          <w:tab w:leader="none" w:pos="3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ectPr>
          <w:pgSz w:w="11900" w:h="16838" w:orient="portrait"/>
          <w:cols w:equalWidth="0" w:num="1">
            <w:col w:w="9019"/>
          </w:cols>
          <w:pgMar w:left="1440" w:top="513" w:right="1440" w:bottom="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18"/>
          <w:szCs w:val="18"/>
          <w:color w:val="auto"/>
        </w:rPr>
        <w:t>Date: March 4, 2025</w:t>
      </w:r>
      <w:r>
        <w:rPr>
          <w:sz w:val="20"/>
          <w:szCs w:val="20"/>
          <w:color w:val="auto"/>
        </w:rPr>
        <w:tab/>
      </w:r>
      <w:r>
        <w:rPr>
          <w:rFonts w:ascii="Times New Roman" w:cs="Times New Roman" w:eastAsia="Times New Roman" w:hAnsi="Times New Roman"/>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Brian C. Shackley</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Wahid Nawabi, certify that:</w:t>
      </w:r>
    </w:p>
    <w:p>
      <w:pPr>
        <w:spacing w:after="0" w:line="225" w:lineRule="exact"/>
        <w:rPr>
          <w:sz w:val="20"/>
          <w:szCs w:val="20"/>
          <w:color w:val="auto"/>
        </w:rPr>
      </w:pPr>
    </w:p>
    <w:p>
      <w:pPr>
        <w:ind w:left="360" w:hanging="316"/>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4, 2025</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4" w:name="page65"/>
    <w:bookmarkEnd w:id="6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Kevin P. McDonnell, certify that:</w:t>
      </w:r>
    </w:p>
    <w:p>
      <w:pPr>
        <w:spacing w:after="0" w:line="225" w:lineRule="exact"/>
        <w:rPr>
          <w:sz w:val="20"/>
          <w:szCs w:val="20"/>
          <w:color w:val="auto"/>
        </w:rPr>
      </w:pPr>
    </w:p>
    <w:p>
      <w:pPr>
        <w:ind w:left="360" w:hanging="316"/>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4, 2025</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5" w:name="page66"/>
    <w:bookmarkEnd w:id="6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5" w:lineRule="exact"/>
        <w:rPr>
          <w:sz w:val="20"/>
          <w:szCs w:val="20"/>
          <w:color w:val="auto"/>
        </w:rPr>
      </w:pPr>
    </w:p>
    <w:p>
      <w:pPr>
        <w:jc w:val="both"/>
        <w:ind w:left="40" w:right="119" w:firstLine="48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76" w:lineRule="exact"/>
        <w:rPr>
          <w:sz w:val="20"/>
          <w:szCs w:val="20"/>
          <w:color w:val="auto"/>
        </w:rPr>
      </w:pPr>
    </w:p>
    <w:p>
      <w:pPr>
        <w:ind w:left="40" w:right="59" w:firstLine="486"/>
        <w:spacing w:after="0" w:line="255" w:lineRule="auto"/>
        <w:rPr>
          <w:sz w:val="20"/>
          <w:szCs w:val="20"/>
          <w:color w:val="auto"/>
        </w:rPr>
      </w:pPr>
      <w:r>
        <w:rPr>
          <w:rFonts w:ascii="Times New Roman" w:cs="Times New Roman" w:eastAsia="Times New Roman" w:hAnsi="Times New Roman"/>
          <w:sz w:val="18"/>
          <w:szCs w:val="18"/>
          <w:color w:val="auto"/>
        </w:rPr>
        <w:t>The Quarterly Report on Form 10-Q for the quarter ended January 25, 2025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March, 4 2025</w:t>
      </w:r>
    </w:p>
    <w:p>
      <w:pPr>
        <w:spacing w:after="0" w:line="225" w:lineRule="exact"/>
        <w:rPr>
          <w:sz w:val="20"/>
          <w:szCs w:val="20"/>
          <w:color w:val="auto"/>
        </w:rPr>
      </w:pPr>
    </w:p>
    <w:p>
      <w:pPr>
        <w:ind w:left="40" w:right="299" w:firstLine="486"/>
        <w:spacing w:after="0" w:line="25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347345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6"/>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92" Type="http://schemas.openxmlformats.org/officeDocument/2006/relationships/hyperlink" Target="https://www.sec.gov/Archives/edgar/data/1368622/000110465924120356/tm2428659d1_ex2-1.htm" TargetMode="External"/><Relationship Id="rId93" Type="http://schemas.openxmlformats.org/officeDocument/2006/relationships/hyperlink" Target="https://www.sec.gov/Archives/edgar/data/1368622/000095015007000008/a28119exv3w1.htm" TargetMode="External"/><Relationship Id="rId94" Type="http://schemas.openxmlformats.org/officeDocument/2006/relationships/hyperlink" Target="https://www.sec.gov/Archives/edgar/data/1368622/000110465924105632/tm2425465d1_ex3-2.htm" TargetMode="External"/><Relationship Id="rId95" Type="http://schemas.openxmlformats.org/officeDocument/2006/relationships/hyperlink" Target="https://www.sec.gov/Archives/edgar/data/1368622/000110465924120356/tm2428659d1_ex10-1.htm" TargetMode="External"/><Relationship Id="rId96" Type="http://schemas.openxmlformats.org/officeDocument/2006/relationships/hyperlink" Target="https://www.sec.gov/Archives/edgar/data/1368622/000110465924120356/tm2428659d1_ex10-2.htm" TargetMode="External"/><Relationship Id="rId97" Type="http://schemas.openxmlformats.org/officeDocument/2006/relationships/hyperlink" Target="https://www.sec.gov/Archives/edgar/data/1368622/000110465924120356/tm2428659d1_ex10-3.htm" TargetMode="External"/><Relationship Id="rId98" Type="http://schemas.openxmlformats.org/officeDocument/2006/relationships/hyperlink" Target="https://www.sec.gov/Archives/edgar/data/1368622/000155837024016018/avav-20241026xex10d3.htm" TargetMode="External"/><Relationship Id="rId99" Type="http://schemas.openxmlformats.org/officeDocument/2006/relationships/hyperlink" Target="https://www.sec.gov/Archives/edgar/data/1368622/000155837024016018/avav-20241026x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2025-03-05T05:16:35Z</dcterms:created>
  <dcterms:modified xsi:type="dcterms:W3CDTF">2025-03-05T05:16:35Z</dcterms:modified>
</cp:coreProperties>
</file>