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
        <w:spacing w:after="0"/>
        <w:rPr>
          <w:sz w:val="20"/>
          <w:szCs w:val="20"/>
          <w:color w:val="auto"/>
        </w:rPr>
      </w:pPr>
      <w:r>
        <w:rPr>
          <w:rFonts w:ascii="Calibri" w:cs="Calibri" w:eastAsia="Calibri" w:hAnsi="Calibri"/>
          <w:sz w:val="11"/>
          <w:szCs w:val="11"/>
          <w:color w:val="003366"/>
        </w:rPr>
        <w:t>TABLE OF CONTENTS</w:t>
      </w:r>
    </w:p>
    <w:p>
      <w:pPr>
        <w:spacing w:after="0" w:line="365" w:lineRule="exact"/>
        <w:rPr>
          <w:sz w:val="24"/>
          <w:szCs w:val="24"/>
          <w:color w:val="auto"/>
        </w:rPr>
      </w:pPr>
    </w:p>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 Filed Pursuant to Rule 424(b)(5)​</w:t>
      </w:r>
    </w:p>
    <w:p>
      <w:pPr>
        <w:jc w:val="right"/>
        <w:ind w:right="739"/>
        <w:spacing w:after="0" w:line="216" w:lineRule="auto"/>
        <w:rPr>
          <w:sz w:val="20"/>
          <w:szCs w:val="20"/>
          <w:color w:val="auto"/>
        </w:rPr>
      </w:pPr>
      <w:r>
        <w:rPr>
          <w:rFonts w:ascii="Times New Roman" w:cs="Times New Roman" w:eastAsia="Times New Roman" w:hAnsi="Times New Roman"/>
          <w:sz w:val="14"/>
          <w:szCs w:val="14"/>
          <w:b w:val="1"/>
          <w:bCs w:val="1"/>
          <w:color w:val="auto"/>
        </w:rPr>
        <w:t> Registration No. 333-288424​</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(To Prospectus dated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2121535</wp:posOffset>
            </wp:positionH>
            <wp:positionV relativeFrom="paragraph">
              <wp:posOffset>55880</wp:posOffset>
            </wp:positionV>
            <wp:extent cx="1477645" cy="607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7645" cy="607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AeroVironment, Inc.</w:t>
      </w:r>
    </w:p>
    <w:p>
      <w:pPr>
        <w:spacing w:after="0" w:line="5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3,528,226 Shares</w:t>
      </w:r>
    </w:p>
    <w:p>
      <w:pPr>
        <w:spacing w:after="0" w:line="6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80010</wp:posOffset>
            </wp:positionV>
            <wp:extent cx="9499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195"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We are offering 3,528,226 shares of our common stock.</w:t>
      </w:r>
    </w:p>
    <w:p>
      <w:pPr>
        <w:spacing w:after="0" w:line="47" w:lineRule="exact"/>
        <w:rPr>
          <w:sz w:val="24"/>
          <w:szCs w:val="24"/>
          <w:color w:val="auto"/>
        </w:rPr>
      </w:pPr>
    </w:p>
    <w:p>
      <w:pPr>
        <w:ind w:left="760" w:right="919" w:firstLine="277"/>
        <w:spacing w:after="0" w:line="239" w:lineRule="auto"/>
        <w:rPr>
          <w:sz w:val="20"/>
          <w:szCs w:val="20"/>
          <w:color w:val="auto"/>
        </w:rPr>
      </w:pPr>
      <w:r>
        <w:rPr>
          <w:rFonts w:ascii="Times New Roman" w:cs="Times New Roman" w:eastAsia="Times New Roman" w:hAnsi="Times New Roman"/>
          <w:sz w:val="14"/>
          <w:szCs w:val="14"/>
          <w:color w:val="auto"/>
        </w:rPr>
        <w:t>In addition, we have granted the underwriters an option to purchase, in whole or in part, for a period of 30 days from the date of this prospectus supplement up to 529,234 of additional shares of our common stock at the public offering price less the underwriting discount.</w:t>
      </w:r>
    </w:p>
    <w:p>
      <w:pPr>
        <w:spacing w:after="0" w:line="28" w:lineRule="exact"/>
        <w:rPr>
          <w:sz w:val="24"/>
          <w:szCs w:val="24"/>
          <w:color w:val="auto"/>
        </w:rPr>
      </w:pPr>
    </w:p>
    <w:p>
      <w:pPr>
        <w:ind w:left="760" w:right="919" w:firstLine="277"/>
        <w:spacing w:after="0" w:line="262"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“AVAV.” On July 1, 2025, the last reported sale price of our common stock was $252.40 per share.</w:t>
      </w:r>
    </w:p>
    <w:p>
      <w:pPr>
        <w:spacing w:after="0" w:line="12" w:lineRule="exact"/>
        <w:rPr>
          <w:sz w:val="24"/>
          <w:szCs w:val="24"/>
          <w:color w:val="auto"/>
        </w:rPr>
      </w:pPr>
    </w:p>
    <w:p>
      <w:pPr>
        <w:ind w:left="760" w:right="779" w:firstLine="277"/>
        <w:spacing w:after="0" w:line="229" w:lineRule="auto"/>
        <w:rPr>
          <w:sz w:val="20"/>
          <w:szCs w:val="20"/>
          <w:color w:val="auto"/>
        </w:rPr>
      </w:pPr>
      <w:r>
        <w:rPr>
          <w:rFonts w:ascii="Times New Roman" w:cs="Times New Roman" w:eastAsia="Times New Roman" w:hAnsi="Times New Roman"/>
          <w:sz w:val="14"/>
          <w:szCs w:val="14"/>
          <w:color w:val="auto"/>
        </w:rPr>
        <w:t>Concurrently with this offering, we are conducting a public offering of $650,000,000 aggregate principal amount of our 0% Convertible Senior Notes due 2030 (the “convertible notes”) (or up to $747,500,000 aggregate principal amount if the underwriters in the Concurrent Convertible Notes Offering exercise in full their over-allotment option) (the “Concurrent Convertible Notes Offering”) . Neither this offering nor the Concurrent Convertible Notes Offering is conditioned upon the completion of the other, so it is possible that this offering occurs and the Concurrent Convertible Notes Offering does not occur, or vice versa. We cannot assure you that the Concurrent Convertible Notes Offering will be completed on the terms described herein, on significantly different terms or at all. The Concurrent Convertible Notes Offering is being made pursuant to a separate prospectus supplement and nothing contained herein shall constitute an offer to sell or the solicitation of an offer to buy the convertible notes to be issued in the Concurrent Convertible Notes Offering. See “Prospectus Supplement Summary — Recent Developments,” “Use of Proceeds” and “Description of the Concurrent Convertible Notes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82550</wp:posOffset>
            </wp:positionV>
            <wp:extent cx="9499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17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 xml:space="preserve">Investing in our common stock involves risks. See “Risk Factors” beginning on page </w:t>
      </w:r>
      <w:r>
        <w:rPr>
          <w:rFonts w:ascii="Times New Roman" w:cs="Times New Roman" w:eastAsia="Times New Roman" w:hAnsi="Times New Roman"/>
          <w:sz w:val="14"/>
          <w:szCs w:val="14"/>
          <w:u w:val="single" w:color="auto"/>
          <w:color w:val="0000EE"/>
        </w:rPr>
        <w:t>S-7</w:t>
      </w:r>
      <w:r>
        <w:rPr>
          <w:rFonts w:ascii="Times New Roman" w:cs="Times New Roman" w:eastAsia="Times New Roman" w:hAnsi="Times New Roman"/>
          <w:sz w:val="14"/>
          <w:szCs w:val="14"/>
          <w:color w:val="auto"/>
        </w:rPr>
        <w:t>.</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292"/>
        </w:trPr>
        <w:tc>
          <w:tcPr>
            <w:tcW w:w="4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100" w:type="dxa"/>
            <w:vAlign w:val="bottom"/>
            <w:gridSpan w:val="3"/>
          </w:tcPr>
          <w:p>
            <w:pPr>
              <w:ind w:left="140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Per Share </w:t>
            </w:r>
            <w:r>
              <w:rPr>
                <w:rFonts w:ascii="Times New Roman" w:cs="Times New Roman" w:eastAsia="Times New Roman" w:hAnsi="Times New Roman"/>
                <w:sz w:val="22"/>
                <w:szCs w:val="22"/>
                <w:b w:val="1"/>
                <w:bCs w:val="1"/>
                <w:color w:val="auto"/>
                <w:vertAlign w:val="subscript"/>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3"/>
                <w:szCs w:val="13"/>
                <w:b w:val="1"/>
                <w:bCs w:val="1"/>
                <w:color w:val="auto"/>
                <w:vertAlign w:val="superscript"/>
              </w:rPr>
              <w:t>(2)</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43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3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Price to public</w:t>
            </w:r>
          </w:p>
        </w:tc>
        <w:tc>
          <w:tcPr>
            <w:tcW w:w="2100" w:type="dxa"/>
            <w:vAlign w:val="bottom"/>
            <w:gridSpan w:val="3"/>
            <w:shd w:val="clear" w:color="auto" w:fill="CCEEFF"/>
          </w:tcPr>
          <w:p>
            <w:pPr>
              <w:ind w:left="1400"/>
              <w:spacing w:after="0" w:line="157" w:lineRule="exact"/>
              <w:rPr>
                <w:sz w:val="20"/>
                <w:szCs w:val="20"/>
                <w:color w:val="auto"/>
              </w:rPr>
            </w:pPr>
            <w:r>
              <w:rPr>
                <w:rFonts w:ascii="Times New Roman" w:cs="Times New Roman" w:eastAsia="Times New Roman" w:hAnsi="Times New Roman"/>
                <w:sz w:val="14"/>
                <w:szCs w:val="14"/>
                <w:color w:val="auto"/>
              </w:rPr>
              <w:t>​ ​​$248.00​​</w:t>
            </w:r>
          </w:p>
        </w:tc>
        <w:tc>
          <w:tcPr>
            <w:tcW w:w="1020" w:type="dxa"/>
            <w:vAlign w:val="bottom"/>
            <w:tcBorders>
              <w:left w:val="single" w:sz="8" w:color="CCEEFF"/>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​​$875,000,048.00​</w:t>
            </w:r>
          </w:p>
        </w:tc>
        <w:tc>
          <w:tcPr>
            <w:tcW w:w="40" w:type="dxa"/>
            <w:vAlign w:val="bottom"/>
          </w:tcPr>
          <w:p>
            <w:pPr>
              <w:spacing w:after="0"/>
              <w:rPr>
                <w:sz w:val="13"/>
                <w:szCs w:val="13"/>
                <w:color w:val="auto"/>
              </w:rPr>
            </w:pPr>
          </w:p>
        </w:tc>
      </w:tr>
      <w:tr>
        <w:trPr>
          <w:trHeight w:val="187"/>
        </w:trPr>
        <w:tc>
          <w:tcPr>
            <w:tcW w:w="4360" w:type="dxa"/>
            <w:vAlign w:val="bottom"/>
          </w:tcPr>
          <w:p>
            <w:pPr>
              <w:spacing w:after="0" w:line="187" w:lineRule="exact"/>
              <w:rPr>
                <w:sz w:val="20"/>
                <w:szCs w:val="20"/>
                <w:color w:val="auto"/>
              </w:rPr>
            </w:pPr>
            <w:r>
              <w:rPr>
                <w:rFonts w:ascii="Times New Roman" w:cs="Times New Roman" w:eastAsia="Times New Roman" w:hAnsi="Times New Roman"/>
                <w:sz w:val="14"/>
                <w:szCs w:val="14"/>
                <w:color w:val="auto"/>
              </w:rPr>
              <w:t>Underwriting discount</w:t>
            </w:r>
            <w:r>
              <w:rPr>
                <w:rFonts w:ascii="Times New Roman" w:cs="Times New Roman" w:eastAsia="Times New Roman" w:hAnsi="Times New Roman"/>
                <w:sz w:val="17"/>
                <w:szCs w:val="17"/>
                <w:color w:val="auto"/>
                <w:vertAlign w:val="superscript"/>
              </w:rPr>
              <w:t>(1)</w:t>
            </w:r>
          </w:p>
        </w:tc>
        <w:tc>
          <w:tcPr>
            <w:tcW w:w="2100" w:type="dxa"/>
            <w:vAlign w:val="bottom"/>
            <w:gridSpan w:val="3"/>
          </w:tcPr>
          <w:p>
            <w:pPr>
              <w:ind w:left="1400"/>
              <w:spacing w:after="0"/>
              <w:rPr>
                <w:sz w:val="20"/>
                <w:szCs w:val="20"/>
                <w:color w:val="auto"/>
              </w:rPr>
            </w:pPr>
            <w:r>
              <w:rPr>
                <w:rFonts w:ascii="Times New Roman" w:cs="Times New Roman" w:eastAsia="Times New Roman" w:hAnsi="Times New Roman"/>
                <w:sz w:val="14"/>
                <w:szCs w:val="14"/>
                <w:color w:val="auto"/>
              </w:rPr>
              <w:t>​ ​​$  9.30​​</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32,812,501.80​</w:t>
            </w:r>
          </w:p>
        </w:tc>
      </w:tr>
      <w:tr>
        <w:trPr>
          <w:trHeight w:val="16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AeroVironment, Inc.</w:t>
            </w:r>
          </w:p>
        </w:tc>
        <w:tc>
          <w:tcPr>
            <w:tcW w:w="210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 ​​$238.70​​</w:t>
            </w:r>
          </w:p>
        </w:tc>
        <w:tc>
          <w:tcPr>
            <w:tcW w:w="10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​​$842,187,546.20​</w:t>
            </w:r>
          </w:p>
        </w:tc>
        <w:tc>
          <w:tcPr>
            <w:tcW w:w="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-467995</wp:posOffset>
            </wp:positionV>
            <wp:extent cx="9499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9960"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-335915</wp:posOffset>
            </wp:positionV>
            <wp:extent cx="41490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49090" cy="635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112395</wp:posOffset>
            </wp:positionV>
            <wp:extent cx="9499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54" w:lineRule="exact"/>
        <w:rPr>
          <w:sz w:val="24"/>
          <w:szCs w:val="24"/>
          <w:color w:val="auto"/>
        </w:rPr>
      </w:pPr>
    </w:p>
    <w:p>
      <w:pPr>
        <w:ind w:left="1040" w:hanging="285"/>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(Conflicts of Interest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for a description of compensation to the underwriters.</w:t>
      </w:r>
    </w:p>
    <w:p>
      <w:pPr>
        <w:spacing w:after="0" w:line="69" w:lineRule="exact"/>
        <w:rPr>
          <w:rFonts w:ascii="Times New Roman" w:cs="Times New Roman" w:eastAsia="Times New Roman" w:hAnsi="Times New Roman"/>
          <w:sz w:val="14"/>
          <w:szCs w:val="14"/>
          <w:color w:val="auto"/>
        </w:rPr>
      </w:pPr>
    </w:p>
    <w:p>
      <w:pPr>
        <w:ind w:left="1040" w:hanging="285"/>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exercise of the underwriters’ option to purchase additional shares.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w:t>
      </w:r>
    </w:p>
    <w:p>
      <w:pPr>
        <w:spacing w:after="0" w:line="13" w:lineRule="exact"/>
        <w:rPr>
          <w:sz w:val="24"/>
          <w:szCs w:val="24"/>
          <w:color w:val="auto"/>
        </w:rPr>
      </w:pPr>
    </w:p>
    <w:p>
      <w:pPr>
        <w:ind w:left="760" w:right="779"/>
        <w:spacing w:after="0" w:line="231" w:lineRule="auto"/>
        <w:rPr>
          <w:sz w:val="20"/>
          <w:szCs w:val="20"/>
          <w:color w:val="auto"/>
        </w:rPr>
      </w:pPr>
      <w:r>
        <w:rPr>
          <w:rFonts w:ascii="Times New Roman" w:cs="Times New Roman" w:eastAsia="Times New Roman" w:hAnsi="Times New Roman"/>
          <w:sz w:val="14"/>
          <w:szCs w:val="14"/>
          <w:b w:val="1"/>
          <w:bCs w:val="1"/>
          <w:color w:val="auto"/>
        </w:rPr>
        <w:t>securities or determined if this prospectus supplement or the accompanying prospectus is truthful or complete. Any representation to the contrary is a criminal offense.</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We expect that delivery of the shares of our common stock will be made on or about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98425</wp:posOffset>
            </wp:positionV>
            <wp:extent cx="94996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Lead Book-Running Managers</w:t>
      </w:r>
    </w:p>
    <w:p>
      <w:pPr>
        <w:spacing w:after="0" w:line="6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​J.P. Morgan</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 ​</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BofA Securities​</w:t>
            </w:r>
          </w:p>
        </w:tc>
      </w:tr>
      <w:tr>
        <w:trPr>
          <w:trHeight w:val="200"/>
        </w:trPr>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0"/>
        </w:trPr>
        <w:tc>
          <w:tcPr>
            <w:tcW w:w="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2"/>
              </w:rPr>
              <w:t>Raymond​</w:t>
            </w:r>
          </w:p>
        </w:tc>
        <w:tc>
          <w:tcPr>
            <w:tcW w:w="7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James  ​</w:t>
            </w: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  RBC Capital Markets   ​</w:t>
            </w:r>
          </w:p>
        </w:tc>
        <w:tc>
          <w:tcPr>
            <w:tcW w:w="12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  William Blair</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  Baird  ​</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BNP PARIBAS​</w:t>
            </w: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Co Managers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3"/>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BTIG​</w:t>
            </w:r>
          </w:p>
        </w:tc>
        <w:tc>
          <w:tcPr>
            <w:tcW w:w="760" w:type="dxa"/>
            <w:vAlign w:val="bottom"/>
          </w:tcPr>
          <w:p>
            <w:pPr>
              <w:spacing w:after="0"/>
              <w:rPr>
                <w:sz w:val="16"/>
                <w:szCs w:val="16"/>
                <w:color w:val="auto"/>
              </w:rPr>
            </w:pPr>
          </w:p>
        </w:tc>
        <w:tc>
          <w:tcPr>
            <w:tcW w:w="1200" w:type="dxa"/>
            <w:vAlign w:val="bottom"/>
          </w:tcPr>
          <w:p>
            <w:pPr>
              <w:jc w:val="center"/>
              <w:ind w:left="692"/>
              <w:spacing w:after="0"/>
              <w:rPr>
                <w:sz w:val="20"/>
                <w:szCs w:val="20"/>
                <w:color w:val="auto"/>
              </w:rPr>
            </w:pPr>
            <w:r>
              <w:rPr>
                <w:rFonts w:ascii="Times New Roman" w:cs="Times New Roman" w:eastAsia="Times New Roman" w:hAnsi="Times New Roman"/>
                <w:sz w:val="12"/>
                <w:szCs w:val="12"/>
                <w:b w:val="1"/>
                <w:bCs w:val="1"/>
                <w:color w:val="auto"/>
              </w:rPr>
              <w:t>​ ​</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Citizens Capital Markets</w:t>
            </w:r>
          </w:p>
        </w:tc>
        <w:tc>
          <w:tcPr>
            <w:tcW w:w="14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BMO Capital Markets​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88265</wp:posOffset>
            </wp:positionV>
            <wp:extent cx="9499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supplement is July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wp:posOffset>
            </wp:positionH>
            <wp:positionV relativeFrom="paragraph">
              <wp:posOffset>184785</wp:posOffset>
            </wp:positionV>
            <wp:extent cx="526288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sectPr>
      </w:pPr>
    </w:p>
    <w:bookmarkStart w:id="1" w:name="page2"/>
    <w:bookmarkEnd w:id="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PRESENTATION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-85725</wp:posOffset>
            </wp:positionV>
            <wp:extent cx="4010660" cy="92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10660" cy="9207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SPECIAL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ABOUT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-9525</wp:posOffset>
            </wp:positionV>
            <wp:extent cx="4010660" cy="151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PROSPECTUS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SUPPLEMENT SUMMARY</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SUMMARY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FINANCIAL AND OTHER INFORMATION</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CAPITALIZATION</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THE CONCURRENT CONVERTIBLE NOTES OFFERING</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UNDERWRITING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12700</wp:posOffset>
            </wp:positionV>
            <wp:extent cx="4010660" cy="132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10660" cy="132080"/>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CERTAIN DOCUMENTS BY REFERENCE</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-85725</wp:posOffset>
            </wp:positionV>
            <wp:extent cx="4010660" cy="92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10660" cy="9207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SPECIAL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NOTICE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-9525</wp:posOffset>
            </wp:positionV>
            <wp:extent cx="4010660"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 INCORPORATION BY REFERENCE</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OTHER SECURITIES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S-iii</w:t>
      </w:r>
      <w:r>
        <w:rPr>
          <w:rFonts w:ascii="Times New Roman" w:cs="Times New Roman" w:eastAsia="Times New Roman" w:hAnsi="Times New Roman"/>
          <w:sz w:val="14"/>
          <w:szCs w:val="14"/>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S-iv</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S-12</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S-13</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S-25</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S-25</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S-26</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1"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w:t>
      </w:r>
    </w:p>
    <w:p>
      <w:pPr>
        <w:sectPr>
          <w:pgSz w:w="11900" w:h="16838" w:orient="portrait"/>
          <w:cols w:equalWidth="0" w:num="2">
            <w:col w:w="6700" w:space="560"/>
            <w:col w:w="1759"/>
          </w:cols>
          <w:pgMar w:left="1440" w:top="104" w:right="1440" w:bottom="1440" w:gutter="0" w:footer="0" w:header="0"/>
        </w:sectPr>
      </w:pPr>
    </w:p>
    <w:bookmarkStart w:id="2" w:name="page3"/>
    <w:bookmarkEnd w:id="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filed with the U.S. Securities and Exchange Commission (the “SEC”) as a “well-known seasoned issuer” as defined in Rule 405 under the Securities Act of 1933, as amended, using a “shelf” registration process. This document consists of two parts. The first part is this prospectus supplement, which describes the specific terms of this offering. The second part is the accompanying prospectus, which describes more general information, some of which may not apply to this offering. If there is any inconsistency between the information in the accompanying prospectus and this prospectus supplement, you should rely on this prospectus supplement. Before purchasing any securities, you should carefully read both this prospectus supplement and the accompanying prospectus, together with the documents incorporated by reference and the additional information described under the heading “</w:t>
      </w:r>
      <w:r>
        <w:rPr>
          <w:rFonts w:ascii="Times New Roman" w:cs="Times New Roman" w:eastAsia="Times New Roman" w:hAnsi="Times New Roman"/>
          <w:sz w:val="14"/>
          <w:szCs w:val="14"/>
          <w:i w:val="1"/>
          <w:iCs w:val="1"/>
          <w:color w:val="auto"/>
        </w:rPr>
        <w:t>Incorporation of Certain Documents by Reference</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We have not, and the underwriters have not, authorized anyone to provide you with any information or to make any representations other than those contained in this prospectus supplement, the accompanying prospectus or any related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supplement and the accompanying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supplement incorporates by reference, and any related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the accompanying prospectus or any applicable free writing prospectus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this prospectus supplement, the accompanying prospectus and any applicable free writing prospectus, and under similar headings in other documents that are incorporated by reference into this prospectus supplement. Accordingly, investors should not place undue reliance on this information.</w:t>
      </w:r>
    </w:p>
    <w:p>
      <w:pPr>
        <w:spacing w:after="0" w:line="264" w:lineRule="exact"/>
        <w:rPr>
          <w:sz w:val="20"/>
          <w:szCs w:val="20"/>
          <w:color w:val="auto"/>
        </w:rPr>
      </w:pPr>
    </w:p>
    <w:p>
      <w:pPr>
        <w:ind w:left="1340" w:right="1499" w:firstLine="277"/>
        <w:spacing w:after="0" w:line="256" w:lineRule="auto"/>
        <w:rPr>
          <w:sz w:val="20"/>
          <w:szCs w:val="20"/>
          <w:color w:val="auto"/>
        </w:rPr>
      </w:pPr>
      <w:r>
        <w:rPr>
          <w:rFonts w:ascii="Times New Roman" w:cs="Times New Roman" w:eastAsia="Times New Roman" w:hAnsi="Times New Roman"/>
          <w:sz w:val="14"/>
          <w:szCs w:val="14"/>
          <w:color w:val="auto"/>
        </w:rPr>
        <w:t>This prospectus supplement, the accompanying prospectus, any related free writing prospectus issued by us (which we refer to as a “company free writing prospectus”) and the documents incorporated by reference in this prospectus supplement and the accompanying prospectus, or to which we have referred you, contain and incorporate by reference information that you should consider when making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PRESENTATION OF INFORMATION</w:t>
      </w:r>
    </w:p>
    <w:p>
      <w:pPr>
        <w:spacing w:after="0" w:line="122"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In this prospectus supplement, all references to “we,” “us,” “our,” the “Company” or “AeroVironment” or similar designations refer to AeroVironment, Inc. and its consolidated subsidiaries, unless otherwise indicated or the context otherwise requires. All references to “BlueHalo” refer to BlueHalo Financing Topco, LLC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ABOUT FORWARD-LOOKING STATEMENTS</w:t>
      </w:r>
    </w:p>
    <w:p>
      <w:pPr>
        <w:spacing w:after="0" w:line="122"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Certain of the statements contained in this prospectus supplement, the accompanying prospectus, the documents incorporated by reference into this prospectus supplement and the accompanying prospectus or any related free writing prospectus, the documents incorporated by reference herein and therein and other materials filed or to be filed with the SEC represent our expectations or beliefs concerning future events and should be considered “forward-looking statements” within the meaning of the Securities Act, the Securities Exchange Act of 1934, as amended (the “Exchange Act”), and the Private Securities Litigation Reform Act of 1995. These forward-looking statements may be identified by words such as “may,” “will,” “expect,” “intend,” “anticipate,” “believe,” “estimate,” “plan,” “predict,” “project,” “could,” “should,” “would,” “continue,” “seek,” “target,” “guidance,” “outlook,” and other similar expressions or the negative of such words or expressions. Such statements include, but are not limited to, (i) our expected future financial position, results of operations, cash flows, financing plans, business strategy, budgets, capital expenditures, competitive positions, growth opportunities, employment opportunities and mobility, plans and objectives of management and (ii) the expected benefits of the BlueHalo Merger (as defined below), including with respect to the business outlook or future economic performance, anticipated profitability, revenues, expenses or other financial items, and product or services line growth, together with other statements that are not historical facts, are forward-looking statements that are estimates reflecting management’s best judgment based upon currently available information.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w:t>
      </w:r>
    </w:p>
    <w:p>
      <w:pPr>
        <w:spacing w:after="0" w:line="67" w:lineRule="exact"/>
        <w:rPr>
          <w:sz w:val="20"/>
          <w:szCs w:val="20"/>
          <w:color w:val="auto"/>
        </w:rPr>
      </w:pPr>
    </w:p>
    <w:p>
      <w:pPr>
        <w:ind w:left="1760" w:right="157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discussed in our Annual Report on Form 10-K for the fiscal year ended April 30, 2025 under the sections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Part I, Item 1A;</w:t>
      </w:r>
    </w:p>
    <w:p>
      <w:pPr>
        <w:spacing w:after="0" w:line="52" w:lineRule="exact"/>
        <w:rPr>
          <w:rFonts w:ascii="Times New Roman" w:cs="Times New Roman" w:eastAsia="Times New Roman" w:hAnsi="Times New Roman"/>
          <w:sz w:val="14"/>
          <w:szCs w:val="14"/>
          <w:color w:val="auto"/>
        </w:rPr>
      </w:pPr>
    </w:p>
    <w:p>
      <w:pPr>
        <w:ind w:left="1760" w:right="135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ongoing integration of BlueHalo will be more difficult, time-consuming or expensive than anticipated;</w:t>
      </w:r>
    </w:p>
    <w:p>
      <w:pPr>
        <w:spacing w:after="0" w:line="42"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BlueHalo Merger will not provide the expected benefits, or that we will not be able to achieve the cost or revenue synergies anticipated;</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technical and marketing difficulties inherent in major research and product development efforts;</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U.S. government and allied government funding for defense procurement and research and development programs and the changes in the timing and/or amount of government spending;</w:t>
      </w:r>
    </w:p>
    <w:p>
      <w:pPr>
        <w:spacing w:after="0" w:line="52"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certain customers, including the U.S. government and allied foreign governments, for a significant portion of our revenues;</w:t>
      </w:r>
    </w:p>
    <w:p>
      <w:pPr>
        <w:spacing w:after="0" w:line="42" w:lineRule="exact"/>
        <w:rPr>
          <w:rFonts w:ascii="Times New Roman" w:cs="Times New Roman" w:eastAsia="Times New Roman" w:hAnsi="Times New Roman"/>
          <w:sz w:val="14"/>
          <w:szCs w:val="14"/>
          <w:color w:val="auto"/>
        </w:rPr>
      </w:pPr>
    </w:p>
    <w:p>
      <w:pPr>
        <w:ind w:left="1760" w:right="161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extensive regulatory requirements governing our contracts with the U.S. government and international customers and the results of any audit or investigation of our compliance therewith;</w:t>
      </w:r>
    </w:p>
    <w:p>
      <w:pPr>
        <w:spacing w:after="0" w:line="42" w:lineRule="exact"/>
        <w:rPr>
          <w:rFonts w:ascii="Times New Roman" w:cs="Times New Roman" w:eastAsia="Times New Roman" w:hAnsi="Times New Roman"/>
          <w:sz w:val="14"/>
          <w:szCs w:val="14"/>
          <w:color w:val="auto"/>
        </w:rPr>
      </w:pPr>
    </w:p>
    <w:p>
      <w:pPr>
        <w:ind w:left="1760" w:right="157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a market innovator, to create new market opportunities and/or to expand into new markets;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need for changes in our long-term strategy in response to future developments;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skilled employees;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significant operating expenses, including components and raw materials;</w:t>
      </w:r>
    </w:p>
    <w:p>
      <w:pPr>
        <w:spacing w:after="0" w:line="88" w:lineRule="exact"/>
        <w:rPr>
          <w:rFonts w:ascii="Times New Roman" w:cs="Times New Roman" w:eastAsia="Times New Roman" w:hAnsi="Times New Roman"/>
          <w:sz w:val="14"/>
          <w:szCs w:val="14"/>
          <w:color w:val="auto"/>
        </w:rPr>
      </w:pPr>
    </w:p>
    <w:p>
      <w:pPr>
        <w:ind w:left="1760" w:right="185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disruptions or threatened disruptions to our relationships with our distributors, suppliers, customers and employees, including shortages in components for our products;</w:t>
      </w:r>
    </w:p>
    <w:p>
      <w:pPr>
        <w:spacing w:after="0" w:line="42"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supply, demand and/or prices for our products and services and our ability to perform under existing contracts and obtain new contracts;</w:t>
      </w:r>
    </w:p>
    <w:p>
      <w:pPr>
        <w:spacing w:after="0" w:line="52"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including from firms that have substantially greater resources than we have and, in the uncrewed systems market, from lower-cost consumer drone manufacturers who may seek to enhance their systems’ capabilities over time;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359" w:hanging="137"/>
        <w:spacing w:after="0" w:line="27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and uncertainty of obtaining and conducting international business, including export compliance and other reporting and compliance requirements;</w:t>
      </w:r>
    </w:p>
    <w:p>
      <w:pPr>
        <w:spacing w:after="0" w:line="42" w:lineRule="exact"/>
        <w:rPr>
          <w:rFonts w:ascii="Times New Roman" w:cs="Times New Roman" w:eastAsia="Times New Roman" w:hAnsi="Times New Roman"/>
          <w:sz w:val="14"/>
          <w:szCs w:val="14"/>
          <w:color w:val="auto"/>
        </w:rPr>
      </w:pPr>
    </w:p>
    <w:p>
      <w:pPr>
        <w:ind w:left="1760" w:right="1779" w:hanging="137"/>
        <w:spacing w:after="0" w:line="27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potential security and cyber threats or the risk of unauthorized access to our, our customers’ and/or our suppliers’ information and systems;</w:t>
      </w:r>
    </w:p>
    <w:p>
      <w:pPr>
        <w:spacing w:after="0" w:line="42" w:lineRule="exact"/>
        <w:rPr>
          <w:rFonts w:ascii="Times New Roman" w:cs="Times New Roman" w:eastAsia="Times New Roman" w:hAnsi="Times New Roman"/>
          <w:sz w:val="14"/>
          <w:szCs w:val="14"/>
          <w:color w:val="auto"/>
        </w:rPr>
      </w:pPr>
    </w:p>
    <w:p>
      <w:pPr>
        <w:ind w:left="1760" w:right="1499" w:hanging="137"/>
        <w:spacing w:after="0" w:line="27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regulatory environment and the consequences to our financial position, business and reputation that could result from failing to comply with such regulatory requirements;</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and adapt to unexpected legal, regulatory and government budgetary changes, such as supply chain disruptions, public health crises, curtailments of trade, diversions of government resources to non-defense priorities, and other business restrictions affecting our ability to manufacture and sell our products and provide our services;</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results in legal proceedings; and</w:t>
      </w:r>
    </w:p>
    <w:p>
      <w:pPr>
        <w:spacing w:after="0" w:line="88"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conditions in the United States and elsewhere in the world, including the impact of inflation.</w:t>
      </w:r>
    </w:p>
    <w:p>
      <w:pPr>
        <w:spacing w:after="0" w:line="74"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All forward-looking statements in this prospectus supplement, the accompanying prospectus, the documents incorporated by reference into this prospectus supplement and the accompanying prospectus and other materials filed or to be filed with the SEC are based upon information available to us on the date of this prospectus supplement or such document. We caution that the foregoing list of factors is not exclusive. Other unknown or unpredictable factors also could have a material adverse effect on our business, financial condition, results of operations and prospects. Accordingly, readers should not place undue reliance on these forward-looking statements. The forward-looking statements speak only as of the date made and, other than as required by law, we do not undertake any obligation to update publicly or revise any of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0" w:lineRule="exact"/>
        <w:rPr>
          <w:sz w:val="20"/>
          <w:szCs w:val="20"/>
          <w:color w:val="auto"/>
        </w:rPr>
      </w:pPr>
    </w:p>
    <w:p>
      <w:pPr>
        <w:ind w:left="1360" w:right="1359" w:firstLine="277"/>
        <w:spacing w:after="0" w:line="243"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about us and this offering. This summary is not complete and does not contain all of the information that may be important to you. You should read carefully this prospectus supplement, the accompanying prospectus and any related company free writing prospectus, including the “Risk Factors” section, and the other documents that we refer to and incorporate by reference herein for a more complete understanding of us and this offering. In particular, we incorporate by reference important business and financial information in this prospectus supplement. See “Incorporation of Certain Documents by Reference” in this prospectus supplement.</w:t>
      </w:r>
    </w:p>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2" w:lineRule="exact"/>
        <w:rPr>
          <w:sz w:val="20"/>
          <w:szCs w:val="20"/>
          <w:color w:val="auto"/>
        </w:rPr>
      </w:pPr>
    </w:p>
    <w:p>
      <w:pPr>
        <w:ind w:left="1360" w:right="1359" w:firstLine="277"/>
        <w:spacing w:after="0" w:line="242" w:lineRule="auto"/>
        <w:rPr>
          <w:sz w:val="20"/>
          <w:szCs w:val="20"/>
          <w:color w:val="auto"/>
        </w:rPr>
      </w:pPr>
      <w:r>
        <w:rPr>
          <w:rFonts w:ascii="Times New Roman" w:cs="Times New Roman" w:eastAsia="Times New Roman" w:hAnsi="Times New Roman"/>
          <w:sz w:val="14"/>
          <w:szCs w:val="14"/>
          <w:color w:val="auto"/>
        </w:rPr>
        <w:t>We are a defense technology provider delivering integrated capabilities across air, land, sea, space, and cyber. We develop and deploy autonomous systems, precision strike systems, counter-uncrewed aircraft systems technologies, space-based platforms, directed energy systems, and cyber and electronic warfare capabilities. We operate a national manufacturing footprint to deliver proven systems and capabilities whose markets offer the potential for significant long-term growth. In addition, we believe that some of the innovative potential products, services and technologies in our research and development pipeline will emerge as new growth platforms in the future, creating additional market opportunities.</w:t>
      </w:r>
    </w:p>
    <w:p>
      <w:pPr>
        <w:spacing w:after="0" w:line="90" w:lineRule="exact"/>
        <w:rPr>
          <w:sz w:val="20"/>
          <w:szCs w:val="20"/>
          <w:color w:val="auto"/>
        </w:rPr>
      </w:pPr>
    </w:p>
    <w:p>
      <w:pPr>
        <w:ind w:left="1360" w:right="1339" w:firstLine="277"/>
        <w:spacing w:after="0" w:line="244" w:lineRule="auto"/>
        <w:rPr>
          <w:sz w:val="20"/>
          <w:szCs w:val="20"/>
          <w:color w:val="auto"/>
        </w:rPr>
      </w:pPr>
      <w:r>
        <w:rPr>
          <w:rFonts w:ascii="Times New Roman" w:cs="Times New Roman" w:eastAsia="Times New Roman" w:hAnsi="Times New Roman"/>
          <w:sz w:val="14"/>
          <w:szCs w:val="14"/>
          <w:color w:val="auto"/>
        </w:rPr>
        <w:t>We were originally incorporated in California in July 1971 and reincorporated in Delaware in 2006, and our common stock is listed and traded on the Nasdaq under the ticker symbol “AVAV.” Our principal executive office is located at 241 18th Street South, Suite 650, Arlington, Virginia 22202. Our telephone number is (703) 418-2828 and our website is www.avinc.com. Information contained on our website is not and should not be deemed a part of this prospectus supplement, accompanying prospectus or any report or filing filed with or furnished to the SEC.</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BlueHalo Merger</w:t>
      </w:r>
    </w:p>
    <w:p>
      <w:pPr>
        <w:spacing w:after="0" w:line="122" w:lineRule="exact"/>
        <w:rPr>
          <w:sz w:val="20"/>
          <w:szCs w:val="20"/>
          <w:color w:val="auto"/>
        </w:rPr>
      </w:pPr>
    </w:p>
    <w:p>
      <w:pPr>
        <w:ind w:left="1360" w:right="1359" w:firstLine="277"/>
        <w:spacing w:after="0"/>
        <w:rPr>
          <w:sz w:val="20"/>
          <w:szCs w:val="20"/>
          <w:color w:val="auto"/>
        </w:rPr>
      </w:pPr>
      <w:r>
        <w:rPr>
          <w:rFonts w:ascii="Times New Roman" w:cs="Times New Roman" w:eastAsia="Times New Roman" w:hAnsi="Times New Roman"/>
          <w:sz w:val="14"/>
          <w:szCs w:val="14"/>
          <w:color w:val="auto"/>
        </w:rPr>
        <w:t>On November 18, 2024, AeroVironment, Archangel Merger Sub, LLC, a Delaware limited liability company and a direct wholly owned subsidiary of AeroVironment (“Merger Sub”), BlueHalo Financing Topco, LLC, a Delaware limited liability company (“BlueHalo”), and BlueHalo Holdings Parent, LLC, a Delaware limited liability company and sole member of BlueHalo Financing Topco, LLC (“Seller”), entered into an Agreement and Plan of Merger (the “Merger Agreement”). Pursuant to the terms of the Merger Agreement, on May 1, 2025, Merger Sub merged with and into BlueHalo, with BlueHalo continuing as our wholly owned subsidiary and the surviving company of the merger (the “BlueHalo Merger”). We issued an aggregate of 17,425,849 shares of our common stock to the former unitholders of BlueHalo as consideration for the BlueHalo Merger, and also drew an aggregate of $925.0 million of debt under a term loan entered in connection with the BlueHalo Merger (the “New Term Loan”) and our revolving credit facility (the “Revolving Credit Facility”) in order to settle the existing indebtedness of BlueHalo as well as transaction expenses.</w:t>
      </w:r>
    </w:p>
    <w:p>
      <w:pPr>
        <w:spacing w:after="0" w:line="245" w:lineRule="exact"/>
        <w:rPr>
          <w:sz w:val="20"/>
          <w:szCs w:val="20"/>
          <w:color w:val="auto"/>
        </w:rPr>
      </w:pPr>
    </w:p>
    <w:p>
      <w:pPr>
        <w:ind w:left="1360" w:right="1379" w:firstLine="277"/>
        <w:spacing w:after="0" w:line="247" w:lineRule="auto"/>
        <w:rPr>
          <w:sz w:val="20"/>
          <w:szCs w:val="20"/>
          <w:color w:val="auto"/>
        </w:rPr>
      </w:pPr>
      <w:r>
        <w:rPr>
          <w:rFonts w:ascii="Times New Roman" w:cs="Times New Roman" w:eastAsia="Times New Roman" w:hAnsi="Times New Roman"/>
          <w:sz w:val="14"/>
          <w:szCs w:val="14"/>
          <w:color w:val="auto"/>
        </w:rPr>
        <w:t>We believe the enhanced global scale and footprint of the combined company will allow us to expand into new markets in the defense industry, enhance our scale, customer and contract diversity and capital resources and enhance our proprietary capabilities in high-growth missions in the defense industry. We also expect that we will be able to better serve our legacy customers and BlueHalo’s customers in critical growth markets while providing cost-saving opportunities to current and potential customers.</w:t>
      </w:r>
    </w:p>
    <w:p>
      <w:pPr>
        <w:spacing w:after="0" w:line="86" w:lineRule="exact"/>
        <w:rPr>
          <w:sz w:val="20"/>
          <w:szCs w:val="20"/>
          <w:color w:val="auto"/>
        </w:rPr>
      </w:pPr>
    </w:p>
    <w:p>
      <w:pPr>
        <w:ind w:left="1360" w:right="1379" w:firstLine="277"/>
        <w:spacing w:after="0" w:line="241" w:lineRule="auto"/>
        <w:rPr>
          <w:sz w:val="20"/>
          <w:szCs w:val="20"/>
          <w:color w:val="auto"/>
        </w:rPr>
      </w:pPr>
      <w:r>
        <w:rPr>
          <w:rFonts w:ascii="Times New Roman" w:cs="Times New Roman" w:eastAsia="Times New Roman" w:hAnsi="Times New Roman"/>
          <w:sz w:val="14"/>
          <w:szCs w:val="14"/>
          <w:color w:val="auto"/>
        </w:rPr>
        <w:t>Concurrently with the execution of the Merger Agreement, Seller, certain members of the Seller and Seller sponsor members affiliated with Arlington Capital Partners entered into joinder and lock-up agreements (the “joinder and lock-up agreements”) pursuant to which all of the shares of our common stock issued as consideration in the BlueHalo Merger are subject to certain lock- up restrictions on the transfer of such shares of our common stock. Of such shares, 40% will be released on May 1, 2026, 30% will be released on November 1, 2026, and the remaining shares will be released on May 1, 2027 (such lock-up, the “BlueHalo Lock-up” and such period, the “BlueHalo Lock-up Period”). During the BlueHalo Lock-up Period, transfers are permitted under specific conditions, including gifts, estate planning, transfers to trusts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60" w:right="1359"/>
        <w:spacing w:after="0" w:line="260" w:lineRule="auto"/>
        <w:rPr>
          <w:sz w:val="20"/>
          <w:szCs w:val="20"/>
          <w:color w:val="auto"/>
        </w:rPr>
      </w:pPr>
      <w:r>
        <w:rPr>
          <w:rFonts w:ascii="Times New Roman" w:cs="Times New Roman" w:eastAsia="Times New Roman" w:hAnsi="Times New Roman"/>
          <w:sz w:val="14"/>
          <w:szCs w:val="14"/>
          <w:color w:val="auto"/>
        </w:rPr>
        <w:t>or affiliates, pledges as collateral, and certain legal or corporate transactions, provided the transferee agrees to adhere to the terms of the joinder and lock-up agreements. The joinder and lock-up agreements will terminate upon the earliest of (i) the end of the BlueHalo Lock-up Period or (ii) mutual written agreement of the parties.</w:t>
      </w:r>
    </w:p>
    <w:p>
      <w:pPr>
        <w:spacing w:after="0" w:line="3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Concurrent Convertible Notes Offering</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Concurrently with this offering, we are conducting a public offering of $650,000,000 aggregate</w:t>
      </w:r>
    </w:p>
    <w:p>
      <w:pPr>
        <w:spacing w:after="0" w:line="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principal amount of our 0% Convertible Senior Notes due 2030 (the “convertible notes”) (or up to</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$747,500,000 aggregate principal amount if the underwriters in the Concurrent Convertible Notes Offering</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exercise in full their over-allotment option) (the “Concurrent Convertible Notes Offering”). The Concurrent</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Convertible Notes Offering is being made pursuant to a separate prospectus supplement. Nothing contained</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herein shall constitute an offer to sell or the solicitation of an offer to buy the convertible notes in the</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Concurrent Convertible Notes Offering.</w:t>
      </w:r>
    </w:p>
    <w:p>
      <w:pPr>
        <w:spacing w:after="0" w:line="104" w:lineRule="exact"/>
        <w:rPr>
          <w:sz w:val="20"/>
          <w:szCs w:val="20"/>
          <w:color w:val="auto"/>
        </w:rPr>
      </w:pPr>
    </w:p>
    <w:p>
      <w:pPr>
        <w:ind w:left="1360" w:right="1359" w:firstLine="277"/>
        <w:spacing w:after="0" w:line="255" w:lineRule="auto"/>
        <w:rPr>
          <w:sz w:val="20"/>
          <w:szCs w:val="20"/>
          <w:color w:val="auto"/>
        </w:rPr>
      </w:pPr>
      <w:r>
        <w:rPr>
          <w:rFonts w:ascii="Times New Roman" w:cs="Times New Roman" w:eastAsia="Times New Roman" w:hAnsi="Times New Roman"/>
          <w:sz w:val="14"/>
          <w:szCs w:val="14"/>
          <w:color w:val="auto"/>
        </w:rPr>
        <w:t>Neither this offering nor the Concurrent Convertible Notes Offering is conditioned upon the completion of the other, so it is possible that this offering occurs and the Concurrent Convertible Notes Offering does not occur, or vice versa. We cannot assure you that the Concurrent Convertible Notes Offering will be completed on the terms described herein, on significantly different terms or at all. See “Description of the Concurrent Convertible Notes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0" w:lineRule="exact"/>
        <w:rPr>
          <w:sz w:val="20"/>
          <w:szCs w:val="20"/>
          <w:color w:val="auto"/>
        </w:rPr>
      </w:pPr>
    </w:p>
    <w:p>
      <w:pPr>
        <w:ind w:left="1360" w:right="143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The summary below describes the principal terms of the offering. As used in this section, “we,” “our” and “us” refer to AeroVironment, Inc. and not to its subsidiaries.</w:t>
      </w:r>
    </w:p>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Issuer</w:t>
            </w: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AeroVironment, Inc.</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of Common Stock Offered</w:t>
            </w: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3,528,226 shares.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 to Purchase Additional</w:t>
            </w:r>
          </w:p>
        </w:tc>
        <w:tc>
          <w:tcPr>
            <w:tcW w:w="4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 have granted the underwriters an option to purchase, in whole or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part, for a period of 30 days from the date this prospectus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supplement up to 529,234 shares of our common stock.</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Outstanding</w:t>
            </w:r>
          </w:p>
        </w:tc>
        <w:tc>
          <w:tcPr>
            <w:tcW w:w="4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Immediately Following this</w:t>
            </w:r>
          </w:p>
        </w:tc>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Offering</w:t>
            </w: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49,342,501 shares.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Offering Price</w:t>
            </w: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$248.00 per share of common stock.</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Use of Proceeds</w:t>
            </w: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 estimate that the net proceeds to us from this offering will be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approximately $840.9 million (or approximately $967.2 million if</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underwriters exercise in full their option to purchase additional</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of our common stock), after deducting the underwriters’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discounts and commissions and our estimated offering expenses.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 intend to use approximately $965.3 million of the net proceeds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from this offering, together with the net proceeds from the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Concurrent Convertible Notes Offering, to repay indebtedness under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New Term Loan and outstanding borrowings under the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Revolving Credit Facility, and the remainder, for general corporate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purposes, including to increase manufacturing capacity. See “Use of</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of the underwriters or their respective affiliates are lenders,</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in some cases agents for the lenders, bookrunners or arrangers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 our Credit Agreement, including our New Term Loan and our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Revolving Credit Facility and, may, from time to time, hold other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indebtedness of ours. Accordingly, if any portion of the net proceeds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from this offering is used to repay any outstanding amounts under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 New Term Loan or the Revolving Credit Facility, certain of the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underwriters or their respective affiliates acting as lenders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thereunder are expected to receive a portion of the net proceeds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from this offering in connection with any such repayment. See “Use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Proceeds” and “Underwriting (Conflicts of Interest).”</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Concurrent Convertible Notes</w:t>
            </w:r>
          </w:p>
        </w:tc>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Concurrently with this offering, we are conducting a public offering</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320" w:type="dxa"/>
            <w:vAlign w:val="bottom"/>
          </w:tcPr>
          <w:p>
            <w:pPr>
              <w:ind w:left="320"/>
              <w:spacing w:after="0" w:line="156" w:lineRule="exact"/>
              <w:rPr>
                <w:sz w:val="20"/>
                <w:szCs w:val="20"/>
                <w:color w:val="auto"/>
              </w:rPr>
            </w:pPr>
            <w:r>
              <w:rPr>
                <w:rFonts w:ascii="Times New Roman" w:cs="Times New Roman" w:eastAsia="Times New Roman" w:hAnsi="Times New Roman"/>
                <w:sz w:val="14"/>
                <w:szCs w:val="14"/>
                <w:color w:val="auto"/>
              </w:rPr>
              <w:t>Offering</w:t>
            </w:r>
          </w:p>
        </w:tc>
        <w:tc>
          <w:tcPr>
            <w:tcW w:w="43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$650,000,000 aggregate principal amount of the convertible notes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(or up to $747,500,000 aggregate principal amount if the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underwriters in the Concurrent Convertible Notes Offering exercise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full their over-allotment option).</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Neither this offering nor the Concurrent Convertible Notes Offering</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 conditioned upon the completion of the other, so it is possible that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this offering occurs and the Concurrent Convertible Notes Offering</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does not occur, or vice versa. We cannot assure you that the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Concurrent Convertible Notes Offering will be completed on the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terms described herein, on significantly different terms or at all.</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S-3</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8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Exchange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1499"/>
        <w:spacing w:after="0" w:line="262" w:lineRule="auto"/>
        <w:rPr>
          <w:sz w:val="20"/>
          <w:szCs w:val="20"/>
          <w:color w:val="auto"/>
        </w:rPr>
      </w:pPr>
      <w:r>
        <w:rPr>
          <w:rFonts w:ascii="Times New Roman" w:cs="Times New Roman" w:eastAsia="Times New Roman" w:hAnsi="Times New Roman"/>
          <w:sz w:val="14"/>
          <w:szCs w:val="14"/>
          <w:color w:val="auto"/>
        </w:rPr>
        <w:t>Our common stock is listed on Nasdaq under the symbol “AVAV.” On July 1, 2025, the last reported sale price of our common stock was $252.40 per share.</w:t>
      </w:r>
    </w:p>
    <w:p>
      <w:pPr>
        <w:spacing w:after="0" w:line="55" w:lineRule="exact"/>
        <w:rPr>
          <w:sz w:val="20"/>
          <w:szCs w:val="20"/>
          <w:color w:val="auto"/>
        </w:rPr>
      </w:pPr>
    </w:p>
    <w:p>
      <w:pPr>
        <w:sectPr>
          <w:pgSz w:w="11900" w:h="16838" w:orient="portrait"/>
          <w:cols w:equalWidth="0" w:num="2">
            <w:col w:w="3060" w:space="620"/>
            <w:col w:w="5339"/>
          </w:cols>
          <w:pgMar w:left="1440" w:top="104"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ind w:right="1379"/>
        <w:spacing w:after="0" w:line="255" w:lineRule="auto"/>
        <w:rPr>
          <w:sz w:val="20"/>
          <w:szCs w:val="20"/>
          <w:color w:val="auto"/>
        </w:rPr>
      </w:pPr>
      <w:r>
        <w:rPr>
          <w:rFonts w:ascii="Times New Roman" w:cs="Times New Roman" w:eastAsia="Times New Roman" w:hAnsi="Times New Roman"/>
          <w:sz w:val="14"/>
          <w:szCs w:val="14"/>
          <w:color w:val="auto"/>
        </w:rPr>
        <w:t>Investing in our common stock involves risks. You should carefully consider the information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all other information included or incorporated by reference in this prospectus supplement and accompanying prospectus before investing in our common stock.</w:t>
      </w:r>
    </w:p>
    <w:p>
      <w:pPr>
        <w:spacing w:after="0" w:line="59" w:lineRule="exact"/>
        <w:rPr>
          <w:sz w:val="20"/>
          <w:szCs w:val="20"/>
          <w:color w:val="auto"/>
        </w:rPr>
      </w:pPr>
    </w:p>
    <w:p>
      <w:pPr>
        <w:sectPr>
          <w:pgSz w:w="11900" w:h="16838" w:orient="portrait"/>
          <w:cols w:equalWidth="0" w:num="2">
            <w:col w:w="2960" w:space="720"/>
            <w:col w:w="5339"/>
          </w:cols>
          <w:pgMar w:left="1440" w:top="104"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Conflicts of Interest</w:t>
      </w:r>
    </w:p>
    <w:p>
      <w:pPr>
        <w:spacing w:after="0" w:line="20" w:lineRule="exact"/>
        <w:rPr>
          <w:sz w:val="20"/>
          <w:szCs w:val="20"/>
          <w:color w:val="auto"/>
        </w:rPr>
      </w:pPr>
      <w:r>
        <w:rPr>
          <w:sz w:val="20"/>
          <w:szCs w:val="20"/>
          <w:color w:val="auto"/>
        </w:rPr>
        <w:br w:type="column"/>
      </w:r>
    </w:p>
    <w:p>
      <w:pPr>
        <w:ind w:right="1419"/>
        <w:spacing w:after="0" w:line="250" w:lineRule="auto"/>
        <w:rPr>
          <w:sz w:val="20"/>
          <w:szCs w:val="20"/>
          <w:color w:val="auto"/>
        </w:rPr>
      </w:pPr>
      <w:r>
        <w:rPr>
          <w:rFonts w:ascii="Times New Roman" w:cs="Times New Roman" w:eastAsia="Times New Roman" w:hAnsi="Times New Roman"/>
          <w:sz w:val="14"/>
          <w:szCs w:val="14"/>
          <w:color w:val="auto"/>
        </w:rPr>
        <w:t>JPMorgan Chase Bank, N.A. and Bank of America, N.A., affiliates of J.P. Morgan Securities LLC and BofA Securities, Inc., respectively, are lenders under the New Term Loan and the Revolving Credit Facility. A portion of the net proceeds from this offering will be used to fund the repayment of our outstanding borrowings thereunder. As a result, we expect that more than 5% of the net proceeds from this offering will be received by affiliates of each of J.P. Morgan Securities LLC and BofA Securities, Inc. Therefore, this offering is being made in compliance with FINRA Rule 5121. Pursuant to Rule 5121, the appointment of a “qualified independent underwriter” is not required in connection with this offering as a “bona fide public market,” as defined in Rule 5121, exists for our common stock. See “Underwriting (Conflicts of Interest) — Conflicts of Interest.”</w:t>
      </w:r>
    </w:p>
    <w:p>
      <w:pPr>
        <w:spacing w:after="0" w:line="200" w:lineRule="exact"/>
        <w:rPr>
          <w:sz w:val="20"/>
          <w:szCs w:val="20"/>
          <w:color w:val="auto"/>
        </w:rPr>
      </w:pPr>
    </w:p>
    <w:p>
      <w:pPr>
        <w:sectPr>
          <w:pgSz w:w="11900" w:h="16838" w:orient="portrait"/>
          <w:cols w:equalWidth="0" w:num="2">
            <w:col w:w="2960" w:space="720"/>
            <w:col w:w="5339"/>
          </w:cols>
          <w:pgMar w:left="1440" w:top="104" w:right="1440" w:bottom="1440" w:gutter="0" w:footer="0" w:header="0"/>
          <w:type w:val="continuous"/>
        </w:sectPr>
      </w:pPr>
    </w:p>
    <w:p>
      <w:pPr>
        <w:spacing w:after="0" w:line="61" w:lineRule="exact"/>
        <w:rPr>
          <w:sz w:val="20"/>
          <w:szCs w:val="20"/>
          <w:color w:val="auto"/>
        </w:rPr>
      </w:pPr>
    </w:p>
    <w:p>
      <w:pPr>
        <w:ind w:left="1360" w:right="1639" w:firstLine="277"/>
        <w:spacing w:after="0" w:line="262" w:lineRule="auto"/>
        <w:rPr>
          <w:sz w:val="20"/>
          <w:szCs w:val="20"/>
          <w:color w:val="auto"/>
        </w:rPr>
      </w:pPr>
      <w:r>
        <w:rPr>
          <w:rFonts w:ascii="Times New Roman" w:cs="Times New Roman" w:eastAsia="Times New Roman" w:hAnsi="Times New Roman"/>
          <w:sz w:val="14"/>
          <w:szCs w:val="14"/>
          <w:color w:val="auto"/>
        </w:rPr>
        <w:t>The number of shares of our common stock outstanding immediately after this offering is based on 45,814,275 shares outstanding as of June 25, 2025, which includes 221,444 restricted stock awards outstanding as of such date, and excludes:</w:t>
      </w:r>
    </w:p>
    <w:p>
      <w:pPr>
        <w:spacing w:after="0" w:line="55" w:lineRule="exact"/>
        <w:rPr>
          <w:sz w:val="20"/>
          <w:szCs w:val="20"/>
          <w:color w:val="auto"/>
        </w:rPr>
      </w:pPr>
    </w:p>
    <w:p>
      <w:pPr>
        <w:ind w:left="1780" w:right="1419" w:hanging="143"/>
        <w:spacing w:after="0" w:line="278" w:lineRule="auto"/>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258,225 shares of common stock issuable upon the exercise of outstanding performance-based restricted stock units, as of June 25, 2025;</w:t>
      </w:r>
    </w:p>
    <w:p>
      <w:pPr>
        <w:spacing w:after="0" w:line="42" w:lineRule="exact"/>
        <w:rPr>
          <w:rFonts w:ascii="Times New Roman" w:cs="Times New Roman" w:eastAsia="Times New Roman" w:hAnsi="Times New Roman"/>
          <w:sz w:val="14"/>
          <w:szCs w:val="14"/>
          <w:color w:val="auto"/>
        </w:rPr>
      </w:pPr>
    </w:p>
    <w:p>
      <w:pPr>
        <w:ind w:left="1780" w:right="1539" w:hanging="143"/>
        <w:spacing w:after="0" w:line="278" w:lineRule="auto"/>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1,551,934 total shares available for issuance under the AeroVironment, Inc. 2023 Employee Stock Purchase Plan and the AeroVironment, Inc. 2021 Equity Incentive Plan, as of June 25, 2025; and</w:t>
      </w:r>
    </w:p>
    <w:p>
      <w:pPr>
        <w:spacing w:after="0" w:line="42" w:lineRule="exact"/>
        <w:rPr>
          <w:rFonts w:ascii="Times New Roman" w:cs="Times New Roman" w:eastAsia="Times New Roman" w:hAnsi="Times New Roman"/>
          <w:sz w:val="14"/>
          <w:szCs w:val="14"/>
          <w:color w:val="auto"/>
        </w:rPr>
      </w:pPr>
    </w:p>
    <w:p>
      <w:pPr>
        <w:ind w:left="1780" w:right="1419" w:hanging="143"/>
        <w:spacing w:after="0" w:line="278" w:lineRule="auto"/>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common stock to be reserved for issuance upon the conversion of the convertible notes being offered in the Concurrent Convertible Notes Offering.</w:t>
      </w:r>
    </w:p>
    <w:p>
      <w:pPr>
        <w:spacing w:after="0" w:line="7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Unless otherwise indicated, all information in this prospectus supplement assumes (i) the issuance and</w:t>
      </w:r>
    </w:p>
    <w:p>
      <w:pPr>
        <w:spacing w:after="0" w:line="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sale in this offering of 3,528,226 shares of our common stock at the public offering price per share of</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$248.00, and (ii) the underwriters do not exercise their option to purchase additional shares of our common</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0" w:name="page11"/>
    <w:bookmarkEnd w:id="1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SUMMARY FINANCIAL AND OTHER INFORMATION</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22" w:lineRule="exact"/>
        <w:rPr>
          <w:sz w:val="20"/>
          <w:szCs w:val="20"/>
          <w:color w:val="auto"/>
        </w:rPr>
      </w:pPr>
    </w:p>
    <w:p>
      <w:pPr>
        <w:ind w:left="1360" w:right="1359" w:firstLine="277"/>
        <w:spacing w:after="0" w:line="251" w:lineRule="auto"/>
        <w:rPr>
          <w:sz w:val="20"/>
          <w:szCs w:val="20"/>
          <w:color w:val="auto"/>
        </w:rPr>
      </w:pPr>
      <w:r>
        <w:rPr>
          <w:rFonts w:ascii="Times New Roman" w:cs="Times New Roman" w:eastAsia="Times New Roman" w:hAnsi="Times New Roman"/>
          <w:sz w:val="14"/>
          <w:szCs w:val="14"/>
          <w:color w:val="auto"/>
        </w:rPr>
        <w:t>Non-GAAP earnings per diluted share and Adjusted EBITDA are financial measures that are not prepared in accordance with generally accepted accounting principles in the United States (“GAAP”). These non-GAAP financial measures should be considered in addition to, and not as a replacement for or superior to, comparable GAAP measures, and may not be comparable to similarly titled measures reported by other companies. Our management believes that these measures provide useful information to investors by offering additional ways of viewing our results that, when reconciled to the corresponding GAAP measures, help our investors to understand the long-term profitability trends of our business and compare our profitability to prior and future periods and to our peers. In addition, management uses these non-GAAP measures to evaluate our operating and financial performance.</w:t>
      </w:r>
    </w:p>
    <w:p>
      <w:pPr>
        <w:spacing w:after="0" w:line="95" w:lineRule="exact"/>
        <w:rPr>
          <w:sz w:val="20"/>
          <w:szCs w:val="20"/>
          <w:color w:val="auto"/>
        </w:rPr>
      </w:pPr>
    </w:p>
    <w:p>
      <w:pPr>
        <w:ind w:left="1360" w:right="1379" w:firstLine="277"/>
        <w:spacing w:after="0" w:line="252" w:lineRule="auto"/>
        <w:rPr>
          <w:sz w:val="20"/>
          <w:szCs w:val="20"/>
          <w:color w:val="auto"/>
        </w:rPr>
      </w:pPr>
      <w:r>
        <w:rPr>
          <w:rFonts w:ascii="Times New Roman" w:cs="Times New Roman" w:eastAsia="Times New Roman" w:hAnsi="Times New Roman"/>
          <w:sz w:val="14"/>
          <w:szCs w:val="14"/>
          <w:color w:val="auto"/>
        </w:rPr>
        <w:t>We present non-GAAP earnings per diluted share by excluding acquisition-related expenses, amortization of acquisition-related intangible assets, equity method investment gains and losses, equity securities investments gains or losses, goodwill impairment and one-time non-operating items because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and that intangible asset amortization will recur in future periods until such intangible assets have been fully amortized.</w:t>
      </w:r>
    </w:p>
    <w:p>
      <w:pPr>
        <w:spacing w:after="0" w:line="84" w:lineRule="exact"/>
        <w:rPr>
          <w:sz w:val="20"/>
          <w:szCs w:val="20"/>
          <w:color w:val="auto"/>
        </w:rPr>
      </w:pPr>
    </w:p>
    <w:p>
      <w:pPr>
        <w:ind w:left="1360" w:right="1359" w:firstLine="277"/>
        <w:spacing w:after="0" w:line="250" w:lineRule="auto"/>
        <w:rPr>
          <w:sz w:val="20"/>
          <w:szCs w:val="20"/>
          <w:color w:val="auto"/>
        </w:rPr>
      </w:pPr>
      <w:r>
        <w:rPr>
          <w:rFonts w:ascii="Times New Roman" w:cs="Times New Roman" w:eastAsia="Times New Roman" w:hAnsi="Times New Roman"/>
          <w:sz w:val="14"/>
          <w:szCs w:val="14"/>
          <w:color w:val="auto"/>
        </w:rPr>
        <w:t>We define Adjusted EBITDA net income (loss) before interest income, interest expense, income tax expense (benefit) and depreciation and amortization, adjusted for the impact of certain other non-cash items, including amortization of implementation of cloud computing arrangements, stock-based compensation, acquisition related expenses, equity method investment gains or losses, equity securities investments gains or losses, goodwill impairment and one-time non-operating gains or losses. We present Adjusted EBITDA because we believe it is frequently used by analysts, investors and other interested parties to evaluate companies in our industry.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intangible asset amortization will recur in future periods until such intangible assets have been fully amortized and that interest and income tax expenses will recur in future periods. In addition, Adjusted EBITDA may not be comparable to similarly titled measures used by other companies in our industry or across different industries.</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Non-GAAP Earnings per Diluted Share (Unaudited)</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Three Months</w:t>
            </w:r>
          </w:p>
        </w:tc>
        <w:tc>
          <w:tcPr>
            <w:tcW w:w="80" w:type="dxa"/>
            <w:vAlign w:val="bottom"/>
          </w:tcPr>
          <w:p>
            <w:pPr>
              <w:spacing w:after="0"/>
              <w:rPr>
                <w:sz w:val="10"/>
                <w:szCs w:val="10"/>
                <w:color w:val="auto"/>
              </w:rPr>
            </w:pPr>
          </w:p>
        </w:tc>
        <w:tc>
          <w:tcPr>
            <w:tcW w:w="6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Three Months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120" w:type="dxa"/>
            <w:vAlign w:val="bottom"/>
          </w:tcPr>
          <w:p>
            <w:pPr>
              <w:spacing w:after="0"/>
              <w:rPr>
                <w:sz w:val="10"/>
                <w:szCs w:val="10"/>
                <w:color w:val="auto"/>
              </w:rPr>
            </w:pPr>
          </w:p>
        </w:tc>
        <w:tc>
          <w:tcPr>
            <w:tcW w:w="6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20" w:type="dxa"/>
            <w:vAlign w:val="bottom"/>
          </w:tcPr>
          <w:p>
            <w:pPr>
              <w:spacing w:after="0"/>
              <w:rPr>
                <w:sz w:val="10"/>
                <w:szCs w:val="10"/>
                <w:color w:val="auto"/>
              </w:rPr>
            </w:pPr>
          </w:p>
        </w:tc>
        <w:tc>
          <w:tcPr>
            <w:tcW w:w="640" w:type="dxa"/>
            <w:vAlign w:val="bottom"/>
            <w:gridSpan w:val="3"/>
          </w:tcPr>
          <w:p>
            <w:pPr>
              <w:jc w:val="center"/>
              <w:ind w:right="60"/>
              <w:spacing w:after="0" w:line="125" w:lineRule="exact"/>
              <w:rPr>
                <w:sz w:val="20"/>
                <w:szCs w:val="20"/>
                <w:color w:val="auto"/>
              </w:rPr>
            </w:pPr>
            <w:r>
              <w:rPr>
                <w:rFonts w:ascii="Times New Roman" w:cs="Times New Roman" w:eastAsia="Times New Roman" w:hAnsi="Times New Roman"/>
                <w:sz w:val="11"/>
                <w:szCs w:val="11"/>
                <w:b w:val="1"/>
                <w:bCs w:val="1"/>
                <w:color w:val="auto"/>
                <w:w w:val="95"/>
              </w:rPr>
              <w:t>Year Ended</w:t>
            </w:r>
          </w:p>
        </w:tc>
        <w:tc>
          <w:tcPr>
            <w:tcW w:w="40" w:type="dxa"/>
            <w:vAlign w:val="bottom"/>
          </w:tcPr>
          <w:p>
            <w:pPr>
              <w:spacing w:after="0"/>
              <w:rPr>
                <w:sz w:val="10"/>
                <w:szCs w:val="10"/>
                <w:color w:val="auto"/>
              </w:rPr>
            </w:pP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120" w:type="dxa"/>
            <w:vAlign w:val="bottom"/>
            <w:gridSpan w:val="19"/>
          </w:tcPr>
          <w:p>
            <w:pPr>
              <w:ind w:left="6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April 30, 2025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April 30, 2024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April 30, 2025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April 30, 2024 </w:t>
            </w:r>
            <w:r>
              <w:rPr>
                <w:rFonts w:ascii="Times New Roman" w:cs="Times New Roman" w:eastAsia="Times New Roman" w:hAnsi="Times New Roman"/>
                <w:sz w:val="19"/>
                <w:szCs w:val="19"/>
                <w:b w:val="1"/>
                <w:bCs w:val="1"/>
                <w:color w:val="auto"/>
                <w:vertAlign w:val="subscript"/>
              </w:rPr>
              <w:t>​</w:t>
            </w: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diluted share</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​$ 0.59</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​$ 1.55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​$2.18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​0.16</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 ​0.01</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​0.54</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 ​0.06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acquired intangible assets and other</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accounting adjustments</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​0.25</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 ​0.15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​0.66</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 ​0.54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accrual</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​0.06</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 ​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​0.06</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and equity securities investments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activity, net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​(0.10)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 ​0.05</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​(0.18)</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 ​0.21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3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 impairment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​0.65</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center"/>
              <w:ind w:right="10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​0.65</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center"/>
              <w:ind w:right="4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diluted share as adjusted (non-GAAP)</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ind w:left="80"/>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$ 1.61</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3"/>
            <w:shd w:val="clear" w:color="auto" w:fill="CCEEFF"/>
          </w:tcPr>
          <w:p>
            <w:pPr>
              <w:jc w:val="center"/>
              <w:ind w:right="100"/>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0.43</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ind w:left="120"/>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$ 3.28</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gridSpan w:val="3"/>
            <w:shd w:val="clear" w:color="auto" w:fill="CCEEFF"/>
          </w:tcPr>
          <w:p>
            <w:pPr>
              <w:jc w:val="center"/>
              <w:ind w:right="40"/>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2.99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38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250825</wp:posOffset>
            </wp:positionV>
            <wp:extent cx="4247515" cy="6127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47515" cy="612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 (Unaudited)</w:t>
      </w:r>
    </w:p>
    <w:p>
      <w:pPr>
        <w:spacing w:after="0" w:line="138" w:lineRule="exact"/>
        <w:rPr>
          <w:sz w:val="20"/>
          <w:szCs w:val="20"/>
          <w:color w:val="auto"/>
        </w:rPr>
      </w:pPr>
    </w:p>
    <w:tbl>
      <w:tblPr>
        <w:tblLayout w:type="fixed"/>
        <w:tblInd w:w="1360" w:type="dxa"/>
        <w:tblCellMar>
          <w:top w:w="0" w:type="dxa"/>
          <w:left w:w="0" w:type="dxa"/>
          <w:bottom w:w="0" w:type="dxa"/>
          <w:right w:w="0" w:type="dxa"/>
        </w:tblCellMar>
      </w:tblPr>
      <w:tr>
        <w:trPr>
          <w:trHeight w:val="175"/>
        </w:trPr>
        <w:tc>
          <w:tcPr>
            <w:tcW w:w="2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9"/>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7"/>
        </w:trPr>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1"/>
              </w:rPr>
              <w:t>April 30,</w:t>
            </w: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w w:val="75"/>
              </w:rPr>
              <w:t>January 25,</w:t>
            </w: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w w:val="94"/>
              </w:rPr>
              <w:t>October 26,</w:t>
            </w: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81"/>
              </w:rPr>
              <w:t>July 27,</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81"/>
              </w:rPr>
              <w:t>April 30,</w:t>
            </w:r>
          </w:p>
        </w:tc>
        <w:tc>
          <w:tcPr>
            <w:tcW w:w="10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April 30,</w:t>
            </w: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April 30,</w:t>
            </w:r>
          </w:p>
        </w:tc>
        <w:tc>
          <w:tcPr>
            <w:tcW w:w="60" w:type="dxa"/>
            <w:vAlign w:val="bottom"/>
          </w:tcPr>
          <w:p>
            <w:pPr>
              <w:spacing w:after="0"/>
              <w:rPr>
                <w:sz w:val="11"/>
                <w:szCs w:val="11"/>
                <w:color w:val="auto"/>
              </w:rPr>
            </w:pPr>
          </w:p>
        </w:tc>
      </w:tr>
      <w:tr>
        <w:trPr>
          <w:trHeight w:val="165"/>
        </w:trPr>
        <w:tc>
          <w:tcPr>
            <w:tcW w:w="234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54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2025</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4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4"/>
                <w:szCs w:val="14"/>
                <w:color w:val="auto"/>
              </w:rPr>
            </w:pPr>
          </w:p>
        </w:tc>
        <w:tc>
          <w:tcPr>
            <w:tcW w:w="500" w:type="dxa"/>
            <w:vAlign w:val="bottom"/>
            <w:gridSpan w:val="3"/>
          </w:tcPr>
          <w:p>
            <w:pPr>
              <w:jc w:val="right"/>
              <w:ind w:right="11"/>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2024</w:t>
            </w:r>
          </w:p>
        </w:tc>
        <w:tc>
          <w:tcPr>
            <w:tcW w:w="54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2024</w:t>
            </w:r>
          </w:p>
        </w:tc>
        <w:tc>
          <w:tcPr>
            <w:tcW w:w="520" w:type="dxa"/>
            <w:vAlign w:val="bottom"/>
            <w:gridSpan w:val="3"/>
          </w:tcPr>
          <w:p>
            <w:pPr>
              <w:ind w:left="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2025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32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14"/>
                <w:szCs w:val="14"/>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88"/>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​$16.7 ​​​</w:t>
            </w: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​$21.2</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43.6</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 1.0 ​​​</w:t>
            </w: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0.2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 0.7</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 0.2</w:t>
            </w: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 0.1</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4.2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(benefit from)</w:t>
            </w: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r>
      <w:tr>
        <w:trPr>
          <w:trHeight w:val="191"/>
        </w:trPr>
        <w:tc>
          <w:tcPr>
            <w:tcW w:w="2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w:t>
            </w:r>
          </w:p>
        </w:tc>
        <w:tc>
          <w:tcPr>
            <w:tcW w:w="7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 0.2 ​​​</w:t>
            </w: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​(0.2)</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 1.5</w:t>
            </w:r>
          </w:p>
        </w:tc>
        <w:tc>
          <w:tcPr>
            <w:tcW w:w="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 ​ ​(1.8)​​​​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1.9</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6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​13.9</w:t>
            </w:r>
            <w:r>
              <w:rPr>
                <w:rFonts w:ascii="Times New Roman" w:cs="Times New Roman" w:eastAsia="Times New Roman" w:hAnsi="Times New Roman"/>
                <w:sz w:val="13"/>
                <w:szCs w:val="13"/>
                <w:color w:val="auto"/>
              </w:rPr>
              <w:t xml:space="preserve"> ​​​</w:t>
            </w:r>
          </w:p>
        </w:tc>
        <w:tc>
          <w:tcPr>
            <w:tcW w:w="44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9.3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ind w:left="1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9.0</w:t>
            </w:r>
          </w:p>
        </w:tc>
        <w:tc>
          <w:tcPr>
            <w:tcW w:w="50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 8.9</w:t>
            </w:r>
          </w:p>
        </w:tc>
        <w:tc>
          <w:tcPr>
            <w:tcW w:w="540" w:type="dxa"/>
            <w:vAlign w:val="bottom"/>
            <w:gridSpan w:val="3"/>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 xml:space="preserve"> ​10.9</w:t>
            </w:r>
          </w:p>
        </w:tc>
        <w:tc>
          <w:tcPr>
            <w:tcW w:w="52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41.0</w:t>
            </w:r>
          </w:p>
        </w:tc>
        <w:tc>
          <w:tcPr>
            <w:tcW w:w="580" w:type="dxa"/>
            <w:vAlign w:val="bottom"/>
            <w:gridSpan w:val="5"/>
          </w:tcPr>
          <w:p>
            <w:pPr>
              <w:jc w:val="right"/>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 35.7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r>
      <w:tr>
        <w:trPr>
          <w:trHeight w:val="20"/>
        </w:trPr>
        <w:tc>
          <w:tcPr>
            <w:tcW w:w="2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188"/>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 (non-GAAP)</w:t>
            </w:r>
          </w:p>
        </w:tc>
        <w:tc>
          <w:tcPr>
            <w:tcW w:w="7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​31.8 ​​​</w:t>
            </w: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​17.0</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​31.8</w:t>
            </w:r>
          </w:p>
        </w:tc>
        <w:tc>
          <w:tcPr>
            <w:tcW w:w="5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​15.2</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87.7</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​101.5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 5.9 ​​​</w:t>
            </w: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5.4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 5.6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 4.5</w:t>
            </w: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 4.6</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21.5</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xml:space="preserve">​​​​ ​ 17.1 </w:t>
            </w:r>
            <w:r>
              <w:rPr>
                <w:rFonts w:ascii="Times New Roman" w:cs="Times New Roman" w:eastAsia="Times New Roman" w:hAnsi="Times New Roman"/>
                <w:sz w:val="14"/>
                <w:szCs w:val="14"/>
                <w:b w:val="1"/>
                <w:bCs w:val="1"/>
                <w:color w:val="auto"/>
              </w:rPr>
              <w:t>​</w:t>
            </w:r>
          </w:p>
        </w:tc>
      </w:tr>
      <w:tr>
        <w:trPr>
          <w:trHeight w:val="172"/>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and equity securities</w:t>
            </w: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r>
      <w:tr>
        <w:trPr>
          <w:trHeight w:val="191"/>
        </w:trPr>
        <w:tc>
          <w:tcPr>
            <w:tcW w:w="2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 activity, net</w:t>
            </w:r>
          </w:p>
        </w:tc>
        <w:tc>
          <w:tcPr>
            <w:tcW w:w="7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​(2.8)​​​</w:t>
            </w: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​(1.0)</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 0.3</w:t>
            </w:r>
          </w:p>
        </w:tc>
        <w:tc>
          <w:tcPr>
            <w:tcW w:w="5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 1.4</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4"/>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(5.0)​​​​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5.6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cloud computing</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2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arrangement implementation</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 0.6 ​​​</w:t>
            </w:r>
          </w:p>
        </w:tc>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0.7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 0.6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 0.6</w:t>
            </w: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 0.6</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 impairment</w:t>
            </w:r>
          </w:p>
        </w:tc>
        <w:tc>
          <w:tcPr>
            <w:tcW w:w="76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​18.4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18.4</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2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accrual</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 2.1 ​​​</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r>
      <w:tr>
        <w:trPr>
          <w:trHeight w:val="208"/>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760" w:type="dxa"/>
            <w:vAlign w:val="bottom"/>
            <w:tcBorders>
              <w:right w:val="single" w:sz="8" w:color="CCEEFF"/>
            </w:tcBorders>
            <w:gridSpan w:val="4"/>
            <w:shd w:val="clear" w:color="auto" w:fill="CCEEFF"/>
          </w:tcPr>
          <w:p>
            <w:pPr>
              <w:ind w:left="20"/>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 5.6</w:t>
            </w:r>
            <w:r>
              <w:rPr>
                <w:rFonts w:ascii="Times New Roman" w:cs="Times New Roman" w:eastAsia="Times New Roman" w:hAnsi="Times New Roman"/>
                <w:sz w:val="13"/>
                <w:szCs w:val="13"/>
                <w:color w:val="auto"/>
              </w:rPr>
              <w:t xml:space="preserve"> ​​​</w:t>
            </w:r>
          </w:p>
        </w:tc>
        <w:tc>
          <w:tcPr>
            <w:tcW w:w="440" w:type="dxa"/>
            <w:vAlign w:val="bottom"/>
            <w:gridSpan w:val="3"/>
            <w:shd w:val="clear" w:color="auto" w:fill="CCEEFF"/>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4"/>
            <w:shd w:val="clear" w:color="auto" w:fill="CCEEFF"/>
          </w:tcPr>
          <w:p>
            <w:pPr>
              <w:ind w:left="12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3.7</w:t>
            </w:r>
          </w:p>
        </w:tc>
        <w:tc>
          <w:tcPr>
            <w:tcW w:w="2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CCEEFF"/>
            </w:tcBorders>
            <w:gridSpan w:val="3"/>
            <w:shd w:val="clear" w:color="auto" w:fill="CCEEFF"/>
          </w:tcPr>
          <w:p>
            <w:pPr>
              <w:spacing w:after="0" w:line="20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perscript"/>
              </w:rPr>
              <w:t>​ 0.4</w:t>
            </w:r>
          </w:p>
        </w:tc>
        <w:tc>
          <w:tcPr>
            <w:tcW w:w="520" w:type="dxa"/>
            <w:vAlign w:val="bottom"/>
            <w:tcBorders>
              <w:right w:val="single" w:sz="8" w:color="CCEEFF"/>
            </w:tcBorders>
            <w:gridSpan w:val="3"/>
            <w:shd w:val="clear" w:color="auto" w:fill="CCEEFF"/>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19.3</w:t>
            </w:r>
          </w:p>
        </w:tc>
        <w:tc>
          <w:tcPr>
            <w:tcW w:w="340" w:type="dxa"/>
            <w:vAlign w:val="bottom"/>
            <w:gridSpan w:val="3"/>
            <w:shd w:val="clear" w:color="auto" w:fill="CCEEFF"/>
          </w:tcPr>
          <w:p>
            <w:pPr>
              <w:spacing w:after="0" w:line="207"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2.1</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76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u w:val="single" w:color="auto"/>
                <w:color w:val="auto"/>
                <w:vertAlign w:val="superscript"/>
              </w:rPr>
              <w:t>$</w:t>
            </w:r>
            <w:r>
              <w:rPr>
                <w:rFonts w:ascii="Times New Roman" w:cs="Times New Roman" w:eastAsia="Times New Roman" w:hAnsi="Times New Roman"/>
                <w:sz w:val="21"/>
                <w:szCs w:val="21"/>
                <w:color w:val="auto"/>
                <w:vertAlign w:val="superscript"/>
              </w:rPr>
              <w:t>61.6</w:t>
            </w:r>
            <w:r>
              <w:rPr>
                <w:rFonts w:ascii="Times New Roman" w:cs="Times New Roman" w:eastAsia="Times New Roman" w:hAnsi="Times New Roman"/>
                <w:sz w:val="12"/>
                <w:szCs w:val="12"/>
                <w:color w:val="auto"/>
              </w:rPr>
              <w:t xml:space="preserve"> ​​​</w:t>
            </w:r>
          </w:p>
        </w:tc>
        <w:tc>
          <w:tcPr>
            <w:tcW w:w="440" w:type="dxa"/>
            <w:vAlign w:val="bottom"/>
            <w:gridSpan w:val="3"/>
          </w:tcPr>
          <w:p>
            <w:pPr>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21.8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ind w:left="120"/>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25.9</w:t>
            </w:r>
          </w:p>
        </w:tc>
        <w:tc>
          <w:tcPr>
            <w:tcW w:w="50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37.2</w:t>
            </w:r>
          </w:p>
        </w:tc>
        <w:tc>
          <w:tcPr>
            <w:tcW w:w="540" w:type="dxa"/>
            <w:vAlign w:val="bottom"/>
            <w:gridSpan w:val="3"/>
          </w:tcPr>
          <w:p>
            <w:pPr>
              <w:spacing w:after="0" w:line="188"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22.2</w:t>
            </w:r>
          </w:p>
        </w:tc>
        <w:tc>
          <w:tcPr>
            <w:tcW w:w="5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146.4</w:t>
            </w:r>
          </w:p>
        </w:tc>
        <w:tc>
          <w:tcPr>
            <w:tcW w:w="580" w:type="dxa"/>
            <w:vAlign w:val="bottom"/>
            <w:gridSpan w:val="5"/>
          </w:tcPr>
          <w:p>
            <w:pPr>
              <w:jc w:val="right"/>
              <w:spacing w:after="0" w:line="188"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127.8 </w:t>
            </w:r>
            <w:r>
              <w:rPr>
                <w:rFonts w:ascii="Times New Roman" w:cs="Times New Roman" w:eastAsia="Times New Roman" w:hAnsi="Times New Roman"/>
                <w:sz w:val="21"/>
                <w:szCs w:val="21"/>
                <w:b w:val="1"/>
                <w:bCs w:val="1"/>
                <w:color w:val="auto"/>
                <w:vertAlign w:val="subscript"/>
              </w:rPr>
              <w:t>​</w:t>
            </w: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0" w:lineRule="exact"/>
        <w:rPr>
          <w:sz w:val="20"/>
          <w:szCs w:val="20"/>
          <w:color w:val="auto"/>
        </w:rPr>
      </w:pPr>
    </w:p>
    <w:p>
      <w:pPr>
        <w:ind w:left="1340" w:right="1399" w:firstLine="277"/>
        <w:spacing w:after="0" w:line="242" w:lineRule="auto"/>
        <w:rPr>
          <w:sz w:val="20"/>
          <w:szCs w:val="20"/>
          <w:color w:val="auto"/>
        </w:rPr>
      </w:pPr>
      <w:r>
        <w:rPr>
          <w:rFonts w:ascii="Times New Roman" w:cs="Times New Roman" w:eastAsia="Times New Roman" w:hAnsi="Times New Roman"/>
          <w:sz w:val="14"/>
          <w:szCs w:val="14"/>
          <w:i w:val="1"/>
          <w:iCs w:val="1"/>
          <w:color w:val="auto"/>
        </w:rPr>
        <w:t>An investment in our common stock involves certain risks. You should carefully consider the risks described below and those discussed in our Annual Report on Form 10-K for the fiscal year ended April 30, 2025 under the sections titled “Risk Factors” in Part I, Item 1A and in other filings we may make from time to time with the SEC before making an investment decision. Our business, financial condition or results of operations could be materially adversely affected by any of these risks. The market or trading price of our common stock could decline due to any of these risks, and you may lose all or part of your investment. You should also refer to the other information included and incorporated by reference in this prospectus supplement, the accompanying prospectus and any related free writing prospectus, especially our financial statements and related notes, before making an investment decision.</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our Common Stock</w:t>
      </w:r>
    </w:p>
    <w:p>
      <w:pPr>
        <w:spacing w:after="0" w:line="171" w:lineRule="exact"/>
        <w:rPr>
          <w:sz w:val="20"/>
          <w:szCs w:val="20"/>
          <w:color w:val="auto"/>
        </w:rPr>
      </w:pPr>
    </w:p>
    <w:p>
      <w:pPr>
        <w:ind w:left="1340" w:right="15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issuance or sale of shares of our common stock could depress the trading price of our common stock and the convertible notes.</w:t>
      </w:r>
    </w:p>
    <w:p>
      <w:pPr>
        <w:spacing w:after="0" w:line="72" w:lineRule="exact"/>
        <w:rPr>
          <w:sz w:val="20"/>
          <w:szCs w:val="20"/>
          <w:color w:val="auto"/>
        </w:rPr>
      </w:pPr>
    </w:p>
    <w:p>
      <w:pPr>
        <w:ind w:left="1340" w:right="1439" w:firstLine="277"/>
        <w:spacing w:after="0" w:line="241" w:lineRule="auto"/>
        <w:rPr>
          <w:sz w:val="20"/>
          <w:szCs w:val="20"/>
          <w:color w:val="auto"/>
        </w:rPr>
      </w:pPr>
      <w:r>
        <w:rPr>
          <w:rFonts w:ascii="Times New Roman" w:cs="Times New Roman" w:eastAsia="Times New Roman" w:hAnsi="Times New Roman"/>
          <w:sz w:val="14"/>
          <w:szCs w:val="14"/>
          <w:color w:val="auto"/>
        </w:rPr>
        <w:t>We may conduct future offerings of our common stock, preferred stock or other securities that are convertible into or exercisable for our common stock to finance our operations, to fund acquisitions, or for other purposes. Additionally, we have shares reserved and available for issuance pursuant to our 2023 Employee Stock Purchase Plan and our 2021 Equity Incentive Plan, and issued 17,425,849 shares of common stock as consideration for the BlueHalo Merger, substantially all of which are subject to the BlueHalo Lock-up but will be eligible for resale upon expiration of the applicable BlueHalo Lock-up Period. If these additional shares are sold, or if it is perceived that they will be sold, into the public market, the price of our common stock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could decline.</w:t>
      </w:r>
    </w:p>
    <w:p>
      <w:pPr>
        <w:spacing w:after="0" w:line="92" w:lineRule="exact"/>
        <w:rPr>
          <w:sz w:val="20"/>
          <w:szCs w:val="20"/>
          <w:color w:val="auto"/>
        </w:rPr>
      </w:pPr>
    </w:p>
    <w:p>
      <w:pPr>
        <w:ind w:left="1340" w:right="1399" w:firstLine="277"/>
        <w:spacing w:after="0" w:line="239" w:lineRule="auto"/>
        <w:rPr>
          <w:sz w:val="20"/>
          <w:szCs w:val="20"/>
          <w:color w:val="auto"/>
        </w:rPr>
      </w:pPr>
      <w:r>
        <w:rPr>
          <w:rFonts w:ascii="Times New Roman" w:cs="Times New Roman" w:eastAsia="Times New Roman" w:hAnsi="Times New Roman"/>
          <w:sz w:val="14"/>
          <w:szCs w:val="14"/>
          <w:color w:val="auto"/>
        </w:rPr>
        <w:t>We and our executive officers and our board members have entered into lock-up agreements with the underwriters of this offering and the underwriters of the Concurrent Convertible Notes Offering under which we, for a period of 90 days from the date of this prospectus supplement, have agreed, subject to certain exceptions, not to sell, directly or indirectly, any of their shares of our common stock without the permission of J.P. Morgan Securities LLC and BofA Securities Inc. We refer to such period as the lock-up period. When the lock- up period expires, we, our executive officers and our board members will be able to sell our common stock in the public market, subject to compliance with applicable securities laws restrictions. Sales of a substantial number of such shares of our common stock upon expiration of the lock-up period or otherwise, the perception that such sales may occur, or early release of these agreements, could cause the market price of our common stock to fall or make it more difficult for you to sell your shares at a time and price that you deem appropriate.</w:t>
      </w:r>
    </w:p>
    <w:p>
      <w:pPr>
        <w:spacing w:after="0" w:line="146" w:lineRule="exact"/>
        <w:rPr>
          <w:sz w:val="20"/>
          <w:szCs w:val="20"/>
          <w:color w:val="auto"/>
        </w:rPr>
      </w:pPr>
    </w:p>
    <w:p>
      <w:pPr>
        <w:ind w:left="1340" w:right="18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may fluctuate significantly, and you may not be able to resell shares of your common stock at or above the price you paid.</w:t>
      </w:r>
    </w:p>
    <w:p>
      <w:pPr>
        <w:spacing w:after="0" w:line="72" w:lineRule="exact"/>
        <w:rPr>
          <w:sz w:val="20"/>
          <w:szCs w:val="20"/>
          <w:color w:val="auto"/>
        </w:rPr>
      </w:pPr>
    </w:p>
    <w:p>
      <w:pPr>
        <w:ind w:left="1340" w:right="1419" w:firstLine="277"/>
        <w:spacing w:after="0" w:line="247" w:lineRule="auto"/>
        <w:rPr>
          <w:sz w:val="20"/>
          <w:szCs w:val="20"/>
          <w:color w:val="auto"/>
        </w:rPr>
      </w:pPr>
      <w:r>
        <w:rPr>
          <w:rFonts w:ascii="Times New Roman" w:cs="Times New Roman" w:eastAsia="Times New Roman" w:hAnsi="Times New Roman"/>
          <w:sz w:val="14"/>
          <w:szCs w:val="14"/>
          <w:color w:val="auto"/>
        </w:rPr>
        <w:t>The market prices for securities of companies in our industry have frequently been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54" w:lineRule="exact"/>
        <w:rPr>
          <w:sz w:val="20"/>
          <w:szCs w:val="20"/>
          <w:color w:val="auto"/>
        </w:rPr>
      </w:pPr>
    </w:p>
    <w:p>
      <w:pPr>
        <w:ind w:left="1760" w:hanging="137"/>
        <w:spacing w:after="0"/>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spending levels, both generally and by our particular customers;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operational activity by the U.S. military and militaries of foreign U.S. allies;</w:t>
      </w:r>
    </w:p>
    <w:p>
      <w:pPr>
        <w:spacing w:after="0" w:line="88" w:lineRule="exact"/>
        <w:rPr>
          <w:rFonts w:ascii="Times New Roman" w:cs="Times New Roman" w:eastAsia="Times New Roman" w:hAnsi="Times New Roman"/>
          <w:sz w:val="14"/>
          <w:szCs w:val="14"/>
          <w:color w:val="auto"/>
        </w:rPr>
      </w:pPr>
    </w:p>
    <w:p>
      <w:pPr>
        <w:ind w:left="1760" w:right="1819" w:hanging="137"/>
        <w:spacing w:after="0" w:line="278" w:lineRule="auto"/>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payment of our invoices by government payment offices, resulting in potentially reduced earnings during a particular fiscal quarter;</w:t>
      </w:r>
    </w:p>
    <w:p>
      <w:pPr>
        <w:spacing w:after="0" w:line="42" w:lineRule="exact"/>
        <w:rPr>
          <w:rFonts w:ascii="Times New Roman" w:cs="Times New Roman" w:eastAsia="Times New Roman" w:hAnsi="Times New Roman"/>
          <w:sz w:val="14"/>
          <w:szCs w:val="14"/>
          <w:color w:val="auto"/>
        </w:rPr>
      </w:pPr>
    </w:p>
    <w:p>
      <w:pPr>
        <w:ind w:left="1760" w:right="1399" w:hanging="137"/>
        <w:spacing w:after="0" w:line="278" w:lineRule="auto"/>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products or technologies, commercial relationships or other events relating to us or our industry or our competitors;</w:t>
      </w:r>
    </w:p>
    <w:p>
      <w:pPr>
        <w:spacing w:after="0" w:line="3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any of our key products to gain market acceptance;</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operating results;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perceptions of the prospects for the markets in which we compete;</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conditions;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securities analysts’ estimates of our financial performance;</w:t>
      </w:r>
    </w:p>
    <w:p>
      <w:pPr>
        <w:spacing w:after="0" w:line="109"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 market prices and trading volumes of similar companies;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news about the markets in which we compete or regarding our competitors;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announcements by us or our competitors;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terrorist acts or military action related to international conflicts, wars or otherwise;</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coverage regarding our products and services;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level of outstanding indebtedness and other obligations;</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we issued in the BlueHalo Merger;</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of the BlueHalo Lock-up;</w:t>
      </w:r>
    </w:p>
    <w:p>
      <w:pPr>
        <w:spacing w:after="0" w:line="98"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common stock, including sales by our executive officers, directors and significant stockholders; and</w:t>
      </w:r>
    </w:p>
    <w:p>
      <w:pPr>
        <w:spacing w:after="0" w:line="5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20"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Certain of the underwriters and their affiliates may receive benefits in connection with this offering.</w:t>
      </w:r>
    </w:p>
    <w:p>
      <w:pPr>
        <w:spacing w:after="0" w:line="111" w:lineRule="exact"/>
        <w:rPr>
          <w:sz w:val="20"/>
          <w:szCs w:val="20"/>
          <w:color w:val="auto"/>
        </w:rPr>
      </w:pPr>
    </w:p>
    <w:p>
      <w:pPr>
        <w:ind w:left="1340" w:right="1439" w:firstLine="277"/>
        <w:spacing w:after="0" w:line="251" w:lineRule="auto"/>
        <w:rPr>
          <w:sz w:val="20"/>
          <w:szCs w:val="20"/>
          <w:color w:val="auto"/>
        </w:rPr>
      </w:pPr>
      <w:r>
        <w:rPr>
          <w:rFonts w:ascii="Times New Roman" w:cs="Times New Roman" w:eastAsia="Times New Roman" w:hAnsi="Times New Roman"/>
          <w:sz w:val="14"/>
          <w:szCs w:val="14"/>
          <w:color w:val="auto"/>
        </w:rPr>
        <w:t>As of the date of this prospectus supplement, certain of the underwriters and/or their affiliates are lenders under the New Term Loan and the Revolving Credit Facility. To the extent that we use any portion of the net proceeds from this offering to repay the outstanding balance under the New Term Loan or the Revolving Credit Facility, such affiliates of the applicable underwriters will receive their proportionate share of any amount that is repaid with the net proceeds from this offering. This offering creates a potential conflict of interest because the underwriters have an interest in the successful completion of this offering beyond the sales commissions they will receive. These interests may influence the decision regarding the terms and circumstances under which the offering is completed. For additional information, see “Underwriting (Conflicts of Interest) — Conflicts of Interest” in this prospectus supplement.</w:t>
      </w:r>
    </w:p>
    <w:p>
      <w:pPr>
        <w:spacing w:after="0" w:line="145" w:lineRule="exact"/>
        <w:rPr>
          <w:sz w:val="20"/>
          <w:szCs w:val="20"/>
          <w:color w:val="auto"/>
        </w:rPr>
      </w:pPr>
    </w:p>
    <w:p>
      <w:pPr>
        <w:ind w:left="1340" w:right="14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securities analysts do not publish research or reports about us or our business or if they downgrade our common stock or our sector, our stock price and trading volume could decline.</w:t>
      </w:r>
    </w:p>
    <w:p>
      <w:pPr>
        <w:spacing w:after="0" w:line="72" w:lineRule="exact"/>
        <w:rPr>
          <w:sz w:val="20"/>
          <w:szCs w:val="20"/>
          <w:color w:val="auto"/>
        </w:rPr>
      </w:pPr>
    </w:p>
    <w:p>
      <w:pPr>
        <w:ind w:left="1340" w:right="1439" w:firstLine="277"/>
        <w:spacing w:after="0" w:line="252" w:lineRule="auto"/>
        <w:rPr>
          <w:sz w:val="20"/>
          <w:szCs w:val="20"/>
          <w:color w:val="auto"/>
        </w:rPr>
      </w:pPr>
      <w:r>
        <w:rPr>
          <w:rFonts w:ascii="Times New Roman" w:cs="Times New Roman" w:eastAsia="Times New Roman" w:hAnsi="Times New Roman"/>
          <w:sz w:val="14"/>
          <w:szCs w:val="14"/>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common stock or our industry, or the stock of any of our competitors, or publish inaccurate or unfavorable research about us or our business, the price of our common stock could decline. If one or more of these analysts ceases coverage of us or fails to publish reports on us regularly, we could lose viability in the market, which in turn could cause our stock price or trading volume to decline.</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Related to the Concurrent Convertible Notes Offering</w:t>
      </w:r>
    </w:p>
    <w:p>
      <w:pPr>
        <w:spacing w:after="0" w:line="171" w:lineRule="exact"/>
        <w:rPr>
          <w:sz w:val="20"/>
          <w:szCs w:val="20"/>
          <w:color w:val="auto"/>
        </w:rPr>
      </w:pPr>
    </w:p>
    <w:p>
      <w:pPr>
        <w:ind w:left="1340" w:right="2019"/>
        <w:spacing w:after="0" w:line="296" w:lineRule="auto"/>
        <w:rPr>
          <w:sz w:val="20"/>
          <w:szCs w:val="20"/>
          <w:color w:val="auto"/>
        </w:rPr>
      </w:pPr>
      <w:r>
        <w:rPr>
          <w:rFonts w:ascii="Times New Roman" w:cs="Times New Roman" w:eastAsia="Times New Roman" w:hAnsi="Times New Roman"/>
          <w:sz w:val="14"/>
          <w:szCs w:val="14"/>
          <w:b w:val="1"/>
          <w:bCs w:val="1"/>
          <w:i w:val="1"/>
          <w:iCs w:val="1"/>
          <w:color w:val="auto"/>
        </w:rPr>
        <w:t>Conversion of the convertible notes may dilute the ownership interest of existing stockholders, including noteholders who have previously converted their convertible notes.</w:t>
      </w:r>
    </w:p>
    <w:p>
      <w:pPr>
        <w:spacing w:after="0" w:line="62" w:lineRule="exact"/>
        <w:rPr>
          <w:sz w:val="20"/>
          <w:szCs w:val="20"/>
          <w:color w:val="auto"/>
        </w:rPr>
      </w:pPr>
    </w:p>
    <w:p>
      <w:pPr>
        <w:ind w:left="1340" w:right="1359" w:firstLine="277"/>
        <w:spacing w:after="0" w:line="263" w:lineRule="auto"/>
        <w:rPr>
          <w:sz w:val="20"/>
          <w:szCs w:val="20"/>
          <w:color w:val="auto"/>
        </w:rPr>
      </w:pPr>
      <w:r>
        <w:rPr>
          <w:rFonts w:ascii="Times New Roman" w:cs="Times New Roman" w:eastAsia="Times New Roman" w:hAnsi="Times New Roman"/>
          <w:sz w:val="14"/>
          <w:szCs w:val="14"/>
          <w:color w:val="auto"/>
        </w:rPr>
        <w:t>At our election, we may settle convertible notes tendered for conversion partly in shares of our common stock. As a result, the conversion of some or all of the convertible notes may dilute the ownership interests of existing stockholders to the extent we elect to settle such conversions partly in shares of our common stock. Any sales in the public market of the common stock issuable upon such conversion of the convertible notes could adversely affect prevailing market prices of our common stock and, in turn, the price of the convertible notes. In addition, the existence of the convertible notes may encourage short selling by market participants because the conversion of the convertible notes could depress the price of our common stock.</w:t>
      </w:r>
    </w:p>
    <w:p>
      <w:pPr>
        <w:spacing w:after="0" w:line="321" w:lineRule="exact"/>
        <w:rPr>
          <w:sz w:val="20"/>
          <w:szCs w:val="20"/>
          <w:color w:val="auto"/>
        </w:rPr>
      </w:pPr>
    </w:p>
    <w:p>
      <w:pPr>
        <w:ind w:left="1340" w:right="1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closing of this offering is not contingent upon the closing of the Concurrent Convertible Notes Offering, and vice versa.</w:t>
      </w:r>
    </w:p>
    <w:p>
      <w:pPr>
        <w:spacing w:after="0" w:line="82" w:lineRule="exact"/>
        <w:rPr>
          <w:sz w:val="20"/>
          <w:szCs w:val="20"/>
          <w:color w:val="auto"/>
        </w:rPr>
      </w:pPr>
    </w:p>
    <w:p>
      <w:pPr>
        <w:ind w:left="1340" w:right="1359" w:firstLine="277"/>
        <w:spacing w:after="0" w:line="260" w:lineRule="auto"/>
        <w:rPr>
          <w:sz w:val="20"/>
          <w:szCs w:val="20"/>
          <w:color w:val="auto"/>
        </w:rPr>
      </w:pPr>
      <w:r>
        <w:rPr>
          <w:rFonts w:ascii="Times New Roman" w:cs="Times New Roman" w:eastAsia="Times New Roman" w:hAnsi="Times New Roman"/>
          <w:sz w:val="14"/>
          <w:szCs w:val="14"/>
          <w:color w:val="auto"/>
        </w:rPr>
        <w:t>The closing of this offering is not contingent upon the closing of the Concurrent Convertible Notes Offering. Therefore, it is possible that this offering occurs and the Concurrent Convertible Notes Offering does not occur, and vice versa. We cannot assure you that the Concurrent Convertible Notes Offering will be completed on the terms described herein, on significantly different terms or at all. Accordingly, if you decide to purchase shares of our common stock, you should be willing to do so whether or not we complete the Concurrent Convertible Notes Offering. This prospectus supplement is not an offer to sell or a solicitation of an offer to buy any of the convertible notes being offered in the Concurrent Convertible Notes Offering. See “Description of the Concurrent Convertible Notes Offering.”</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Hedging activity by investors in the convertible notes could depress the trading price of our common stock.</w:t>
      </w:r>
    </w:p>
    <w:p>
      <w:pPr>
        <w:spacing w:after="0" w:line="111" w:lineRule="exact"/>
        <w:rPr>
          <w:sz w:val="20"/>
          <w:szCs w:val="20"/>
          <w:color w:val="auto"/>
        </w:rPr>
      </w:pPr>
    </w:p>
    <w:p>
      <w:pPr>
        <w:ind w:left="1340" w:right="1419" w:firstLine="277"/>
        <w:spacing w:after="0" w:line="263" w:lineRule="auto"/>
        <w:rPr>
          <w:sz w:val="20"/>
          <w:szCs w:val="20"/>
          <w:color w:val="auto"/>
        </w:rPr>
      </w:pPr>
      <w:r>
        <w:rPr>
          <w:rFonts w:ascii="Times New Roman" w:cs="Times New Roman" w:eastAsia="Times New Roman" w:hAnsi="Times New Roman"/>
          <w:sz w:val="14"/>
          <w:szCs w:val="14"/>
          <w:color w:val="auto"/>
        </w:rPr>
        <w:t>We expect that many investors in the convertible notes being offered in the Concurrent Convertible Notes Offering, including potential purchasers of the convertible notes following the Concurrent Convertible Notes Offering, will seek to employ a convertible note arbitrage strategy. Under this strategy, investors typically short sell a certain number of shares of our common stock and adjust their short position over time while they continue to hold the convertible notes. Investors may also implement this type of strategy by entering into swaps on our common stock in lieu of, or in addition to, short selling shares of our common stock. This market activity, or the market’s perception that it will occur, could depress the trading price of our common stock.</w:t>
      </w:r>
    </w:p>
    <w:p>
      <w:pPr>
        <w:spacing w:after="0" w:line="321" w:lineRule="exact"/>
        <w:rPr>
          <w:sz w:val="20"/>
          <w:szCs w:val="20"/>
          <w:color w:val="auto"/>
        </w:rPr>
      </w:pPr>
    </w:p>
    <w:p>
      <w:pPr>
        <w:ind w:left="1340" w:right="17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Provisions in the supplemental indenture governing the convertible notes could delay or prevent an otherwise beneficial takeover of us.</w:t>
      </w:r>
    </w:p>
    <w:p>
      <w:pPr>
        <w:spacing w:after="0" w:line="82" w:lineRule="exact"/>
        <w:rPr>
          <w:sz w:val="20"/>
          <w:szCs w:val="20"/>
          <w:color w:val="auto"/>
        </w:rPr>
      </w:pPr>
    </w:p>
    <w:p>
      <w:pPr>
        <w:ind w:left="1340" w:right="1439" w:firstLine="277"/>
        <w:spacing w:after="0" w:line="259" w:lineRule="auto"/>
        <w:rPr>
          <w:sz w:val="20"/>
          <w:szCs w:val="20"/>
          <w:color w:val="auto"/>
        </w:rPr>
      </w:pPr>
      <w:r>
        <w:rPr>
          <w:rFonts w:ascii="Times New Roman" w:cs="Times New Roman" w:eastAsia="Times New Roman" w:hAnsi="Times New Roman"/>
          <w:sz w:val="14"/>
          <w:szCs w:val="14"/>
          <w:color w:val="auto"/>
        </w:rPr>
        <w:t>Certain provisions in the convertible notes and the supplemental indenture governing the convertible notes could make a third-party attempt to acquire us more difficult or expensive. For example, if a takeover</w:t>
      </w:r>
    </w:p>
    <w:p>
      <w:pPr>
        <w:ind w:left="1340" w:right="1379"/>
        <w:spacing w:after="0" w:line="260" w:lineRule="auto"/>
        <w:rPr>
          <w:sz w:val="20"/>
          <w:szCs w:val="20"/>
          <w:color w:val="auto"/>
        </w:rPr>
      </w:pPr>
      <w:r>
        <w:rPr>
          <w:rFonts w:ascii="Times New Roman" w:cs="Times New Roman" w:eastAsia="Times New Roman" w:hAnsi="Times New Roman"/>
          <w:sz w:val="14"/>
          <w:szCs w:val="14"/>
          <w:color w:val="auto"/>
        </w:rPr>
        <w:t>constitutes a “fundamental change” (which​ will be defined in the supplemental indenture governing the convertible notes to include certain change-of-control events and the delisting of our common stock), then, subject to a limited exception, noteholders will have the right to require us to repurchase their convertible notes for cash. In addition, if a takeover constitutes a “make-whole fundamental change” ​(which will be defined in the supplemental indenture governing the convertible notes to include fundamental changes and certain additional business combination transactions), then we may be required to temporarily increase the conversion rate for the convertible notes. In either case, and in other cases, our obligations under the convertible notes and the supplemental indenture governing the convertible notes, as well as the instruments governing other indebtedness we have outstanding, could increase the cost of acquiring us or otherwise discourage a third-party from acquiring us or removing incumbent management, including in a transaction that noteholders or holders of our common stock may view as favorable.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35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raise the funds necessary to repurchase the convertible notes for cash following a fundamental change or to pay any cash amounts due upon maturity or conversion of the convertible notes, and our other indebtedness may limit our ability to repurchase the convertible notes or to pay any cash amounts due upon their maturity or conversion.</w:t>
      </w:r>
    </w:p>
    <w:p>
      <w:pPr>
        <w:spacing w:after="0" w:line="89" w:lineRule="exact"/>
        <w:rPr>
          <w:sz w:val="20"/>
          <w:szCs w:val="20"/>
          <w:color w:val="auto"/>
        </w:rPr>
      </w:pPr>
    </w:p>
    <w:p>
      <w:pPr>
        <w:ind w:left="1340" w:right="1379" w:firstLine="277"/>
        <w:spacing w:after="0" w:line="249" w:lineRule="auto"/>
        <w:rPr>
          <w:sz w:val="20"/>
          <w:szCs w:val="20"/>
          <w:color w:val="auto"/>
        </w:rPr>
      </w:pPr>
      <w:r>
        <w:rPr>
          <w:rFonts w:ascii="Times New Roman" w:cs="Times New Roman" w:eastAsia="Times New Roman" w:hAnsi="Times New Roman"/>
          <w:sz w:val="14"/>
          <w:szCs w:val="14"/>
          <w:color w:val="auto"/>
        </w:rPr>
        <w:t>Noteholders may, subject to a limited exception, require us to repurchase their convertible notes following a fundamental change at a cash repurchase price generally equal to the principal amount of the convertible notes to be repurchased, plus accrued and unpaid special interest, if any, to, but excluding, the fundamental change repurchase date. Upon maturity of the convertible notes, we must pay their principal amount and accrued and unpaid special interest, if any, in cash, unless they have been previously repurchased, redeemed or converted. In addition, all conversions of the convertible notes will be settled partially or entirely in cash. We may not have enough available cash or be able to obtain financing at the time we are required to repurchase the convertible notes or pay any cash amounts due upon their maturity or conversion of the convertible notes. In addition, applicable law, regulatory authorities and the agreements governing our other indebtedness may restrict our ability to repurchase the convertible notes or to pay any cash amounts due upon their maturity or conversion of the convertible notes. Our failure to repurchase convertible notes or to pay any cash amounts due upon their maturity or conversion of the convertible notes when required will constitute a default under the supplemental indenture governing the convertible notes. A default under the supplemental indenture governing the convertible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notes.</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The accounting method for the convertible notes could adversely affect our reported financial condition and results.</w:t>
      </w:r>
    </w:p>
    <w:p>
      <w:pPr>
        <w:spacing w:after="0" w:line="133" w:lineRule="exact"/>
        <w:rPr>
          <w:sz w:val="20"/>
          <w:szCs w:val="20"/>
          <w:color w:val="auto"/>
        </w:rPr>
      </w:pPr>
    </w:p>
    <w:p>
      <w:pPr>
        <w:jc w:val="both"/>
        <w:ind w:left="1340" w:right="1519" w:firstLine="277"/>
        <w:spacing w:after="0" w:line="262" w:lineRule="auto"/>
        <w:rPr>
          <w:sz w:val="20"/>
          <w:szCs w:val="20"/>
          <w:color w:val="auto"/>
        </w:rPr>
      </w:pPr>
      <w:r>
        <w:rPr>
          <w:rFonts w:ascii="Times New Roman" w:cs="Times New Roman" w:eastAsia="Times New Roman" w:hAnsi="Times New Roman"/>
          <w:sz w:val="14"/>
          <w:szCs w:val="14"/>
          <w:color w:val="auto"/>
        </w:rPr>
        <w:t>The accounting method for reflecting the convertible notes on our balance sheet, accruing amortized interest expense for the convertible notes and reflecting the underlying shares of our common stock in our reported diluted earnings per share may adversely affect our reported earnings and financial condition.</w:t>
      </w:r>
    </w:p>
    <w:p>
      <w:pPr>
        <w:spacing w:after="0" w:line="75" w:lineRule="exact"/>
        <w:rPr>
          <w:sz w:val="20"/>
          <w:szCs w:val="20"/>
          <w:color w:val="auto"/>
        </w:rPr>
      </w:pPr>
    </w:p>
    <w:p>
      <w:pPr>
        <w:ind w:left="1340" w:right="1419" w:firstLine="277"/>
        <w:spacing w:after="0" w:line="252" w:lineRule="auto"/>
        <w:rPr>
          <w:sz w:val="20"/>
          <w:szCs w:val="20"/>
          <w:color w:val="auto"/>
        </w:rPr>
      </w:pPr>
      <w:r>
        <w:rPr>
          <w:rFonts w:ascii="Times New Roman" w:cs="Times New Roman" w:eastAsia="Times New Roman" w:hAnsi="Times New Roman"/>
          <w:sz w:val="14"/>
          <w:szCs w:val="14"/>
          <w:color w:val="auto"/>
        </w:rPr>
        <w:t>In accordance with applicable accounting standards, we expect that the convertible notes offered in the Concurrent Convertible Notes Offering will be reflected as a liability on our balance sheets, with the initial carrying amount equal to the principal amount of the convertible notes, net of issuance costs. The issuance costs will be treated as a debt discount for accounting purposes, which will be amortized into interest expense over the term of the convertible notes. As a result of this amortization, the interest expense that we expect to recognize for the convertible notes for accounting purposes will be greater than the cash special interest, if any, payments we may be required to pay on the convertible notes, which will result in lower reported income.</w:t>
      </w:r>
    </w:p>
    <w:p>
      <w:pPr>
        <w:spacing w:after="0" w:line="261"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In addition, we expect that the shares of our common stock underlying the convertible notes will be reflected in our diluted earnings per share using the “if converted” method. Under that method, if the conversion value of the convertible notes exceeds their principal amount for a reporting period, then we will calculate our diluted earnings per share assuming that all of the convertible notes were converted at the beginning of the reporting period and that we issued shares of our common stock to settle the excess. The after-tax interest expense associated with the convertible notes will not be added back to the numerator of the diluted earnings per share calculation for these purposes. However, if reflecting the convertible notes in diluted earnings per share in this manner is anti-dilutive, or if the conversion value of the convertible notes does not exceed their principal amount for a reporting period, then the shares underlying the convertible notes will not be reflected in our diluted earnings per share. The application of the if-converted method may reduce our reported diluted earnings per share, and accounting standards may change in the future in a manner that may adversely affect our diluted earnings per share.</w:t>
      </w:r>
    </w:p>
    <w:p>
      <w:pPr>
        <w:spacing w:after="0" w:line="97"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noteholders convert their convertible notes and could materially reduce our reported working capital.</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We have not reached a final determination regarding the accounting treatment for the convertible notes nor the application of the if-converted method, and the description above is preliminary. Accordingly, we may account for the convertible notes and calculate diluted earnings per share in a manner that is significantly different than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2"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We estimate that the net proceeds to us from this offering will be approximately $840.9 million (or approximately $967.2 million if the underwriters exercise in full their option to purchase additional shares), after deducting the underwriters’ discounts and commissions and our estimated offering expenses.</w:t>
      </w:r>
    </w:p>
    <w:p>
      <w:pPr>
        <w:spacing w:after="0" w:line="86" w:lineRule="exact"/>
        <w:rPr>
          <w:sz w:val="20"/>
          <w:szCs w:val="20"/>
          <w:color w:val="auto"/>
        </w:rPr>
      </w:pPr>
    </w:p>
    <w:p>
      <w:pPr>
        <w:ind w:left="1340" w:right="1359" w:firstLine="277"/>
        <w:spacing w:after="0" w:line="257" w:lineRule="auto"/>
        <w:rPr>
          <w:sz w:val="20"/>
          <w:szCs w:val="20"/>
          <w:color w:val="auto"/>
        </w:rPr>
      </w:pPr>
      <w:r>
        <w:rPr>
          <w:rFonts w:ascii="Times New Roman" w:cs="Times New Roman" w:eastAsia="Times New Roman" w:hAnsi="Times New Roman"/>
          <w:sz w:val="14"/>
          <w:szCs w:val="14"/>
          <w:color w:val="auto"/>
        </w:rPr>
        <w:t>We estimate that the net proceeds to us from the Concurrent Convertible Notes Offering, if it is consummated as currently contemplated, will be approximately $630.8 million (or approximately $725.6 million if the underwriters in the Concurrent Convertible Notes Offering exercise in full their over-allotment option), after deducting the underwriters’ discounts and commissions and our estimated offering expenses.</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intend to use the net proceeds from this offering, together with the net proceeds from the</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Concurrent Convertible Notes Offering, as follows:</w:t>
      </w:r>
    </w:p>
    <w:p>
      <w:pPr>
        <w:spacing w:after="0" w:line="73" w:lineRule="exact"/>
        <w:rPr>
          <w:sz w:val="20"/>
          <w:szCs w:val="20"/>
          <w:color w:val="auto"/>
        </w:rPr>
      </w:pPr>
    </w:p>
    <w:p>
      <w:pPr>
        <w:ind w:left="1760" w:hanging="137"/>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$700.2 million to repay indebtedness under the New Term Loan;</w:t>
      </w:r>
    </w:p>
    <w:p>
      <w:pPr>
        <w:spacing w:after="0" w:line="88"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$265.1 million to repay outstanding borrowings under the Revolving Credit Facility; and</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remainder for general corporate purposes, including to increase manufacturing capacity.</w:t>
      </w:r>
    </w:p>
    <w:p>
      <w:pPr>
        <w:spacing w:after="0" w:line="120" w:lineRule="exact"/>
        <w:rPr>
          <w:sz w:val="20"/>
          <w:szCs w:val="20"/>
          <w:color w:val="auto"/>
        </w:rPr>
      </w:pPr>
    </w:p>
    <w:p>
      <w:pPr>
        <w:jc w:val="both"/>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We used the proceeds of the New Term Loan and $225.0 million borrowed under the Revolving Credit Facility to repay certain outstanding indebtedness of BlueHalo at the closing of the BlueHalo Merger, and to pay for certain related transaction costs.</w:t>
      </w:r>
    </w:p>
    <w:p>
      <w:pPr>
        <w:spacing w:after="0" w:line="86" w:lineRule="exact"/>
        <w:rPr>
          <w:sz w:val="20"/>
          <w:szCs w:val="20"/>
          <w:color w:val="auto"/>
        </w:rPr>
      </w:pPr>
    </w:p>
    <w:p>
      <w:pPr>
        <w:ind w:left="1340" w:right="1419" w:firstLine="277"/>
        <w:spacing w:after="0" w:line="251" w:lineRule="auto"/>
        <w:rPr>
          <w:sz w:val="20"/>
          <w:szCs w:val="20"/>
          <w:color w:val="auto"/>
        </w:rPr>
      </w:pPr>
      <w:r>
        <w:rPr>
          <w:rFonts w:ascii="Times New Roman" w:cs="Times New Roman" w:eastAsia="Times New Roman" w:hAnsi="Times New Roman"/>
          <w:sz w:val="14"/>
          <w:szCs w:val="14"/>
          <w:color w:val="auto"/>
        </w:rPr>
        <w:t>The New Term Loan is scheduled to mature on May 1, 2027 and the Revolving Credit Facility is scheduled to mature on October 4, 2029. The applicable margin on the New Term Loan and the Revolving Credit Facility is based upon our Consolidated Leverage Ratio (as defined in the New Term Loan) and whether we elect as the benchmark rate (i) SOFR (as defined in the New Term Loan) (in which case, the applicable margin ranges from 1.50 – 2.50% per annum depending on our Consolidated Leverage Ratio) plus a credit spread adjustment of 0.10% or (ii) Base Rate (as defined in the New Term Loan) (in which case, the applicable margin ranges from 0.50 – 1.50% per annum depending on our Consolidated Leverage Ratio). Upon the occurrence of an event of default, an additional 2.00% per annum default interest rate may apply.</w:t>
      </w:r>
    </w:p>
    <w:p>
      <w:pPr>
        <w:spacing w:after="0" w:line="253" w:lineRule="exact"/>
        <w:rPr>
          <w:sz w:val="20"/>
          <w:szCs w:val="20"/>
          <w:color w:val="auto"/>
        </w:rPr>
      </w:pPr>
    </w:p>
    <w:p>
      <w:pPr>
        <w:jc w:val="both"/>
        <w:ind w:left="1340" w:right="1459" w:firstLine="277"/>
        <w:spacing w:after="0" w:line="257" w:lineRule="auto"/>
        <w:rPr>
          <w:sz w:val="20"/>
          <w:szCs w:val="20"/>
          <w:color w:val="auto"/>
        </w:rPr>
      </w:pPr>
      <w:r>
        <w:rPr>
          <w:rFonts w:ascii="Times New Roman" w:cs="Times New Roman" w:eastAsia="Times New Roman" w:hAnsi="Times New Roman"/>
          <w:sz w:val="14"/>
          <w:szCs w:val="14"/>
          <w:color w:val="auto"/>
        </w:rPr>
        <w:t>Certain of the underwriters and/or their respective affiliates are lenders under the New Term Loan and Revolving Credit Facility and, as a result, will receive a portion of the net proceeds from this offering that we intend to allocate to the repayment of such borrowings, on a pro rata basis across all applicable lenders thereunder. See “Underwriting (Conflicts of Interest).”</w:t>
      </w:r>
    </w:p>
    <w:p>
      <w:pPr>
        <w:spacing w:after="0" w:line="90" w:lineRule="exact"/>
        <w:rPr>
          <w:sz w:val="20"/>
          <w:szCs w:val="20"/>
          <w:color w:val="auto"/>
        </w:rPr>
      </w:pPr>
    </w:p>
    <w:p>
      <w:pPr>
        <w:ind w:left="1340" w:right="1479" w:firstLine="277"/>
        <w:spacing w:after="0" w:line="262" w:lineRule="auto"/>
        <w:rPr>
          <w:sz w:val="20"/>
          <w:szCs w:val="20"/>
          <w:color w:val="auto"/>
        </w:rPr>
      </w:pPr>
      <w:r>
        <w:rPr>
          <w:rFonts w:ascii="Times New Roman" w:cs="Times New Roman" w:eastAsia="Times New Roman" w:hAnsi="Times New Roman"/>
          <w:sz w:val="14"/>
          <w:szCs w:val="14"/>
          <w:color w:val="auto"/>
        </w:rPr>
        <w:t>Subject to the above, we may also use a portion of the net proceeds from this offering to acquire, in-license or invest in products, technologies or businesses that are complementary to our business. However, we currently have no agreements or commitments to complete any such transaction.</w:t>
      </w:r>
    </w:p>
    <w:p>
      <w:pPr>
        <w:spacing w:after="0" w:line="86"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Pending any ultimate use of any portion of the proceeds from this offering, we intend to invest the proceeds in a variety of capital preservation investments, including short-term, interest-bearing instruments such as U.S. government securities and municipal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following table presents our cash and cash equivalents and our capitalization as of April 30, 2025:</w:t>
      </w:r>
    </w:p>
    <w:p>
      <w:pPr>
        <w:spacing w:after="0" w:line="88" w:lineRule="exact"/>
        <w:rPr>
          <w:sz w:val="20"/>
          <w:szCs w:val="20"/>
          <w:color w:val="auto"/>
        </w:rPr>
      </w:pPr>
    </w:p>
    <w:p>
      <w:pPr>
        <w:ind w:left="1760" w:hanging="137"/>
        <w:spacing w:after="0"/>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88" w:lineRule="exact"/>
        <w:rPr>
          <w:rFonts w:ascii="Times New Roman" w:cs="Times New Roman" w:eastAsia="Times New Roman" w:hAnsi="Times New Roman"/>
          <w:sz w:val="14"/>
          <w:szCs w:val="14"/>
          <w:color w:val="auto"/>
        </w:rPr>
      </w:pPr>
    </w:p>
    <w:p>
      <w:pPr>
        <w:ind w:left="1760" w:right="1719" w:hanging="137"/>
        <w:spacing w:after="0" w:line="278"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give effect to the consummation of the BlueHalo Merger and the corresponding incurrence of debt under the New Term Loan and Revolving Credit Facility; and</w:t>
      </w:r>
    </w:p>
    <w:p>
      <w:pPr>
        <w:spacing w:after="0" w:line="42" w:lineRule="exact"/>
        <w:rPr>
          <w:rFonts w:ascii="Times New Roman" w:cs="Times New Roman" w:eastAsia="Times New Roman" w:hAnsi="Times New Roman"/>
          <w:sz w:val="14"/>
          <w:szCs w:val="14"/>
          <w:color w:val="auto"/>
        </w:rPr>
      </w:pPr>
    </w:p>
    <w:p>
      <w:pPr>
        <w:ind w:left="1760" w:right="1459" w:hanging="137"/>
        <w:spacing w:after="0" w:line="253" w:lineRule="auto"/>
        <w:tabs>
          <w:tab w:leader="none" w:pos="1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further adjusted basis to give effect to (i) the completion of this offering (assuming no exercise of the option of the underwriters to purchase additional shares of our common stock), after deducting the underwriting discounts and commissions and our estimated offering expenses; (ii) the Concurrent Convertible Notes Offering (assuming the underwriters do not exercise their over-allotment option); and (iii) the application of the net proceeds of both offerings as described under “Use of Proceeds.”</w:t>
      </w:r>
    </w:p>
    <w:p>
      <w:pPr>
        <w:spacing w:after="0" w:line="52"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This table should be read in conjunction with the other information included or incorporated by reference this prospectus supplement, including our consolidated financial statements and related notes. Because the completion of this offering is not contingent on the completion of the Concurrent Convertible Notes Offering, you should not assume that the Concurrent Convertible Notes Offering, as further reflected in the as adjusted column in the table below, will take place.</w:t>
      </w:r>
    </w:p>
    <w:p>
      <w:pPr>
        <w:spacing w:after="0" w:line="53"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w w:val="90"/>
              </w:rPr>
              <w:t>As 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April 30, 2025</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2"/>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As further</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Actual   ​</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 As adjusted  ​</w:t>
            </w:r>
          </w:p>
        </w:tc>
        <w:tc>
          <w:tcPr>
            <w:tcW w:w="180" w:type="dxa"/>
            <w:vAlign w:val="bottom"/>
            <w:gridSpan w:val="3"/>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adjusted  ​</w:t>
            </w: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gridSpan w:val="10"/>
          </w:tcPr>
          <w:p>
            <w:pPr>
              <w:jc w:val="center"/>
              <w:ind w:right="72"/>
              <w:spacing w:after="0" w:line="106" w:lineRule="exact"/>
              <w:rPr>
                <w:sz w:val="20"/>
                <w:szCs w:val="20"/>
                <w:color w:val="auto"/>
              </w:rPr>
            </w:pPr>
            <w:r>
              <w:rPr>
                <w:rFonts w:ascii="Times New Roman" w:cs="Times New Roman" w:eastAsia="Times New Roman" w:hAnsi="Times New Roman"/>
                <w:sz w:val="11"/>
                <w:szCs w:val="11"/>
                <w:b w:val="1"/>
                <w:bCs w:val="1"/>
                <w:color w:val="auto"/>
                <w:w w:val="95"/>
              </w:rPr>
              <w:t>(In thousands, except share</w:t>
            </w: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7"/>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w w:val="95"/>
              </w:rPr>
              <w:t>and per share data)</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shd w:val="clear" w:color="auto" w:fill="CCEEFF"/>
          </w:tcPr>
          <w:p>
            <w:pPr>
              <w:spacing w:after="0"/>
              <w:rPr>
                <w:sz w:val="13"/>
                <w:szCs w:val="13"/>
                <w:color w:val="auto"/>
              </w:rPr>
            </w:pPr>
          </w:p>
        </w:tc>
        <w:tc>
          <w:tcPr>
            <w:tcW w:w="260" w:type="dxa"/>
            <w:vAlign w:val="bottom"/>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shd w:val="clear" w:color="auto" w:fill="CCEEFF"/>
          </w:tcPr>
          <w:p>
            <w:pPr>
              <w:jc w:val="right"/>
              <w:ind w:right="5"/>
              <w:spacing w:after="0" w:line="156" w:lineRule="exact"/>
              <w:rPr>
                <w:sz w:val="20"/>
                <w:szCs w:val="20"/>
                <w:color w:val="auto"/>
              </w:rPr>
            </w:pPr>
            <w:r>
              <w:rPr>
                <w:rFonts w:ascii="Times New Roman" w:cs="Times New Roman" w:eastAsia="Times New Roman" w:hAnsi="Times New Roman"/>
                <w:sz w:val="14"/>
                <w:szCs w:val="14"/>
                <w:color w:val="auto"/>
              </w:rPr>
              <w:t>40,862​​ ​​$</w:t>
            </w:r>
          </w:p>
        </w:tc>
        <w:tc>
          <w:tcPr>
            <w:tcW w:w="780" w:type="dxa"/>
            <w:vAlign w:val="bottom"/>
            <w:gridSpan w:val="5"/>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102,926​​ ​​$</w:t>
            </w:r>
          </w:p>
        </w:tc>
        <w:tc>
          <w:tcPr>
            <w:tcW w:w="5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619,638​</w:t>
            </w:r>
          </w:p>
        </w:tc>
        <w:tc>
          <w:tcPr>
            <w:tcW w:w="20" w:type="dxa"/>
            <w:vAlign w:val="bottom"/>
          </w:tcPr>
          <w:p>
            <w:pPr>
              <w:spacing w:after="0"/>
              <w:rPr>
                <w:sz w:val="13"/>
                <w:szCs w:val="13"/>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6"/>
        </w:trPr>
        <w:tc>
          <w:tcPr>
            <w:tcW w:w="40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Debt</w:t>
            </w: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3"/>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4"/>
                <w:szCs w:val="14"/>
                <w:color w:val="auto"/>
              </w:rPr>
              <w:t>Revolving Credit Facility</w:t>
            </w:r>
            <w:r>
              <w:rPr>
                <w:rFonts w:ascii="Times New Roman" w:cs="Times New Roman" w:eastAsia="Times New Roman" w:hAnsi="Times New Roman"/>
                <w:sz w:val="17"/>
                <w:szCs w:val="17"/>
                <w:color w:val="auto"/>
                <w:vertAlign w:val="superscript"/>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0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New Term Loan</w:t>
            </w:r>
          </w:p>
        </w:tc>
        <w:tc>
          <w:tcPr>
            <w:tcW w:w="20" w:type="dxa"/>
            <w:vAlign w:val="bottom"/>
          </w:tcPr>
          <w:p>
            <w:pPr>
              <w:spacing w:after="0"/>
              <w:rPr>
                <w:sz w:val="13"/>
                <w:szCs w:val="13"/>
                <w:color w:val="auto"/>
              </w:rPr>
            </w:pPr>
          </w:p>
        </w:tc>
        <w:tc>
          <w:tcPr>
            <w:tcW w:w="26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4"/>
          </w:tcPr>
          <w:p>
            <w:pPr>
              <w:jc w:val="right"/>
              <w:ind w:right="5"/>
              <w:spacing w:after="0" w:line="156"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5"/>
          </w:tcPr>
          <w:p>
            <w:pPr>
              <w:jc w:val="right"/>
              <w:spacing w:after="0" w:line="156" w:lineRule="exact"/>
              <w:rPr>
                <w:sz w:val="20"/>
                <w:szCs w:val="20"/>
                <w:color w:val="auto"/>
              </w:rPr>
            </w:pPr>
            <w:r>
              <w:rPr>
                <w:rFonts w:ascii="Times New Roman" w:cs="Times New Roman" w:eastAsia="Times New Roman" w:hAnsi="Times New Roman"/>
                <w:sz w:val="14"/>
                <w:szCs w:val="14"/>
                <w:color w:val="auto"/>
              </w:rPr>
              <w:t>700,000​​ ​​$</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Principal amount of 0% Convertible Senior Notes due 2030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offered in the Concurrent Convertible Notes Offering</w:t>
            </w:r>
            <w:r>
              <w:rPr>
                <w:rFonts w:ascii="Times New Roman" w:cs="Times New Roman" w:eastAsia="Times New Roman" w:hAnsi="Times New Roman"/>
                <w:sz w:val="17"/>
                <w:szCs w:val="17"/>
                <w:color w:val="auto"/>
                <w:vertAlign w:val="superscript"/>
              </w:rPr>
              <w:t>(2)</w:t>
            </w:r>
          </w:p>
        </w:tc>
        <w:tc>
          <w:tcPr>
            <w:tcW w:w="20" w:type="dxa"/>
            <w:vAlign w:val="bottom"/>
            <w:shd w:val="clear" w:color="auto" w:fill="CCEEFF"/>
          </w:tcPr>
          <w:p>
            <w:pPr>
              <w:spacing w:after="0"/>
              <w:rPr>
                <w:sz w:val="17"/>
                <w:szCs w:val="17"/>
                <w:color w:val="auto"/>
              </w:rPr>
            </w:pPr>
          </w:p>
        </w:tc>
        <w:tc>
          <w:tcPr>
            <w:tcW w:w="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20" w:type="dxa"/>
            <w:vAlign w:val="bottom"/>
          </w:tcPr>
          <w:p>
            <w:pPr>
              <w:spacing w:after="0"/>
              <w:rPr>
                <w:sz w:val="17"/>
                <w:szCs w:val="17"/>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4000" w:type="dxa"/>
            <w:vAlign w:val="bottom"/>
            <w:tcBorders>
              <w:top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Total debt</w:t>
            </w: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gridSpan w:val="2"/>
          </w:tcPr>
          <w:p>
            <w:pPr>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10"/>
                <w:szCs w:val="10"/>
                <w:b w:val="1"/>
                <w:bCs w:val="1"/>
                <w:color w:val="auto"/>
              </w:rPr>
              <w:t xml:space="preserve"> ​ 30,000</w:t>
            </w:r>
          </w:p>
        </w:tc>
        <w:tc>
          <w:tcPr>
            <w:tcW w:w="8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10"/>
                <w:szCs w:val="10"/>
                <w:b w:val="1"/>
                <w:bCs w:val="1"/>
                <w:color w:val="auto"/>
              </w:rPr>
              <w:t xml:space="preserve"> ​</w:t>
            </w:r>
          </w:p>
        </w:tc>
        <w:tc>
          <w:tcPr>
            <w:tcW w:w="50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955,000</w:t>
            </w:r>
          </w:p>
        </w:tc>
        <w:tc>
          <w:tcPr>
            <w:tcW w:w="10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10"/>
                <w:szCs w:val="10"/>
                <w:b w:val="1"/>
                <w:bCs w:val="1"/>
                <w:color w:val="auto"/>
              </w:rPr>
              <w:t xml:space="preserve"> ​</w:t>
            </w:r>
          </w:p>
        </w:tc>
        <w:tc>
          <w:tcPr>
            <w:tcW w:w="520" w:type="dxa"/>
            <w:vAlign w:val="bottom"/>
            <w:tcBorders>
              <w:top w:val="single" w:sz="8" w:color="auto"/>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650,000</w:t>
            </w:r>
          </w:p>
        </w:tc>
        <w:tc>
          <w:tcPr>
            <w:tcW w:w="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17"/>
        </w:trPr>
        <w:tc>
          <w:tcPr>
            <w:tcW w:w="40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20" w:type="dxa"/>
            <w:vAlign w:val="bottom"/>
            <w:shd w:val="clear" w:color="auto" w:fill="CCEEFF"/>
          </w:tcPr>
          <w:p>
            <w:pPr>
              <w:spacing w:after="0"/>
              <w:rPr>
                <w:sz w:val="10"/>
                <w:szCs w:val="10"/>
                <w:color w:val="auto"/>
              </w:rPr>
            </w:pPr>
          </w:p>
        </w:tc>
        <w:tc>
          <w:tcPr>
            <w:tcW w:w="260" w:type="dxa"/>
            <w:vAlign w:val="bottom"/>
            <w:gridSpan w:val="4"/>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 ​​ ​</w:t>
            </w:r>
          </w:p>
        </w:tc>
        <w:tc>
          <w:tcPr>
            <w:tcW w:w="420" w:type="dxa"/>
            <w:vAlign w:val="bottom"/>
            <w:shd w:val="clear" w:color="auto" w:fill="CCEEFF"/>
          </w:tcPr>
          <w:p>
            <w:pPr>
              <w:spacing w:after="0"/>
              <w:rPr>
                <w:sz w:val="10"/>
                <w:szCs w:val="10"/>
                <w:color w:val="auto"/>
              </w:rPr>
            </w:pPr>
          </w:p>
        </w:tc>
        <w:tc>
          <w:tcPr>
            <w:tcW w:w="320" w:type="dxa"/>
            <w:vAlign w:val="bottom"/>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 ​​ ​</w:t>
            </w:r>
          </w:p>
        </w:tc>
        <w:tc>
          <w:tcPr>
            <w:tcW w:w="500" w:type="dxa"/>
            <w:vAlign w:val="bottom"/>
            <w:shd w:val="clear" w:color="auto" w:fill="CCEEFF"/>
          </w:tcPr>
          <w:p>
            <w:pPr>
              <w:spacing w:after="0"/>
              <w:rPr>
                <w:sz w:val="10"/>
                <w:szCs w:val="10"/>
                <w:color w:val="auto"/>
              </w:rPr>
            </w:pPr>
          </w:p>
        </w:tc>
        <w:tc>
          <w:tcPr>
            <w:tcW w:w="280" w:type="dxa"/>
            <w:vAlign w:val="bottom"/>
            <w:gridSpan w:val="4"/>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 ​​ ​</w:t>
            </w: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00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color w:val="auto"/>
              </w:rPr>
              <w:t>Preferred stock, $0.0001 par value per share; 10,000,000 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authorized, no shares outstanding, actual and as adjusted</w:t>
            </w:r>
          </w:p>
        </w:tc>
        <w:tc>
          <w:tcPr>
            <w:tcW w:w="20" w:type="dxa"/>
            <w:vAlign w:val="bottom"/>
          </w:tcPr>
          <w:p>
            <w:pPr>
              <w:spacing w:after="0"/>
              <w:rPr>
                <w:sz w:val="15"/>
                <w:szCs w:val="15"/>
                <w:color w:val="auto"/>
              </w:rPr>
            </w:pP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00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color w:val="auto"/>
              </w:rPr>
              <w:t>Common stock, $0.0001 par value per share; 100,000,000 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authorized, 28,267,517 shares outstanding, actual, 45,693,366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shares outstanding, as adjusted, and 49,221,592 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outstanding, as further adjusted</w:t>
            </w:r>
          </w:p>
        </w:tc>
        <w:tc>
          <w:tcPr>
            <w:tcW w:w="20" w:type="dxa"/>
            <w:vAlign w:val="bottom"/>
          </w:tcPr>
          <w:p>
            <w:pPr>
              <w:spacing w:after="0"/>
              <w:rPr>
                <w:sz w:val="15"/>
                <w:szCs w:val="15"/>
                <w:color w:val="auto"/>
              </w:rPr>
            </w:pPr>
          </w:p>
        </w:tc>
        <w:tc>
          <w:tcPr>
            <w:tcW w:w="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 ​​ ​</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6"/>
        </w:trPr>
        <w:tc>
          <w:tcPr>
            <w:tcW w:w="400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tcPr>
          <w:p>
            <w:pPr>
              <w:spacing w:after="0"/>
              <w:rPr>
                <w:sz w:val="13"/>
                <w:szCs w:val="13"/>
                <w:color w:val="auto"/>
              </w:rPr>
            </w:pPr>
          </w:p>
        </w:tc>
        <w:tc>
          <w:tcPr>
            <w:tcW w:w="2340" w:type="dxa"/>
            <w:vAlign w:val="bottom"/>
            <w:gridSpan w:val="16"/>
          </w:tcPr>
          <w:p>
            <w:pPr>
              <w:ind w:left="20"/>
              <w:spacing w:after="0" w:line="156" w:lineRule="exact"/>
              <w:rPr>
                <w:sz w:val="20"/>
                <w:szCs w:val="20"/>
                <w:color w:val="auto"/>
              </w:rPr>
            </w:pPr>
            <w:r>
              <w:rPr>
                <w:rFonts w:ascii="Times New Roman" w:cs="Times New Roman" w:eastAsia="Times New Roman" w:hAnsi="Times New Roman"/>
                <w:sz w:val="14"/>
                <w:szCs w:val="14"/>
                <w:color w:val="auto"/>
              </w:rPr>
              <w:t>​ ​​ ​618,711​​ ​​ ​3,256,060​​ ​​ ​4,096,947​</w:t>
            </w: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0" w:type="dxa"/>
            <w:vAlign w:val="bottom"/>
            <w:shd w:val="clear" w:color="auto" w:fill="CCEEFF"/>
          </w:tcPr>
          <w:p>
            <w:pPr>
              <w:spacing w:after="0"/>
              <w:rPr>
                <w:sz w:val="13"/>
                <w:szCs w:val="13"/>
                <w:color w:val="auto"/>
              </w:rPr>
            </w:pPr>
          </w:p>
        </w:tc>
        <w:tc>
          <w:tcPr>
            <w:tcW w:w="260" w:type="dxa"/>
            <w:vAlign w:val="bottom"/>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4"/>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(6,514​​) ​​ ​</w:t>
            </w:r>
          </w:p>
        </w:tc>
        <w:tc>
          <w:tcPr>
            <w:tcW w:w="780" w:type="dxa"/>
            <w:vAlign w:val="bottom"/>
            <w:gridSpan w:val="5"/>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(6,514​​) ​​ ​</w:t>
            </w:r>
          </w:p>
        </w:tc>
        <w:tc>
          <w:tcPr>
            <w:tcW w:w="5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(6,514​)</w:t>
            </w:r>
          </w:p>
        </w:tc>
        <w:tc>
          <w:tcPr>
            <w:tcW w:w="20" w:type="dxa"/>
            <w:vAlign w:val="bottom"/>
          </w:tcPr>
          <w:p>
            <w:pPr>
              <w:spacing w:after="0"/>
              <w:rPr>
                <w:sz w:val="13"/>
                <w:szCs w:val="13"/>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66"/>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0" w:type="dxa"/>
            <w:vAlign w:val="bottom"/>
          </w:tcPr>
          <w:p>
            <w:pPr>
              <w:spacing w:after="0"/>
              <w:rPr>
                <w:sz w:val="14"/>
                <w:szCs w:val="14"/>
                <w:color w:val="auto"/>
              </w:rPr>
            </w:pPr>
          </w:p>
        </w:tc>
        <w:tc>
          <w:tcPr>
            <w:tcW w:w="100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auto"/>
              </w:rPr>
              <w:t>​ ​​ ​274,306​​ ​​ ​</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255,403​​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254,910</w:t>
            </w: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00" w:type="dxa"/>
            <w:vAlign w:val="bottom"/>
            <w:tcBorders>
              <w:top w:val="single" w:sz="8" w:color="CCEEFF"/>
              <w:bottom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3"/>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top w:val="single" w:sz="8" w:color="auto"/>
              <w:bottom w:val="single" w:sz="8" w:color="auto"/>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 ​886,507</w:t>
            </w:r>
          </w:p>
        </w:tc>
        <w:tc>
          <w:tcPr>
            <w:tcW w:w="180" w:type="dxa"/>
            <w:vAlign w:val="bottom"/>
            <w:tcBorders>
              <w:top w:val="single" w:sz="8" w:color="CCEEFF"/>
              <w:bottom w:val="single" w:sz="8" w:color="CCEE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top w:val="single" w:sz="8" w:color="auto"/>
              <w:bottom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​3,504,955</w:t>
            </w:r>
          </w:p>
        </w:tc>
        <w:tc>
          <w:tcPr>
            <w:tcW w:w="180" w:type="dxa"/>
            <w:vAlign w:val="bottom"/>
            <w:tcBorders>
              <w:top w:val="single" w:sz="8" w:color="CCEEFF"/>
              <w:bottom w:val="single" w:sz="8" w:color="CCEEFF"/>
            </w:tcBorders>
            <w:gridSpan w:val="3"/>
            <w:shd w:val="clear" w:color="auto" w:fill="CCEEFF"/>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top w:val="single" w:sz="8" w:color="auto"/>
              <w:bottom w:val="single" w:sz="8" w:color="auto"/>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rPr>
              <w:t>​ ​4,345,349</w:t>
            </w:r>
          </w:p>
        </w:tc>
        <w:tc>
          <w:tcPr>
            <w:tcW w:w="20" w:type="dxa"/>
            <w:vAlign w:val="bottom"/>
          </w:tcPr>
          <w:p>
            <w:pPr>
              <w:spacing w:after="0"/>
              <w:rPr>
                <w:sz w:val="13"/>
                <w:szCs w:val="13"/>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40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Total capitalization</w:t>
            </w:r>
          </w:p>
        </w:tc>
        <w:tc>
          <w:tcPr>
            <w:tcW w:w="20" w:type="dxa"/>
            <w:vAlign w:val="bottom"/>
          </w:tcPr>
          <w:p>
            <w:pPr>
              <w:spacing w:after="0"/>
              <w:rPr>
                <w:sz w:val="13"/>
                <w:szCs w:val="13"/>
                <w:color w:val="auto"/>
              </w:rPr>
            </w:pPr>
          </w:p>
        </w:tc>
        <w:tc>
          <w:tcPr>
            <w:tcW w:w="1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gridSpan w:val="2"/>
          </w:tcPr>
          <w:p>
            <w:pPr>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957,369</w:t>
            </w:r>
          </w:p>
        </w:tc>
        <w:tc>
          <w:tcPr>
            <w:tcW w:w="1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4,562,881</w:t>
            </w:r>
          </w:p>
        </w:tc>
        <w:tc>
          <w:tcPr>
            <w:tcW w:w="1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10"/>
                <w:szCs w:val="10"/>
                <w:b w:val="1"/>
                <w:bCs w:val="1"/>
                <w:u w:val="single" w:color="auto"/>
                <w:color w:val="auto"/>
              </w:rPr>
              <w:t>$</w:t>
            </w:r>
            <w:r>
              <w:rPr>
                <w:rFonts w:ascii="Times New Roman" w:cs="Times New Roman" w:eastAsia="Times New Roman" w:hAnsi="Times New Roman"/>
                <w:sz w:val="10"/>
                <w:szCs w:val="10"/>
                <w:b w:val="1"/>
                <w:bCs w:val="1"/>
                <w:color w:val="auto"/>
              </w:rPr>
              <w:t>5,614,987</w:t>
            </w:r>
          </w:p>
        </w:tc>
        <w:tc>
          <w:tcPr>
            <w:tcW w:w="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0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-1074420</wp:posOffset>
            </wp:positionV>
            <wp:extent cx="4010660" cy="422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10660" cy="42227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-349250</wp:posOffset>
            </wp:positionV>
            <wp:extent cx="360807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08070" cy="63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-2308225</wp:posOffset>
            </wp:positionV>
            <wp:extent cx="10541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5410" cy="635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-2308225</wp:posOffset>
            </wp:positionV>
            <wp:extent cx="10541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90" w:lineRule="exact"/>
        <w:rPr>
          <w:sz w:val="20"/>
          <w:szCs w:val="20"/>
          <w:color w:val="auto"/>
        </w:rPr>
      </w:pPr>
    </w:p>
    <w:p>
      <w:pPr>
        <w:ind w:left="1620" w:right="1399" w:hanging="274"/>
        <w:spacing w:after="0" w:line="278" w:lineRule="auto"/>
        <w:tabs>
          <w:tab w:leader="none" w:pos="1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reflects outstanding borrowings under the Revolving Credit Facility, excluding approximately $9.4 million outstanding in letters of credit.</w:t>
      </w:r>
    </w:p>
    <w:p>
      <w:pPr>
        <w:spacing w:after="0" w:line="11" w:lineRule="exact"/>
        <w:rPr>
          <w:rFonts w:ascii="Times New Roman" w:cs="Times New Roman" w:eastAsia="Times New Roman" w:hAnsi="Times New Roman"/>
          <w:sz w:val="14"/>
          <w:szCs w:val="14"/>
          <w:color w:val="auto"/>
        </w:rPr>
      </w:pPr>
    </w:p>
    <w:p>
      <w:pPr>
        <w:ind w:left="1620" w:right="1359" w:hanging="274"/>
        <w:spacing w:after="0" w:line="252" w:lineRule="auto"/>
        <w:tabs>
          <w:tab w:leader="none" w:pos="1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table above for the convertible notes offered in the Concurrent Convertible Notes Offering represent their principal amount. However, we expect that the initial liability carrying amount of the convertible notes for accounting purposes will be recorded net of issuance costs, which will be treated as a debt discount for accounting purposes and amortized into interest expense over the term of the convertible notes. As a result of this amortization, the interest expense that we expect to recognize for the convertible notes for accounting purposes will be greater than the cash special interest payments, if any, we may be required to pay on the convertible notes, which will result in lower reported net income or larger reported net loss.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THE CONCURRENT CONVERTIBLE NOTES OFFERING</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Concurrently with this common stock offering, we are offering $650,000,000 aggregate principal</w:t>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amount of our 0% Convertible Senior Notes due 2030 (or $747,500,000 aggregate principal amount if the</w:t>
      </w:r>
    </w:p>
    <w:p>
      <w:pPr>
        <w:ind w:left="1340"/>
        <w:spacing w:after="0"/>
        <w:rPr>
          <w:sz w:val="20"/>
          <w:szCs w:val="20"/>
          <w:color w:val="auto"/>
        </w:rPr>
      </w:pPr>
      <w:r>
        <w:rPr>
          <w:rFonts w:ascii="Times New Roman" w:cs="Times New Roman" w:eastAsia="Times New Roman" w:hAnsi="Times New Roman"/>
          <w:sz w:val="14"/>
          <w:szCs w:val="14"/>
          <w:color w:val="auto"/>
        </w:rPr>
        <w:t>underwriters in the Concurrent Convertible Notes Offering exercise in full their over-allotment option)</w:t>
      </w:r>
    </w:p>
    <w:p>
      <w:pPr>
        <w:ind w:left="1340"/>
        <w:spacing w:after="0" w:line="232" w:lineRule="auto"/>
        <w:rPr>
          <w:sz w:val="20"/>
          <w:szCs w:val="20"/>
          <w:color w:val="auto"/>
        </w:rPr>
      </w:pPr>
      <w:r>
        <w:rPr>
          <w:rFonts w:ascii="Times New Roman" w:cs="Times New Roman" w:eastAsia="Times New Roman" w:hAnsi="Times New Roman"/>
          <w:sz w:val="14"/>
          <w:szCs w:val="14"/>
          <w:color w:val="auto"/>
        </w:rPr>
        <w:t>pursuant to a separate prospectus supplement in an underwritten public offering. The convertible notes will</w:t>
      </w:r>
    </w:p>
    <w:p>
      <w:pPr>
        <w:ind w:left="1340"/>
        <w:spacing w:after="0"/>
        <w:rPr>
          <w:sz w:val="20"/>
          <w:szCs w:val="20"/>
          <w:color w:val="auto"/>
        </w:rPr>
      </w:pPr>
      <w:r>
        <w:rPr>
          <w:rFonts w:ascii="Times New Roman" w:cs="Times New Roman" w:eastAsia="Times New Roman" w:hAnsi="Times New Roman"/>
          <w:sz w:val="14"/>
          <w:szCs w:val="14"/>
          <w:color w:val="auto"/>
        </w:rPr>
        <w:t>mature on July 15, 2030 unless repurchased, redeemed or converted prior to the maturity date. The</w:t>
      </w:r>
    </w:p>
    <w:p>
      <w:pPr>
        <w:ind w:left="1340"/>
        <w:spacing w:after="0"/>
        <w:rPr>
          <w:sz w:val="20"/>
          <w:szCs w:val="20"/>
          <w:color w:val="auto"/>
        </w:rPr>
      </w:pPr>
      <w:r>
        <w:rPr>
          <w:rFonts w:ascii="Times New Roman" w:cs="Times New Roman" w:eastAsia="Times New Roman" w:hAnsi="Times New Roman"/>
          <w:sz w:val="14"/>
          <w:szCs w:val="14"/>
          <w:color w:val="auto"/>
        </w:rPr>
        <w:t>convertible notes will not bear regular interest, and the principal amount of the notes will not accrete.</w:t>
      </w:r>
    </w:p>
    <w:p>
      <w:pPr>
        <w:ind w:left="1340"/>
        <w:spacing w:after="0" w:line="232" w:lineRule="auto"/>
        <w:rPr>
          <w:sz w:val="20"/>
          <w:szCs w:val="20"/>
          <w:color w:val="auto"/>
        </w:rPr>
      </w:pPr>
      <w:r>
        <w:rPr>
          <w:rFonts w:ascii="Times New Roman" w:cs="Times New Roman" w:eastAsia="Times New Roman" w:hAnsi="Times New Roman"/>
          <w:sz w:val="14"/>
          <w:szCs w:val="14"/>
          <w:color w:val="auto"/>
        </w:rPr>
        <w:t>Holders of the convertible notes may convert their convertible notes at their option only under the following</w:t>
      </w:r>
    </w:p>
    <w:p>
      <w:pPr>
        <w:ind w:left="1340"/>
        <w:spacing w:after="0"/>
        <w:rPr>
          <w:sz w:val="20"/>
          <w:szCs w:val="20"/>
          <w:color w:val="auto"/>
        </w:rPr>
      </w:pPr>
      <w:r>
        <w:rPr>
          <w:rFonts w:ascii="Times New Roman" w:cs="Times New Roman" w:eastAsia="Times New Roman" w:hAnsi="Times New Roman"/>
          <w:sz w:val="14"/>
          <w:szCs w:val="14"/>
          <w:color w:val="auto"/>
        </w:rPr>
        <w:t>circumstances: (1) during any calendar quarter (and only during such calendar quarter) commencing after</w:t>
      </w:r>
    </w:p>
    <w:p>
      <w:pPr>
        <w:ind w:left="1340"/>
        <w:spacing w:after="0"/>
        <w:rPr>
          <w:sz w:val="20"/>
          <w:szCs w:val="20"/>
          <w:color w:val="auto"/>
        </w:rPr>
      </w:pPr>
      <w:r>
        <w:rPr>
          <w:rFonts w:ascii="Times New Roman" w:cs="Times New Roman" w:eastAsia="Times New Roman" w:hAnsi="Times New Roman"/>
          <w:sz w:val="14"/>
          <w:szCs w:val="14"/>
          <w:color w:val="auto"/>
        </w:rPr>
        <w:t>the calendar quarter ending on December 31, 2025, if the last reported sale price per share of our common</w:t>
      </w:r>
    </w:p>
    <w:p>
      <w:pPr>
        <w:ind w:left="1340"/>
        <w:spacing w:after="0" w:line="232" w:lineRule="auto"/>
        <w:rPr>
          <w:sz w:val="20"/>
          <w:szCs w:val="20"/>
          <w:color w:val="auto"/>
        </w:rPr>
      </w:pPr>
      <w:r>
        <w:rPr>
          <w:rFonts w:ascii="Times New Roman" w:cs="Times New Roman" w:eastAsia="Times New Roman" w:hAnsi="Times New Roman"/>
          <w:sz w:val="14"/>
          <w:szCs w:val="14"/>
          <w:color w:val="auto"/>
        </w:rPr>
        <w:t>stock exceeds 130% of the conversion price for each of at least 20 trading days, whether or not consecutive,</w:t>
      </w:r>
    </w:p>
    <w:p>
      <w:pPr>
        <w:ind w:left="1340"/>
        <w:spacing w:after="0"/>
        <w:rPr>
          <w:sz w:val="20"/>
          <w:szCs w:val="20"/>
          <w:color w:val="auto"/>
        </w:rPr>
      </w:pPr>
      <w:r>
        <w:rPr>
          <w:rFonts w:ascii="Times New Roman" w:cs="Times New Roman" w:eastAsia="Times New Roman" w:hAnsi="Times New Roman"/>
          <w:sz w:val="14"/>
          <w:szCs w:val="14"/>
          <w:color w:val="auto"/>
        </w:rPr>
        <w:t>during the 30 consecutive trading days ending on, and including, the last trading day of the immediately</w:t>
      </w:r>
    </w:p>
    <w:p>
      <w:pPr>
        <w:ind w:left="1340"/>
        <w:spacing w:after="0"/>
        <w:rPr>
          <w:sz w:val="20"/>
          <w:szCs w:val="20"/>
          <w:color w:val="auto"/>
        </w:rPr>
      </w:pPr>
      <w:r>
        <w:rPr>
          <w:rFonts w:ascii="Times New Roman" w:cs="Times New Roman" w:eastAsia="Times New Roman" w:hAnsi="Times New Roman"/>
          <w:sz w:val="14"/>
          <w:szCs w:val="14"/>
          <w:color w:val="auto"/>
        </w:rPr>
        <w:t>preceding calendar quarter; (2) during the five consecutive business days immediately after any 10</w:t>
      </w:r>
    </w:p>
    <w:p>
      <w:pPr>
        <w:ind w:left="1340"/>
        <w:spacing w:after="0" w:line="232" w:lineRule="auto"/>
        <w:rPr>
          <w:sz w:val="20"/>
          <w:szCs w:val="20"/>
          <w:color w:val="auto"/>
        </w:rPr>
      </w:pPr>
      <w:r>
        <w:rPr>
          <w:rFonts w:ascii="Times New Roman" w:cs="Times New Roman" w:eastAsia="Times New Roman" w:hAnsi="Times New Roman"/>
          <w:sz w:val="14"/>
          <w:szCs w:val="14"/>
          <w:color w:val="auto"/>
        </w:rPr>
        <w:t>consecutive trading day period (such 10 consecutive trading day period, the “measurement period”) in</w:t>
      </w:r>
    </w:p>
    <w:p>
      <w:pPr>
        <w:ind w:left="1340"/>
        <w:spacing w:after="0"/>
        <w:rPr>
          <w:sz w:val="20"/>
          <w:szCs w:val="20"/>
          <w:color w:val="auto"/>
        </w:rPr>
      </w:pPr>
      <w:r>
        <w:rPr>
          <w:rFonts w:ascii="Times New Roman" w:cs="Times New Roman" w:eastAsia="Times New Roman" w:hAnsi="Times New Roman"/>
          <w:sz w:val="14"/>
          <w:szCs w:val="14"/>
          <w:color w:val="auto"/>
        </w:rPr>
        <w:t>which the trading price per $1,000 principal amount of convertible notes for each trading day of the</w:t>
      </w:r>
    </w:p>
    <w:p>
      <w:pPr>
        <w:ind w:left="1340"/>
        <w:spacing w:after="0"/>
        <w:rPr>
          <w:sz w:val="20"/>
          <w:szCs w:val="20"/>
          <w:color w:val="auto"/>
        </w:rPr>
      </w:pPr>
      <w:r>
        <w:rPr>
          <w:rFonts w:ascii="Times New Roman" w:cs="Times New Roman" w:eastAsia="Times New Roman" w:hAnsi="Times New Roman"/>
          <w:sz w:val="14"/>
          <w:szCs w:val="14"/>
          <w:color w:val="auto"/>
        </w:rPr>
        <w:t>measurement period was less than 98% of the product of the last reported sale price per share of our</w:t>
      </w:r>
    </w:p>
    <w:p>
      <w:pPr>
        <w:ind w:left="1340"/>
        <w:spacing w:after="0" w:line="232" w:lineRule="auto"/>
        <w:rPr>
          <w:sz w:val="20"/>
          <w:szCs w:val="20"/>
          <w:color w:val="auto"/>
        </w:rPr>
      </w:pPr>
      <w:r>
        <w:rPr>
          <w:rFonts w:ascii="Times New Roman" w:cs="Times New Roman" w:eastAsia="Times New Roman" w:hAnsi="Times New Roman"/>
          <w:sz w:val="14"/>
          <w:szCs w:val="14"/>
          <w:color w:val="auto"/>
        </w:rPr>
        <w:t>common stock on such trading day and the conversion rate on such trading day; (3) upon the occurrence of</w:t>
      </w:r>
    </w:p>
    <w:p>
      <w:pPr>
        <w:ind w:left="1340"/>
        <w:spacing w:after="0"/>
        <w:rPr>
          <w:sz w:val="20"/>
          <w:szCs w:val="20"/>
          <w:color w:val="auto"/>
        </w:rPr>
      </w:pPr>
      <w:r>
        <w:rPr>
          <w:rFonts w:ascii="Times New Roman" w:cs="Times New Roman" w:eastAsia="Times New Roman" w:hAnsi="Times New Roman"/>
          <w:sz w:val="14"/>
          <w:szCs w:val="14"/>
          <w:color w:val="auto"/>
        </w:rPr>
        <w:t>certain corporate events or distributions on our common stock; (4) if we call such convertible notes for</w:t>
      </w:r>
    </w:p>
    <w:p>
      <w:pPr>
        <w:ind w:left="1340"/>
        <w:spacing w:after="0"/>
        <w:rPr>
          <w:sz w:val="20"/>
          <w:szCs w:val="20"/>
          <w:color w:val="auto"/>
        </w:rPr>
      </w:pPr>
      <w:r>
        <w:rPr>
          <w:rFonts w:ascii="Times New Roman" w:cs="Times New Roman" w:eastAsia="Times New Roman" w:hAnsi="Times New Roman"/>
          <w:sz w:val="14"/>
          <w:szCs w:val="14"/>
          <w:color w:val="auto"/>
        </w:rPr>
        <w:t>redemption; and (5) at any time from, and including, April 15, 2030 until the close of business on the</w:t>
      </w:r>
    </w:p>
    <w:p>
      <w:pPr>
        <w:ind w:left="1340"/>
        <w:spacing w:after="0" w:line="232" w:lineRule="auto"/>
        <w:rPr>
          <w:sz w:val="20"/>
          <w:szCs w:val="20"/>
          <w:color w:val="auto"/>
        </w:rPr>
      </w:pPr>
      <w:r>
        <w:rPr>
          <w:rFonts w:ascii="Times New Roman" w:cs="Times New Roman" w:eastAsia="Times New Roman" w:hAnsi="Times New Roman"/>
          <w:sz w:val="14"/>
          <w:szCs w:val="14"/>
          <w:color w:val="auto"/>
        </w:rPr>
        <w:t>second scheduled trading day immediately before their maturity date. We will settle conversions by paying</w:t>
      </w:r>
    </w:p>
    <w:p>
      <w:pPr>
        <w:ind w:left="1340"/>
        <w:spacing w:after="0"/>
        <w:rPr>
          <w:sz w:val="20"/>
          <w:szCs w:val="20"/>
          <w:color w:val="auto"/>
        </w:rPr>
      </w:pPr>
      <w:r>
        <w:rPr>
          <w:rFonts w:ascii="Times New Roman" w:cs="Times New Roman" w:eastAsia="Times New Roman" w:hAnsi="Times New Roman"/>
          <w:sz w:val="14"/>
          <w:szCs w:val="14"/>
          <w:color w:val="auto"/>
        </w:rPr>
        <w:t>or delivering, as applicable, cash and, if applicable, shares of our common stock, at our election, based on</w:t>
      </w:r>
    </w:p>
    <w:p>
      <w:pPr>
        <w:ind w:left="1340"/>
        <w:spacing w:after="0"/>
        <w:rPr>
          <w:sz w:val="20"/>
          <w:szCs w:val="20"/>
          <w:color w:val="auto"/>
        </w:rPr>
      </w:pPr>
      <w:r>
        <w:rPr>
          <w:rFonts w:ascii="Times New Roman" w:cs="Times New Roman" w:eastAsia="Times New Roman" w:hAnsi="Times New Roman"/>
          <w:sz w:val="14"/>
          <w:szCs w:val="14"/>
          <w:color w:val="auto"/>
        </w:rPr>
        <w:t>the applicable conversion rate. The initial conversion rate is 3.1017 shares of common stock per $1,000</w:t>
      </w:r>
    </w:p>
    <w:p>
      <w:pPr>
        <w:ind w:left="1340"/>
        <w:spacing w:after="0" w:line="232" w:lineRule="auto"/>
        <w:rPr>
          <w:sz w:val="20"/>
          <w:szCs w:val="20"/>
          <w:color w:val="auto"/>
        </w:rPr>
      </w:pPr>
      <w:r>
        <w:rPr>
          <w:rFonts w:ascii="Times New Roman" w:cs="Times New Roman" w:eastAsia="Times New Roman" w:hAnsi="Times New Roman"/>
          <w:sz w:val="14"/>
          <w:szCs w:val="14"/>
          <w:color w:val="auto"/>
        </w:rPr>
        <w:t>principal amount of convertible notes, which represents an initial conversion price of approximately</w:t>
      </w:r>
    </w:p>
    <w:p>
      <w:pPr>
        <w:ind w:left="1340"/>
        <w:spacing w:after="0"/>
        <w:rPr>
          <w:sz w:val="20"/>
          <w:szCs w:val="20"/>
          <w:color w:val="auto"/>
        </w:rPr>
      </w:pPr>
      <w:r>
        <w:rPr>
          <w:rFonts w:ascii="Times New Roman" w:cs="Times New Roman" w:eastAsia="Times New Roman" w:hAnsi="Times New Roman"/>
          <w:sz w:val="14"/>
          <w:szCs w:val="14"/>
          <w:color w:val="auto"/>
        </w:rPr>
        <w:t>$322.40 per share of common stock. The conversion rate and conversion price will be subject to adjustment</w:t>
      </w:r>
    </w:p>
    <w:p>
      <w:pPr>
        <w:spacing w:after="0" w:line="4" w:lineRule="exact"/>
        <w:rPr>
          <w:sz w:val="20"/>
          <w:szCs w:val="20"/>
          <w:color w:val="auto"/>
        </w:rPr>
      </w:pPr>
    </w:p>
    <w:p>
      <w:pPr>
        <w:ind w:left="1340" w:right="1379"/>
        <w:spacing w:after="0" w:line="238" w:lineRule="auto"/>
        <w:rPr>
          <w:sz w:val="20"/>
          <w:szCs w:val="20"/>
          <w:color w:val="auto"/>
        </w:rPr>
      </w:pPr>
      <w:r>
        <w:rPr>
          <w:rFonts w:ascii="Times New Roman" w:cs="Times New Roman" w:eastAsia="Times New Roman" w:hAnsi="Times New Roman"/>
          <w:sz w:val="14"/>
          <w:szCs w:val="14"/>
          <w:color w:val="auto"/>
        </w:rPr>
        <w:t>upon the occurrence of certain events. If a “make- whole fundamental change” (which​ will be defined in the supplemental indenture governing the convertible notes to include certain business combination transactions involving us, the delisting of our common stock or our calling the convertible notes for redemption (only with respect to the convertible notes so called)) occurs, then we will in certain circumstances increase the conversion rate for a specified period of time.</w:t>
      </w:r>
    </w:p>
    <w:p>
      <w:pPr>
        <w:spacing w:after="0" w:line="90"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The convertible notes will be redeemable, in whole or in part (subject to certain limitations described below), at our option at any time, and from time to time, on or after July 21, 2028 and on or before the 61st scheduled trading day immediately before their maturity date, at a cash redemption price equal to the principal amount of the convertible notes to be redeemed, plus accrued and unpaid special interest, if any, to, but excluding, the redemption date,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However, we may not redeem less than all of the outstanding convertible notes unless at least $100 million aggregate principal amount of convertible notes are outstanding and not called for redemption as of the time we send the related redemption notice. In addition, calling any convertible note for redemption will constitute a make-whole fundamental change with respect to that convertible note, in which case the conversion rate applicable to the conversion of that convertible note will be increased in certain circumstances if it is converted after it is called for redemption.</w:t>
      </w:r>
    </w:p>
    <w:p>
      <w:pPr>
        <w:spacing w:after="0" w:line="93"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If a “fundamental change” ​(as defined in the supplemental indenture governing the convertible notes) occurs, then, subject to a limited exception, noteholders may require us to repurchase their convertible notes at a cash repurchase price equal to the principal amount of the convertible notes to be repurchased, plus accrued and unpaid special interest, if any, to, but excluding, the fundamental change repurchase date.</w:t>
      </w:r>
    </w:p>
    <w:p>
      <w:pPr>
        <w:spacing w:after="0" w:line="85" w:lineRule="exact"/>
        <w:rPr>
          <w:sz w:val="20"/>
          <w:szCs w:val="20"/>
          <w:color w:val="auto"/>
        </w:rPr>
      </w:pPr>
    </w:p>
    <w:p>
      <w:pPr>
        <w:ind w:left="1340" w:right="1499" w:firstLine="277"/>
        <w:spacing w:after="0" w:line="241" w:lineRule="auto"/>
        <w:rPr>
          <w:sz w:val="20"/>
          <w:szCs w:val="20"/>
          <w:color w:val="auto"/>
        </w:rPr>
      </w:pPr>
      <w:r>
        <w:rPr>
          <w:rFonts w:ascii="Times New Roman" w:cs="Times New Roman" w:eastAsia="Times New Roman" w:hAnsi="Times New Roman"/>
          <w:sz w:val="14"/>
          <w:szCs w:val="14"/>
          <w:color w:val="auto"/>
        </w:rPr>
        <w:t>The convertible notes will be our senior, unsecured obligations and will be equal in right of payment with our existing and future senior, unsecured indebtedness, senior in right of payment to our existing and future indebtedness that is expressly subordinated to the convertible notes and effectively subordinated to our existing and future secured indebtedness, to the extent of the value of the collateral securing that indebtedness, including any borrowings under the New Term Loan and the Revolving Credit Facility. The convertible notes will be structurally subordinated to all existing and future indebtedness and other liabilities, including trade payables, and (to the extent we are not a holder thereof) preferred equity, if any, of our subsidiaries.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59" w:firstLine="277"/>
        <w:spacing w:after="0" w:line="252" w:lineRule="auto"/>
        <w:rPr>
          <w:sz w:val="20"/>
          <w:szCs w:val="20"/>
          <w:color w:val="auto"/>
        </w:rPr>
      </w:pPr>
      <w:r>
        <w:rPr>
          <w:rFonts w:ascii="Times New Roman" w:cs="Times New Roman" w:eastAsia="Times New Roman" w:hAnsi="Times New Roman"/>
          <w:sz w:val="14"/>
          <w:szCs w:val="14"/>
          <w:color w:val="auto"/>
        </w:rPr>
        <w:t>Neither this offering nor the Concurrent Convertible Notes Offering is conditioned upon the completion of the other, so it is possible that this offering occurs and the Concurrent Convertible Notes Offering does not occur, or vice versa. We cannot assure you that the Concurrent Convertible Notes Offering will be completed on the terms described herein, on significantly different terms or at all. The Concurrent Convertible Notes Offering is being made pursuant to a separate prospectus supplement and nothing contained herein shall constitute an offer to sell or the solicitation of an offer to buy the convertible notes to be issued in the Concurrent Convertible Notes Offering.</w:t>
      </w:r>
    </w:p>
    <w:p>
      <w:pPr>
        <w:spacing w:after="0" w:line="95" w:lineRule="exact"/>
        <w:rPr>
          <w:sz w:val="20"/>
          <w:szCs w:val="20"/>
          <w:color w:val="auto"/>
        </w:rPr>
      </w:pPr>
    </w:p>
    <w:p>
      <w:pPr>
        <w:ind w:left="1340" w:right="1559" w:firstLine="277"/>
        <w:spacing w:after="0" w:line="278" w:lineRule="auto"/>
        <w:rPr>
          <w:sz w:val="20"/>
          <w:szCs w:val="20"/>
          <w:color w:val="auto"/>
        </w:rPr>
      </w:pPr>
      <w:r>
        <w:rPr>
          <w:rFonts w:ascii="Times New Roman" w:cs="Times New Roman" w:eastAsia="Times New Roman" w:hAnsi="Times New Roman"/>
          <w:sz w:val="14"/>
          <w:szCs w:val="14"/>
          <w:color w:val="auto"/>
        </w:rPr>
        <w:t>See “Use of Proceeds” for additional information regarding the use of proceeds from the Concurrent Convertible Notes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22"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We are offering the shares of common stock described in this prospectus supplement through a number of underwriters. J.P. Morgan Securities LLC and BofA Securities, Inc. are acting as lead book-running managers of the offering and as representatives of the underwriters. We intend to enter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w:t>
      </w:r>
    </w:p>
    <w:tbl>
      <w:tblPr>
        <w:tblLayout w:type="fixed"/>
        <w:tblInd w:w="1340" w:type="dxa"/>
        <w:tblCellMar>
          <w:top w:w="0" w:type="dxa"/>
          <w:left w:w="0" w:type="dxa"/>
          <w:bottom w:w="0" w:type="dxa"/>
          <w:right w:w="0" w:type="dxa"/>
        </w:tblCellMar>
      </w:tblPr>
      <w:tr>
        <w:trPr>
          <w:trHeight w:val="280"/>
        </w:trPr>
        <w:tc>
          <w:tcPr>
            <w:tcW w:w="5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 xml:space="preserve">Number of Shares </w:t>
            </w:r>
            <w:r>
              <w:rPr>
                <w:rFonts w:ascii="Times New Roman" w:cs="Times New Roman" w:eastAsia="Times New Roman" w:hAnsi="Times New Roman"/>
                <w:sz w:val="22"/>
                <w:szCs w:val="22"/>
                <w:b w:val="1"/>
                <w:bCs w:val="1"/>
                <w:color w:val="auto"/>
                <w:w w:val="97"/>
                <w:vertAlign w:val="subscript"/>
              </w:rPr>
              <w:t>​</w:t>
            </w:r>
          </w:p>
        </w:tc>
      </w:tr>
      <w:tr>
        <w:trPr>
          <w:trHeight w:val="188"/>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​1,270,161</w:t>
            </w: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​1,105,510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James &amp; Associates, Inc.</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164,651</w:t>
            </w:r>
          </w:p>
        </w:tc>
        <w:tc>
          <w:tcPr>
            <w:tcW w:w="8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7"/>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Blair &amp; Company, L.L.C.</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164,651</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Robert W. Baird &amp; Co. Incorporated</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164,651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164,651</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BTIG, LLC</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Citizens JMP Securities, LLC</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98,790</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BMO Capital Markets Corp.</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98,790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​3,528,226</w:t>
            </w:r>
          </w:p>
        </w:tc>
        <w:tc>
          <w:tcPr>
            <w:tcW w:w="80" w:type="dxa"/>
            <w:vAlign w:val="bottom"/>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-1430655</wp:posOffset>
            </wp:positionV>
            <wp:extent cx="10541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80"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The underwriters are committed to purchase all of the shares of common stock offered by us if they purchase any shares. The underwriting agreement also provides that if an underwriter defaults, the purchase commitments of the non-defaulting underwriters may also be increased or the offering may be terminated.</w:t>
      </w:r>
    </w:p>
    <w:p>
      <w:pPr>
        <w:spacing w:after="0" w:line="86"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The underwriters propose to offer the shares of common stock directly to the public at the initial public offering price set forth on the cover page of this prospectus supplement and to certain dealers at that price less a concession not in excess of $5.58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93" w:lineRule="exact"/>
        <w:rPr>
          <w:sz w:val="20"/>
          <w:szCs w:val="20"/>
          <w:color w:val="auto"/>
        </w:rPr>
      </w:pPr>
    </w:p>
    <w:p>
      <w:pPr>
        <w:ind w:left="1340" w:right="1459" w:firstLine="277"/>
        <w:spacing w:after="0" w:line="252" w:lineRule="auto"/>
        <w:rPr>
          <w:sz w:val="20"/>
          <w:szCs w:val="20"/>
          <w:color w:val="auto"/>
        </w:rPr>
      </w:pPr>
      <w:r>
        <w:rPr>
          <w:rFonts w:ascii="Times New Roman" w:cs="Times New Roman" w:eastAsia="Times New Roman" w:hAnsi="Times New Roman"/>
          <w:sz w:val="14"/>
          <w:szCs w:val="14"/>
          <w:color w:val="auto"/>
        </w:rPr>
        <w:t>The underwriters have an option to buy up to 529,234 additional shares of common stock from us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84" w:lineRule="exact"/>
        <w:rPr>
          <w:sz w:val="20"/>
          <w:szCs w:val="20"/>
          <w:color w:val="auto"/>
        </w:rPr>
      </w:pPr>
    </w:p>
    <w:p>
      <w:pPr>
        <w:ind w:left="1340" w:right="1459" w:firstLine="277"/>
        <w:spacing w:after="0" w:line="256" w:lineRule="auto"/>
        <w:rPr>
          <w:sz w:val="20"/>
          <w:szCs w:val="20"/>
          <w:color w:val="auto"/>
        </w:rPr>
      </w:pPr>
      <w:r>
        <w:rPr>
          <w:rFonts w:ascii="Times New Roman" w:cs="Times New Roman" w:eastAsia="Times New Roman" w:hAnsi="Times New Roman"/>
          <w:sz w:val="14"/>
          <w:szCs w:val="14"/>
          <w:color w:val="auto"/>
        </w:rPr>
        <w:t>The underwriting fee is equal to the public offering price per share of common stock less the amount paid by the underwriters to us per share of common stock. The underwriting fee is $9.30 per share. The following table shows the per share and total underwriting discounts and commissions to be paid to the underwriters assuming both no exercise and full exercise of the underwriters’ option to purchase additional shares.</w:t>
      </w:r>
    </w:p>
    <w:p>
      <w:pPr>
        <w:spacing w:after="0" w:line="283"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Without option to</w:t>
            </w:r>
          </w:p>
        </w:tc>
        <w:tc>
          <w:tcPr>
            <w:tcW w:w="160" w:type="dxa"/>
            <w:vAlign w:val="bottom"/>
          </w:tcPr>
          <w:p>
            <w:pPr>
              <w:spacing w:after="0"/>
              <w:rPr>
                <w:sz w:val="10"/>
                <w:szCs w:val="10"/>
                <w:color w:val="auto"/>
              </w:rPr>
            </w:pP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With full option to</w:t>
            </w:r>
          </w:p>
        </w:tc>
      </w:tr>
      <w:tr>
        <w:trPr>
          <w:trHeight w:val="125"/>
        </w:trPr>
        <w:tc>
          <w:tcPr>
            <w:tcW w:w="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6"/>
              </w:rPr>
              <w:t>purchase additional</w:t>
            </w:r>
          </w:p>
        </w:tc>
        <w:tc>
          <w:tcPr>
            <w:tcW w:w="160" w:type="dxa"/>
            <w:vAlign w:val="bottom"/>
          </w:tcPr>
          <w:p>
            <w:pPr>
              <w:spacing w:after="0"/>
              <w:rPr>
                <w:sz w:val="10"/>
                <w:szCs w:val="10"/>
                <w:color w:val="auto"/>
              </w:rPr>
            </w:pPr>
          </w:p>
        </w:tc>
        <w:tc>
          <w:tcPr>
            <w:tcW w:w="1880" w:type="dxa"/>
            <w:vAlign w:val="bottom"/>
            <w:gridSpan w:val="3"/>
          </w:tcPr>
          <w:p>
            <w:pPr>
              <w:jc w:val="right"/>
              <w:ind w:right="911"/>
              <w:spacing w:after="0" w:line="125" w:lineRule="exact"/>
              <w:rPr>
                <w:sz w:val="20"/>
                <w:szCs w:val="20"/>
                <w:color w:val="auto"/>
              </w:rPr>
            </w:pPr>
            <w:r>
              <w:rPr>
                <w:rFonts w:ascii="Times New Roman" w:cs="Times New Roman" w:eastAsia="Times New Roman" w:hAnsi="Times New Roman"/>
                <w:sz w:val="11"/>
                <w:szCs w:val="11"/>
                <w:b w:val="1"/>
                <w:bCs w:val="1"/>
                <w:color w:val="auto"/>
                <w:w w:val="94"/>
              </w:rPr>
              <w:t>purchase additional</w:t>
            </w:r>
          </w:p>
        </w:tc>
      </w:tr>
      <w:tr>
        <w:trPr>
          <w:trHeight w:val="165"/>
        </w:trPr>
        <w:tc>
          <w:tcPr>
            <w:tcW w:w="96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520" w:type="dxa"/>
            <w:vAlign w:val="bottom"/>
          </w:tcPr>
          <w:p>
            <w:pPr>
              <w:ind w:left="2400"/>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4"/>
              </w:rPr>
              <w:t>shares exercise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Pr>
          <w:p>
            <w:pPr>
              <w:spacing w:after="0"/>
              <w:rPr>
                <w:sz w:val="14"/>
                <w:szCs w:val="14"/>
                <w:color w:val="auto"/>
              </w:rPr>
            </w:pPr>
          </w:p>
        </w:tc>
        <w:tc>
          <w:tcPr>
            <w:tcW w:w="178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shares exercise  </w:t>
            </w:r>
            <w:r>
              <w:rPr>
                <w:rFonts w:ascii="Times New Roman" w:cs="Times New Roman" w:eastAsia="Times New Roman" w:hAnsi="Times New Roman"/>
                <w:sz w:val="19"/>
                <w:szCs w:val="19"/>
                <w:b w:val="1"/>
                <w:bCs w:val="1"/>
                <w:color w:val="auto"/>
                <w:vertAlign w:val="subscript"/>
              </w:rPr>
              <w:t>​</w:t>
            </w:r>
          </w:p>
        </w:tc>
      </w:tr>
      <w:tr>
        <w:trPr>
          <w:trHeight w:val="20"/>
        </w:trPr>
        <w:tc>
          <w:tcPr>
            <w:tcW w:w="96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7"/>
        </w:trPr>
        <w:tc>
          <w:tcPr>
            <w:tcW w:w="960" w:type="dxa"/>
            <w:vAlign w:val="bottom"/>
          </w:tcPr>
          <w:p>
            <w:pPr>
              <w:spacing w:after="0"/>
              <w:rPr>
                <w:sz w:val="15"/>
                <w:szCs w:val="15"/>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w:t>
            </w:r>
          </w:p>
        </w:tc>
        <w:tc>
          <w:tcPr>
            <w:tcW w:w="264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9.30​​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9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500" w:type="dxa"/>
            <w:vAlign w:val="bottom"/>
            <w:gridSpan w:val="7"/>
          </w:tcPr>
          <w:p>
            <w:pPr>
              <w:ind w:left="2400"/>
              <w:spacing w:after="0"/>
              <w:rPr>
                <w:sz w:val="20"/>
                <w:szCs w:val="20"/>
                <w:color w:val="auto"/>
              </w:rPr>
            </w:pPr>
            <w:r>
              <w:rPr>
                <w:rFonts w:ascii="Times New Roman" w:cs="Times New Roman" w:eastAsia="Times New Roman" w:hAnsi="Times New Roman"/>
                <w:sz w:val="14"/>
                <w:szCs w:val="14"/>
                <w:color w:val="auto"/>
              </w:rPr>
              <w:t>​ ​​$ 32,812,501.80​​ ​​$ 37,734,378.00</w:t>
            </w:r>
            <w:r>
              <w:rPr>
                <w:rFonts w:ascii="Times New Roman" w:cs="Times New Roman" w:eastAsia="Times New Roman" w:hAnsi="Times New Roman"/>
                <w:sz w:val="14"/>
                <w:szCs w:val="14"/>
                <w:b w:val="1"/>
                <w:bCs w:val="1"/>
                <w:color w:val="auto"/>
              </w:rPr>
              <w:t>​</w:t>
            </w:r>
          </w:p>
        </w:tc>
      </w:tr>
      <w:tr>
        <w:trPr>
          <w:trHeight w:val="447"/>
        </w:trPr>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S-16</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9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-744855</wp:posOffset>
            </wp:positionV>
            <wp:extent cx="342392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3920" cy="635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-25400</wp:posOffset>
            </wp:positionV>
            <wp:extent cx="3175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-25400</wp:posOffset>
            </wp:positionV>
            <wp:extent cx="3175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We estimate that the total expenses of this offering, including registration, filing fees, printing fees and legal and accounting expenses, but excluding the underwriting discounts and commissions, will be approximately $2.6 million.</w:t>
      </w:r>
    </w:p>
    <w:p>
      <w:pPr>
        <w:spacing w:after="0" w:line="79" w:lineRule="exact"/>
        <w:rPr>
          <w:sz w:val="20"/>
          <w:szCs w:val="20"/>
          <w:color w:val="auto"/>
        </w:rPr>
      </w:pPr>
    </w:p>
    <w:p>
      <w:pPr>
        <w:ind w:left="1340" w:right="1439" w:firstLine="277"/>
        <w:spacing w:after="0" w:line="243"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9"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undertake any of the foregoing, or (ii) enter into any swap or other agreement that transfers, in whole or in part, any of the economic consequences of the ownership of any shares of common stock or any such other securities (whether any of these transactions are to be settled by the delivery of shares of common stock or such other securities, in cash or otherwise), in each case without the prior written consent of J.P. Morgan Securities LLC and BofA Securities, Inc., for a period of 90 days after the date of the final prospectus supplement for this offering (the “clear market period”), other than the shares of our common stock to be sold in this offering.</w:t>
      </w:r>
    </w:p>
    <w:p>
      <w:pPr>
        <w:spacing w:after="0" w:line="255"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The restrictions on our actions, as described above, do not apply to certain transactions, including (i) the convertible notes to be issued and sold pursuant to the Concurrent Convertible Notes Offering and any shares of common stock issued upon conversion of the convertible notes; (ii)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supplement;</w:t>
      </w:r>
    </w:p>
    <w:p>
      <w:pPr>
        <w:ind w:left="1340" w:right="1379" w:firstLine="6"/>
        <w:spacing w:after="0" w:line="248" w:lineRule="auto"/>
        <w:tabs>
          <w:tab w:leader="none" w:pos="159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(A) in effect as of the closing of this offering and described in this prospectus supplement or (B) duly adopted by us following the closing of this offering; (iv) the issuance of up to 10% of the outstanding shares of our common stock, or securities convertible into, exercisable for, or which are otherwise exchangeable for, our common stock, immediately following the closing of this offering, in acquisitions or other similar strategic transactions, provided that such recipients enter into a lock-up agreement with the underwriters for the duration of the clear market period; or (v) our filing of any registration statement on Form S-8 relating to securities granted or to be granted pursuant to any plan in effect on the date of the underwriting agreement and described in this prospectus supplement or any assumed benefit plan pursuant to an acquisition or similar strategic transaction.</w:t>
      </w:r>
    </w:p>
    <w:p>
      <w:pPr>
        <w:spacing w:after="0" w:line="264"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Our directors and executive officers (such persons, the “lock-up parties”) have entered into lock-up agreements with the underwriters prior to the commencement of this offering pursuant to which each lock-up party, with limited exceptions, for a period of 90 days after the date of the final prospectus supplement (such period, the “restricted period”), may not (and may not cause any of their direct or indirect affiliates to),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51" w:lineRule="auto"/>
        <w:rPr>
          <w:sz w:val="20"/>
          <w:szCs w:val="20"/>
          <w:color w:val="auto"/>
        </w:rPr>
      </w:pPr>
      <w:r>
        <w:rPr>
          <w:rFonts w:ascii="Times New Roman" w:cs="Times New Roman" w:eastAsia="Times New Roman" w:hAnsi="Times New Roman"/>
          <w:sz w:val="14"/>
          <w:szCs w:val="14"/>
          <w:color w:val="auto"/>
        </w:rPr>
        <w:t>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93"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or for bona fide estate planning purposes, (ii) by will, other testamentary document or intestacy,</w:t>
      </w:r>
    </w:p>
    <w:p>
      <w:pPr>
        <w:spacing w:after="0" w:line="1" w:lineRule="exact"/>
        <w:rPr>
          <w:sz w:val="20"/>
          <w:szCs w:val="20"/>
          <w:color w:val="auto"/>
        </w:rPr>
      </w:pPr>
    </w:p>
    <w:p>
      <w:pPr>
        <w:ind w:left="1340" w:right="1399" w:firstLine="6"/>
        <w:spacing w:after="0" w:line="247" w:lineRule="auto"/>
        <w:tabs>
          <w:tab w:leader="none" w:pos="159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trust for the direct or indirect benefit of the lock-up party or any immediate family member or if the lock-up party is a trust, to a trustor or beneficiary of the trust or to the estate of a beneficiary of such trust, (iv) to a partnership, limited liability company or other entity of which the lock-up party and/or its immediate family members are the legal and beneficial owner of all of the outstanding equity securities or similar interests, (v) to a nominee or custodian of a person or entity to whom a disposition or transfer would be permissible under clauses (i) through (iv), (vi)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(including, for the avoidance of doubt, where the lock-up party is a partnership, to its general partner or a successor partnership or fund, or any other funds managed by such partnership) or</w:t>
      </w:r>
    </w:p>
    <w:p>
      <w:pPr>
        <w:spacing w:after="0" w:line="5" w:lineRule="exact"/>
        <w:rPr>
          <w:rFonts w:ascii="Times New Roman" w:cs="Times New Roman" w:eastAsia="Times New Roman" w:hAnsi="Times New Roman"/>
          <w:sz w:val="14"/>
          <w:szCs w:val="14"/>
          <w:color w:val="auto"/>
        </w:rPr>
      </w:pPr>
    </w:p>
    <w:p>
      <w:pPr>
        <w:ind w:left="1340" w:right="141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as part of a distribution to members or shareholders of the lock-up party; (vii) by operation of law, such as pursuant to a qualified domestic order, divorce settlement, divorce decree or separation agreement;</w:t>
      </w:r>
    </w:p>
    <w:p>
      <w:pPr>
        <w:spacing w:after="0" w:line="1" w:lineRule="exact"/>
        <w:rPr>
          <w:rFonts w:ascii="Times New Roman" w:cs="Times New Roman" w:eastAsia="Times New Roman" w:hAnsi="Times New Roman"/>
          <w:sz w:val="14"/>
          <w:szCs w:val="14"/>
          <w:color w:val="auto"/>
        </w:rPr>
      </w:pPr>
    </w:p>
    <w:p>
      <w:pPr>
        <w:ind w:left="1680" w:hanging="334"/>
        <w:spacing w:after="0"/>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 us from an employee upon death, disability or termination of employment of such employee or</w:t>
      </w:r>
    </w:p>
    <w:p>
      <w:pPr>
        <w:spacing w:after="0" w:line="5" w:lineRule="exact"/>
        <w:rPr>
          <w:rFonts w:ascii="Times New Roman" w:cs="Times New Roman" w:eastAsia="Times New Roman" w:hAnsi="Times New Roman"/>
          <w:sz w:val="14"/>
          <w:szCs w:val="14"/>
          <w:color w:val="auto"/>
        </w:rPr>
      </w:pPr>
    </w:p>
    <w:p>
      <w:pPr>
        <w:ind w:left="1340" w:right="137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to us pursuant to the provisions of any of our policies with respect to the recoupment of incentive-based compensation, (ix) as part of a sale of lock-up securities acquired in this offering or in open market transactions after the completion of this offering, (x) (A) to us or (B) in broker-assisted market transactions in connection with the vesting, settlement or exercise of restricted stock units, options, warrants or other rights to purchase shares of our common stock (including, in transfers to us, “net” or “cashless” exercise), including for the payment of exercise price and tax and remittance payments due as a result of the vesting, settlement, or exercise of such restricted stock awards, restricted stock units, options, warrants or rights, provided that any such shares of common stock received and, in the case of transfers contemplated in clause (B), retained upon such exercise, vesting or settlement shall be subject to the terms of this prospectus supplement,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supplement,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one or more trading plans after the date of the final prospectus supplement under Rule 10b5-1 under the Exchange Act for the transfer or disposition of shares of lock-up securities, provided that (A) such plan does not provide for the transfer or disposition of lock-up securities during the restricted period (B) any public announcement or filing under the Exchange Act made by any person regarding the establishment of such plan during the restricted period shall include a statement that the lock-up part is not permitted to transfer, sell or otherwise dispose of securities under such plan during the restricted period in contravention of the lock-up agreement.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99" w:firstLine="277"/>
        <w:spacing w:after="0" w:line="255" w:lineRule="auto"/>
        <w:rPr>
          <w:sz w:val="20"/>
          <w:szCs w:val="20"/>
          <w:color w:val="auto"/>
        </w:rPr>
      </w:pPr>
      <w:r>
        <w:rPr>
          <w:rFonts w:ascii="Times New Roman" w:cs="Times New Roman" w:eastAsia="Times New Roman" w:hAnsi="Times New Roman"/>
          <w:sz w:val="14"/>
          <w:szCs w:val="14"/>
          <w:color w:val="auto"/>
        </w:rPr>
        <w:t>J.P. Morgan Securities LLC and BofA Securities, Inc., in their sole discretion, may release the securities subject to any of the lock-up agreements with the underwriters described above, in whole or in part at any time.</w:t>
      </w:r>
    </w:p>
    <w:p>
      <w:pPr>
        <w:spacing w:after="0" w:line="79"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Our common stock is listed/quoted on Nasdaq under the symbol “AVAV.”</w:t>
      </w:r>
    </w:p>
    <w:p>
      <w:pPr>
        <w:spacing w:after="0" w:line="120"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239" w:lineRule="exact"/>
        <w:rPr>
          <w:sz w:val="20"/>
          <w:szCs w:val="20"/>
          <w:color w:val="auto"/>
        </w:rPr>
      </w:pPr>
    </w:p>
    <w:p>
      <w:pPr>
        <w:ind w:left="1340" w:right="1579" w:firstLine="277"/>
        <w:spacing w:after="0" w:line="244" w:lineRule="auto"/>
        <w:rPr>
          <w:sz w:val="20"/>
          <w:szCs w:val="20"/>
          <w:color w:val="auto"/>
        </w:rPr>
      </w:pPr>
      <w:r>
        <w:rPr>
          <w:rFonts w:ascii="Times New Roman" w:cs="Times New Roman" w:eastAsia="Times New Roman" w:hAnsi="Times New Roman"/>
          <w:sz w:val="14"/>
          <w:szCs w:val="14"/>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88"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80"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3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22"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JPMorgan Chase Bank, N.A. and Bank of America, N.A., affiliates of J.P. Morgan Securities LLC and BofA Securities, Inc., respectively, are lenders under the New Term Loan and the Revolving Credit Facility. A portion of the net proceeds from this offering will be used to fund the repayment of our outstanding borrowings thereunder. As a result, we expect that more than 5% of the net proceeds from this offering will</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79"/>
        <w:spacing w:after="0" w:line="247" w:lineRule="auto"/>
        <w:rPr>
          <w:sz w:val="20"/>
          <w:szCs w:val="20"/>
          <w:color w:val="auto"/>
        </w:rPr>
      </w:pPr>
      <w:r>
        <w:rPr>
          <w:rFonts w:ascii="Times New Roman" w:cs="Times New Roman" w:eastAsia="Times New Roman" w:hAnsi="Times New Roman"/>
          <w:sz w:val="14"/>
          <w:szCs w:val="14"/>
          <w:color w:val="auto"/>
        </w:rPr>
        <w:t>be received by affiliates of each of J.P. Morgan Securities LLC and BofA Securities, Inc. Therefore, this offering is being made in compliance with FINRA Rule 5121. Pursuant to Rule 5121, the appointment of a “qualified independent underwriter” is not required in connection with this offering as a “bona fide public market,” as defined in Rule 5121, exists for our common stock.</w:t>
      </w:r>
    </w:p>
    <w:p>
      <w:pPr>
        <w:spacing w:after="0" w:line="85" w:lineRule="exact"/>
        <w:rPr>
          <w:sz w:val="20"/>
          <w:szCs w:val="20"/>
          <w:color w:val="auto"/>
        </w:rPr>
      </w:pPr>
    </w:p>
    <w:p>
      <w:pPr>
        <w:ind w:left="1340" w:right="1359" w:firstLine="277"/>
        <w:spacing w:after="0"/>
        <w:rPr>
          <w:sz w:val="20"/>
          <w:szCs w:val="20"/>
          <w:color w:val="auto"/>
        </w:rPr>
      </w:pPr>
      <w:r>
        <w:rPr>
          <w:rFonts w:ascii="Times New Roman" w:cs="Times New Roman" w:eastAsia="Times New Roman" w:hAnsi="Times New Roman"/>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In addition, certain of the underwriters and/or their respective affiliates are lenders under the New Term Loan and the Revolving Credit Facility and, as a result, will receive a portion of the net proceeds from this offering that we intend to allocate to the repayment of such borrowings, on a pro rata basis across all applicable lenders thereunder. See “Use of Proceeds.”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Concurrent Convertible Notes Offering</w:t>
      </w:r>
    </w:p>
    <w:p>
      <w:pPr>
        <w:spacing w:after="0" w:line="111"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Concurrently with this offering, we are conducting a public offering of $650,000,000 aggregate principal amount of the convertible notes (or up to $747,500,000 aggregate principal amount if the underwriters in the Concurrent Convertible Notes Offering exercise in full their over-allotment option). Neither this offering nor the Concurrent Convertible Notes Offering is conditioned upon the completion of the other, so it is possible that this offering occurs and the Concurrent Convertible Notes Offering does not occur, or vice versa. We cannot assure you that the Concurrent Convertible Notes Offering will be completed on the terms described herein, on significantly different terms or at all. The Concurrent Convertible Notes Offering is being made pursuant to a separate prospectus supplement and nothing contained herein shall constitute an offer to sell or the solicitation of an offer to buy the convertible notes to be issued in the Concurrent Convertible Notes Offering.</w:t>
      </w:r>
    </w:p>
    <w:p>
      <w:pPr>
        <w:spacing w:after="0" w:line="3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11" w:lineRule="exact"/>
        <w:rPr>
          <w:sz w:val="20"/>
          <w:szCs w:val="20"/>
          <w:color w:val="auto"/>
        </w:rPr>
      </w:pPr>
    </w:p>
    <w:p>
      <w:pPr>
        <w:ind w:left="1340" w:right="1439" w:firstLine="277"/>
        <w:spacing w:after="0" w:line="244"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88" w:lineRule="exact"/>
        <w:rPr>
          <w:sz w:val="20"/>
          <w:szCs w:val="20"/>
          <w:color w:val="auto"/>
        </w:rPr>
      </w:pPr>
    </w:p>
    <w:p>
      <w:pPr>
        <w:ind w:left="1900" w:right="1799" w:hanging="277"/>
        <w:spacing w:after="0" w:line="278" w:lineRule="auto"/>
        <w:tabs>
          <w:tab w:leader="none" w:pos="1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63" w:lineRule="exact"/>
        <w:rPr>
          <w:rFonts w:ascii="Times New Roman" w:cs="Times New Roman" w:eastAsia="Times New Roman" w:hAnsi="Times New Roman"/>
          <w:sz w:val="14"/>
          <w:szCs w:val="14"/>
          <w:color w:val="auto"/>
        </w:rPr>
      </w:pPr>
    </w:p>
    <w:p>
      <w:pPr>
        <w:ind w:left="1900" w:right="1359" w:hanging="277"/>
        <w:spacing w:after="0" w:line="278" w:lineRule="auto"/>
        <w:tabs>
          <w:tab w:leader="none" w:pos="1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or</w:t>
      </w:r>
    </w:p>
    <w:p>
      <w:pPr>
        <w:spacing w:after="0" w:line="73" w:lineRule="exact"/>
        <w:rPr>
          <w:rFonts w:ascii="Times New Roman" w:cs="Times New Roman" w:eastAsia="Times New Roman" w:hAnsi="Times New Roman"/>
          <w:sz w:val="14"/>
          <w:szCs w:val="14"/>
          <w:color w:val="auto"/>
        </w:rPr>
      </w:pPr>
    </w:p>
    <w:p>
      <w:pPr>
        <w:ind w:left="1900" w:hanging="277"/>
        <w:spacing w:after="0"/>
        <w:tabs>
          <w:tab w:leader="none" w:pos="1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20" w:lineRule="exact"/>
        <w:rPr>
          <w:sz w:val="20"/>
          <w:szCs w:val="20"/>
          <w:color w:val="auto"/>
        </w:rPr>
      </w:pPr>
    </w:p>
    <w:p>
      <w:pPr>
        <w:ind w:left="1340" w:right="1379"/>
        <w:spacing w:after="0" w:line="251" w:lineRule="auto"/>
        <w:rPr>
          <w:sz w:val="20"/>
          <w:szCs w:val="20"/>
          <w:color w:val="auto"/>
        </w:rPr>
      </w:pPr>
      <w:r>
        <w:rPr>
          <w:rFonts w:ascii="Times New Roman" w:cs="Times New Roman" w:eastAsia="Times New Roman" w:hAnsi="Times New Roman"/>
          <w:sz w:val="14"/>
          <w:szCs w:val="14"/>
          <w:color w:val="auto"/>
        </w:rPr>
        <w:t>provided that no such offer of the shares shall require us or any underwriter to publish a prospectus pursuant to Article 3 of the Prospectus Regulation or supplement a prospectus pursuant to Article 23 of the Prospectus Regulation.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spacing w:after="0" w:line="262" w:lineRule="auto"/>
        <w:rPr>
          <w:sz w:val="20"/>
          <w:szCs w:val="20"/>
          <w:color w:val="auto"/>
        </w:rPr>
      </w:pPr>
      <w:r>
        <w:rPr>
          <w:rFonts w:ascii="Times New Roman" w:cs="Times New Roman" w:eastAsia="Times New Roman" w:hAnsi="Times New Roman"/>
          <w:sz w:val="14"/>
          <w:szCs w:val="14"/>
          <w:color w:val="auto"/>
        </w:rPr>
        <w:t>any shares to the public other than their offer or resale in a Relevant State to qualified investors as so defined or in circumstances in which the prior consent of the underwriters has been obtained to each such proposed offer or resale.</w:t>
      </w:r>
    </w:p>
    <w:p>
      <w:pPr>
        <w:spacing w:after="0" w:line="86" w:lineRule="exact"/>
        <w:rPr>
          <w:sz w:val="20"/>
          <w:szCs w:val="20"/>
          <w:color w:val="auto"/>
        </w:rPr>
      </w:pPr>
    </w:p>
    <w:p>
      <w:pPr>
        <w:ind w:left="1340" w:right="1379" w:firstLine="277"/>
        <w:spacing w:after="0" w:line="25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22"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No shares have been offered or will be offered pursuant to the offering to the public in the United Kingdom prior to the publication of a prospectus in relation to the shares which either (i) has been approved by the Financial Conduct Authority or (ii)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w:t>
      </w:r>
    </w:p>
    <w:p>
      <w:pPr>
        <w:spacing w:after="0" w:line="83" w:lineRule="exact"/>
        <w:rPr>
          <w:sz w:val="20"/>
          <w:szCs w:val="20"/>
          <w:color w:val="auto"/>
        </w:rPr>
      </w:pPr>
    </w:p>
    <w:p>
      <w:pPr>
        <w:ind w:left="1900" w:right="1559" w:hanging="277"/>
        <w:spacing w:after="0" w:line="278" w:lineRule="auto"/>
        <w:tabs>
          <w:tab w:leader="none" w:pos="1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73" w:lineRule="exact"/>
        <w:rPr>
          <w:rFonts w:ascii="Times New Roman" w:cs="Times New Roman" w:eastAsia="Times New Roman" w:hAnsi="Times New Roman"/>
          <w:sz w:val="14"/>
          <w:szCs w:val="14"/>
          <w:color w:val="auto"/>
        </w:rPr>
      </w:pPr>
    </w:p>
    <w:p>
      <w:pPr>
        <w:jc w:val="both"/>
        <w:ind w:left="1900" w:right="1359" w:hanging="277"/>
        <w:spacing w:after="0" w:line="262" w:lineRule="auto"/>
        <w:tabs>
          <w:tab w:leader="none" w:pos="1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representatives for any such offer; or</w:t>
      </w:r>
    </w:p>
    <w:p>
      <w:pPr>
        <w:spacing w:after="0" w:line="85" w:lineRule="exact"/>
        <w:rPr>
          <w:rFonts w:ascii="Times New Roman" w:cs="Times New Roman" w:eastAsia="Times New Roman" w:hAnsi="Times New Roman"/>
          <w:sz w:val="14"/>
          <w:szCs w:val="14"/>
          <w:color w:val="auto"/>
        </w:rPr>
      </w:pPr>
    </w:p>
    <w:p>
      <w:pPr>
        <w:ind w:left="1900" w:hanging="277"/>
        <w:spacing w:after="0"/>
        <w:tabs>
          <w:tab w:leader="none" w:pos="19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FSMA,</w:t>
      </w:r>
    </w:p>
    <w:p>
      <w:pPr>
        <w:spacing w:after="0" w:line="120" w:lineRule="exact"/>
        <w:rPr>
          <w:sz w:val="20"/>
          <w:szCs w:val="20"/>
          <w:color w:val="auto"/>
        </w:rPr>
      </w:pPr>
    </w:p>
    <w:p>
      <w:pPr>
        <w:ind w:left="1340" w:right="1359"/>
        <w:spacing w:after="0" w:line="270" w:lineRule="auto"/>
        <w:rPr>
          <w:sz w:val="20"/>
          <w:szCs w:val="20"/>
          <w:color w:val="auto"/>
        </w:rPr>
      </w:pPr>
      <w:r>
        <w:rPr>
          <w:rFonts w:ascii="Times New Roman" w:cs="Times New Roman" w:eastAsia="Times New Roman" w:hAnsi="Times New Roman"/>
          <w:sz w:val="14"/>
          <w:szCs w:val="14"/>
          <w:color w:val="auto"/>
        </w:rPr>
        <w:t>provided that no such offer of the shares shall require us or any representative to publish a prospectus pursuant to Section 85 of the FSMA or supplement a prospectus pursuant to Article 23 of the UK Prospectus Regulation.</w:t>
      </w:r>
    </w:p>
    <w:p>
      <w:pPr>
        <w:spacing w:after="0" w:line="240"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0"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31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22" w:lineRule="exact"/>
        <w:rPr>
          <w:sz w:val="20"/>
          <w:szCs w:val="20"/>
          <w:color w:val="auto"/>
        </w:rPr>
      </w:pPr>
    </w:p>
    <w:p>
      <w:pPr>
        <w:ind w:left="1340" w:right="1459" w:firstLine="277"/>
        <w:spacing w:after="0" w:line="253" w:lineRule="auto"/>
        <w:rPr>
          <w:sz w:val="20"/>
          <w:szCs w:val="20"/>
          <w:color w:val="auto"/>
        </w:rPr>
      </w:pPr>
      <w:r>
        <w:rPr>
          <w:rFonts w:ascii="Times New Roman" w:cs="Times New Roman" w:eastAsia="Times New Roman" w:hAnsi="Times New Roman"/>
          <w:sz w:val="14"/>
          <w:szCs w:val="14"/>
          <w:color w:val="auto"/>
        </w:rPr>
        <w:t>The shares may not be publicly offered in Switzerland and will not be listed on the SIX Swiss Exchange, or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99"/>
        <w:spacing w:after="0" w:line="278" w:lineRule="auto"/>
        <w:rPr>
          <w:sz w:val="20"/>
          <w:szCs w:val="20"/>
          <w:color w:val="auto"/>
        </w:rPr>
      </w:pPr>
      <w:r>
        <w:rPr>
          <w:rFonts w:ascii="Times New Roman" w:cs="Times New Roman" w:eastAsia="Times New Roman" w:hAnsi="Times New Roman"/>
          <w:sz w:val="14"/>
          <w:szCs w:val="14"/>
          <w:color w:val="auto"/>
        </w:rPr>
        <w:t>offering or marketing material relating to the shares or the offering may be publicly distributed or otherwise made publicly available in Switzerland.</w:t>
      </w:r>
    </w:p>
    <w:p>
      <w:pPr>
        <w:spacing w:after="0" w:line="74" w:lineRule="exact"/>
        <w:rPr>
          <w:sz w:val="20"/>
          <w:szCs w:val="20"/>
          <w:color w:val="auto"/>
        </w:rPr>
      </w:pPr>
    </w:p>
    <w:p>
      <w:pPr>
        <w:ind w:left="1340" w:right="1519" w:firstLine="277"/>
        <w:spacing w:after="0" w:line="253"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22"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41" w:lineRule="exact"/>
        <w:rPr>
          <w:sz w:val="20"/>
          <w:szCs w:val="20"/>
          <w:color w:val="auto"/>
        </w:rPr>
      </w:pPr>
    </w:p>
    <w:p>
      <w:pPr>
        <w:ind w:left="1340" w:right="1439" w:firstLine="277"/>
        <w:spacing w:after="0" w:line="253"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or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8"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 (“DIFC”)</w:t>
      </w:r>
    </w:p>
    <w:p>
      <w:pPr>
        <w:spacing w:after="0" w:line="80"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This document relates to an Exempt Offer in accordance with the Markets Rules 2012 of the Dubai Financial Services Authority, or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43" w:lineRule="exact"/>
        <w:rPr>
          <w:sz w:val="20"/>
          <w:szCs w:val="20"/>
          <w:color w:val="auto"/>
        </w:rPr>
      </w:pPr>
    </w:p>
    <w:p>
      <w:pPr>
        <w:jc w:val="both"/>
        <w:ind w:left="1340" w:right="1459" w:firstLine="277"/>
        <w:spacing w:after="0" w:line="257" w:lineRule="auto"/>
        <w:rPr>
          <w:sz w:val="20"/>
          <w:szCs w:val="20"/>
          <w:color w:val="auto"/>
        </w:rPr>
      </w:pPr>
      <w:r>
        <w:rPr>
          <w:rFonts w:ascii="Times New Roman" w:cs="Times New Roman" w:eastAsia="Times New Roman" w:hAnsi="Times New Roman"/>
          <w:sz w:val="14"/>
          <w:szCs w:val="14"/>
          <w:color w:val="auto"/>
        </w:rPr>
        <w:t>In relation to its use in the Dubai International Financial Centre, or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United Arab Emirates</w:t>
      </w:r>
    </w:p>
    <w:p>
      <w:pPr>
        <w:spacing w:after="0" w:line="80" w:lineRule="exact"/>
        <w:rPr>
          <w:sz w:val="20"/>
          <w:szCs w:val="20"/>
          <w:color w:val="auto"/>
        </w:rPr>
      </w:pPr>
    </w:p>
    <w:p>
      <w:pPr>
        <w:ind w:left="1340" w:right="1539" w:firstLine="277"/>
        <w:spacing w:after="0" w:line="252" w:lineRule="auto"/>
        <w:rPr>
          <w:sz w:val="20"/>
          <w:szCs w:val="20"/>
          <w:color w:val="auto"/>
        </w:rPr>
      </w:pPr>
      <w:r>
        <w:rPr>
          <w:rFonts w:ascii="Times New Roman" w:cs="Times New Roman" w:eastAsia="Times New Roman" w:hAnsi="Times New Roman"/>
          <w:sz w:val="14"/>
          <w:szCs w:val="14"/>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supplement and accompanying prospectus do not constitute a public offer of securities in the United Arab Emirates (including the DIFC) and are not intended to be a public offer. This prospectus supplement and accompanying prospectus have not been approved by or filed with the Central Bank of the United Arab Emirates, the Securities and Commodities Authority or the DFSA.</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80"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The shares have not been and will not be registered pursuant to Article 4, Paragraph 1 of the Financial Instruments and Exchange Act, or the FIEA.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FIEA and any other applicable laws, regulations and ministerial guidelines of Japan in effect at the relevant time.</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80"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under the SFO; or</w:t>
      </w:r>
    </w:p>
    <w:p>
      <w:pPr>
        <w:spacing w:after="0" w:line="1" w:lineRule="exact"/>
        <w:rPr>
          <w:sz w:val="20"/>
          <w:szCs w:val="20"/>
          <w:color w:val="auto"/>
        </w:rPr>
      </w:pPr>
    </w:p>
    <w:p>
      <w:pPr>
        <w:ind w:left="1340" w:right="1379" w:firstLine="6"/>
        <w:spacing w:after="0" w:line="248" w:lineRule="auto"/>
        <w:tabs>
          <w:tab w:leader="none" w:pos="154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under the SFO.</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11"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3" w:lineRule="exact"/>
        <w:rPr>
          <w:sz w:val="20"/>
          <w:szCs w:val="20"/>
          <w:color w:val="auto"/>
        </w:rPr>
      </w:pPr>
    </w:p>
    <w:p>
      <w:pPr>
        <w:ind w:left="1340" w:right="1379" w:firstLine="277"/>
        <w:spacing w:after="0" w:line="253" w:lineRule="auto"/>
        <w:rPr>
          <w:sz w:val="20"/>
          <w:szCs w:val="20"/>
          <w:color w:val="auto"/>
        </w:rPr>
      </w:pPr>
      <w:r>
        <w:rPr>
          <w:rFonts w:ascii="Times New Roman" w:cs="Times New Roman" w:eastAsia="Times New Roman" w:hAnsi="Times New Roman"/>
          <w:sz w:val="14"/>
          <w:szCs w:val="14"/>
          <w:color w:val="auto"/>
        </w:rPr>
        <w:t>This prospectus supplement and accompanying prospectus have not been registered as a prospectus with the Monetary Authority of Singapore. Accordingly, this prospectus supplement and accompanying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w:t>
      </w:r>
    </w:p>
    <w:p>
      <w:pPr>
        <w:spacing w:after="0" w:line="52" w:lineRule="exact"/>
        <w:rPr>
          <w:sz w:val="20"/>
          <w:szCs w:val="20"/>
          <w:color w:val="auto"/>
        </w:rPr>
      </w:pPr>
    </w:p>
    <w:p>
      <w:pPr>
        <w:ind w:left="1900" w:right="1559" w:hanging="277"/>
        <w:spacing w:after="0" w:line="262"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in Section 4A of the Securities and Futures Act (Chapter 289) of Singapore, as modified or amended from time to time, or the SFA) pursuant to Section 274 of the SFA;</w:t>
      </w:r>
    </w:p>
    <w:p>
      <w:pPr>
        <w:spacing w:after="0" w:line="44" w:lineRule="exact"/>
        <w:rPr>
          <w:rFonts w:ascii="Times New Roman" w:cs="Times New Roman" w:eastAsia="Times New Roman" w:hAnsi="Times New Roman"/>
          <w:sz w:val="14"/>
          <w:szCs w:val="14"/>
          <w:color w:val="auto"/>
        </w:rPr>
      </w:pPr>
    </w:p>
    <w:p>
      <w:pPr>
        <w:ind w:left="1900" w:right="1379" w:hanging="277"/>
        <w:spacing w:after="0" w:line="262"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44" w:lineRule="exact"/>
        <w:rPr>
          <w:rFonts w:ascii="Times New Roman" w:cs="Times New Roman" w:eastAsia="Times New Roman" w:hAnsi="Times New Roman"/>
          <w:sz w:val="14"/>
          <w:szCs w:val="14"/>
          <w:color w:val="auto"/>
        </w:rPr>
      </w:pPr>
    </w:p>
    <w:p>
      <w:pPr>
        <w:ind w:left="1900" w:right="1439" w:hanging="277"/>
        <w:spacing w:after="0" w:line="278" w:lineRule="auto"/>
        <w:tabs>
          <w:tab w:leader="none" w:pos="1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is:</w:t>
      </w:r>
    </w:p>
    <w:p>
      <w:pPr>
        <w:spacing w:after="0" w:line="63" w:lineRule="exact"/>
        <w:rPr>
          <w:sz w:val="20"/>
          <w:szCs w:val="20"/>
          <w:color w:val="auto"/>
        </w:rPr>
      </w:pPr>
    </w:p>
    <w:p>
      <w:pPr>
        <w:jc w:val="both"/>
        <w:ind w:left="1900" w:right="1479" w:hanging="277"/>
        <w:spacing w:after="0" w:line="262" w:lineRule="auto"/>
        <w:tabs>
          <w:tab w:leader="none" w:pos="1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00" w:right="1359" w:hanging="277"/>
        <w:spacing w:after="0" w:line="253" w:lineRule="auto"/>
        <w:tabs>
          <w:tab w:leader="none" w:pos="1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51" w:lineRule="exact"/>
        <w:rPr>
          <w:rFonts w:ascii="Times New Roman" w:cs="Times New Roman" w:eastAsia="Times New Roman" w:hAnsi="Times New Roman"/>
          <w:sz w:val="14"/>
          <w:szCs w:val="14"/>
          <w:color w:val="auto"/>
        </w:rPr>
      </w:pPr>
    </w:p>
    <w:p>
      <w:pPr>
        <w:ind w:left="2180" w:right="1719" w:hanging="280"/>
        <w:spacing w:after="0" w:line="27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276(4)(i)(B) of the SFA;</w:t>
      </w:r>
    </w:p>
    <w:p>
      <w:pPr>
        <w:spacing w:after="0" w:line="32"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67"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77" w:lineRule="exact"/>
        <w:rPr>
          <w:rFonts w:ascii="Times New Roman" w:cs="Times New Roman" w:eastAsia="Times New Roman" w:hAnsi="Times New Roman"/>
          <w:sz w:val="14"/>
          <w:szCs w:val="14"/>
          <w:color w:val="auto"/>
        </w:rPr>
      </w:pPr>
    </w:p>
    <w:p>
      <w:pPr>
        <w:ind w:left="2180" w:hanging="280"/>
        <w:spacing w:after="0"/>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119" w:lineRule="exact"/>
        <w:rPr>
          <w:rFonts w:ascii="Times New Roman" w:cs="Times New Roman" w:eastAsia="Times New Roman" w:hAnsi="Times New Roman"/>
          <w:sz w:val="14"/>
          <w:szCs w:val="14"/>
          <w:color w:val="auto"/>
        </w:rPr>
      </w:pPr>
    </w:p>
    <w:p>
      <w:pPr>
        <w:ind w:left="2180" w:right="1959" w:hanging="280"/>
        <w:spacing w:after="0" w:line="278" w:lineRule="auto"/>
        <w:tabs>
          <w:tab w:leader="none" w:pos="2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2" w:lineRule="exact"/>
        <w:rPr>
          <w:sz w:val="20"/>
          <w:szCs w:val="20"/>
          <w:color w:val="auto"/>
        </w:rPr>
      </w:pPr>
    </w:p>
    <w:p>
      <w:pPr>
        <w:ind w:left="1340" w:right="1359" w:firstLine="277"/>
        <w:spacing w:after="0" w:line="278" w:lineRule="auto"/>
        <w:rPr>
          <w:sz w:val="20"/>
          <w:szCs w:val="20"/>
          <w:color w:val="auto"/>
        </w:rPr>
      </w:pPr>
      <w:r>
        <w:rPr>
          <w:rFonts w:ascii="Times New Roman" w:cs="Times New Roman" w:eastAsia="Times New Roman" w:hAnsi="Times New Roman"/>
          <w:sz w:val="14"/>
          <w:szCs w:val="14"/>
          <w:color w:val="auto"/>
        </w:rPr>
        <w:t>The validity of the common stock offered hereby will be passed upon for us by Latham &amp; Watkins LLP, and for the underwriters by Davis Polk &amp; Wardwell LLP.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AeroVironment, Inc.</w:t>
      </w:r>
    </w:p>
    <w:p>
      <w:pPr>
        <w:spacing w:after="0" w:line="122" w:lineRule="exact"/>
        <w:rPr>
          <w:sz w:val="20"/>
          <w:szCs w:val="20"/>
          <w:color w:val="auto"/>
        </w:rPr>
      </w:pPr>
    </w:p>
    <w:p>
      <w:pPr>
        <w:ind w:left="1340" w:right="1419" w:firstLine="277"/>
        <w:spacing w:after="0" w:line="253"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of AeroVironment, Inc., incorporated by reference in this prospectus </w:t>
      </w:r>
      <w:hyperlink r:id="rId73">
        <w:r>
          <w:rPr>
            <w:rFonts w:ascii="Times New Roman" w:cs="Times New Roman" w:eastAsia="Times New Roman" w:hAnsi="Times New Roman"/>
            <w:sz w:val="14"/>
            <w:szCs w:val="14"/>
            <w:color w:val="auto"/>
          </w:rPr>
          <w:t xml:space="preserve">supplement by reference to AeroVironment, Inc.’s </w:t>
        </w:r>
        <w:r>
          <w:rPr>
            <w:rFonts w:ascii="Times New Roman" w:cs="Times New Roman" w:eastAsia="Times New Roman" w:hAnsi="Times New Roman"/>
            <w:sz w:val="14"/>
            <w:szCs w:val="14"/>
            <w:u w:val="single" w:color="auto"/>
            <w:color w:val="0000EE"/>
          </w:rPr>
          <w:t>Annual Report on Form 10-K for the fiscal year ended</w:t>
        </w:r>
      </w:hyperlink>
      <w:r>
        <w:rPr>
          <w:rFonts w:ascii="Times New Roman" w:cs="Times New Roman" w:eastAsia="Times New Roman" w:hAnsi="Times New Roman"/>
          <w:sz w:val="14"/>
          <w:szCs w:val="14"/>
          <w:color w:val="auto"/>
        </w:rPr>
        <w:t xml:space="preserve"> </w:t>
      </w:r>
      <w:hyperlink r:id="rId73">
        <w:r>
          <w:rPr>
            <w:rFonts w:ascii="Times New Roman" w:cs="Times New Roman" w:eastAsia="Times New Roman" w:hAnsi="Times New Roman"/>
            <w:sz w:val="14"/>
            <w:szCs w:val="14"/>
            <w:u w:val="single" w:color="auto"/>
            <w:color w:val="0000EE"/>
          </w:rPr>
          <w:t>April 30, 2025</w:t>
        </w:r>
        <w:r>
          <w:rPr>
            <w:rFonts w:ascii="Times New Roman" w:cs="Times New Roman" w:eastAsia="Times New Roman" w:hAnsi="Times New Roman"/>
            <w:sz w:val="14"/>
            <w:szCs w:val="14"/>
            <w:color w:val="000000"/>
          </w:rPr>
          <w:t>, and the effectiveness of AeroVironment, Inc.’s internal control over financial reporting,</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BlueHalo Financing TopCo, LLC (f/k/a BlueHalo Financing Holdings, LLC)</w:t>
      </w:r>
    </w:p>
    <w:p>
      <w:pPr>
        <w:spacing w:after="0" w:line="111" w:lineRule="exact"/>
        <w:rPr>
          <w:sz w:val="20"/>
          <w:szCs w:val="20"/>
          <w:color w:val="auto"/>
        </w:rPr>
      </w:pPr>
    </w:p>
    <w:p>
      <w:pPr>
        <w:ind w:left="1340" w:right="1399" w:firstLine="277"/>
        <w:spacing w:after="0" w:line="253"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audited historical financial statements of BlueHalo Financing TopCo, LLC (f/k/a BlueHalo </w:t>
      </w:r>
      <w:hyperlink r:id="rId74">
        <w:r>
          <w:rPr>
            <w:rFonts w:ascii="Times New Roman" w:cs="Times New Roman" w:eastAsia="Times New Roman" w:hAnsi="Times New Roman"/>
            <w:sz w:val="14"/>
            <w:szCs w:val="14"/>
            <w:color w:val="auto"/>
          </w:rPr>
          <w:t xml:space="preserve">Financing Holdings, LLC) included in Exhibit 99.1 of AeroVironment, Inc.’s Current Report on </w:t>
        </w:r>
        <w:r>
          <w:rPr>
            <w:rFonts w:ascii="Times New Roman" w:cs="Times New Roman" w:eastAsia="Times New Roman" w:hAnsi="Times New Roman"/>
            <w:sz w:val="14"/>
            <w:szCs w:val="14"/>
            <w:u w:val="single" w:color="auto"/>
            <w:color w:val="0000EE"/>
          </w:rPr>
          <w:t>Form 8-</w:t>
        </w:r>
      </w:hyperlink>
      <w:hyperlink r:id="rId74">
        <w:r>
          <w:rPr>
            <w:rFonts w:ascii="Times New Roman" w:cs="Times New Roman" w:eastAsia="Times New Roman" w:hAnsi="Times New Roman"/>
            <w:sz w:val="14"/>
            <w:szCs w:val="14"/>
            <w:u w:val="single" w:color="auto"/>
            <w:color w:val="0000EE"/>
          </w:rPr>
          <w:t>K/A dated June 27,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(which contains an explanatory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paragraph relating to the ability of BlueHalo Financing TopCo, LLC (f/k/a BlueHalo Financing Holdings, LLC) to continue as a going concern as described in Note 1 and Note 8 to the financial statements) of PricewaterhouseCoopers LLP, independent auditors,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22"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on Form S-3 that we filed with the SEC related to the securities to be offered. This prospectus supplement does not contain all of the information set forth in the registration statement and the exhibits and schedules thereto. Some items are omitted in accordance with the rules and regulations of the SEC. For further information with respect to us and the securities offered hereby, we refer you to the registration statement and the exhibits and schedules filed therewith. Statements contained in this prospectus supplement as to the contents of any contract, agreement or any other document referred to are summaries of the material terms of the respective contract, agreement or other document. With respect to each of these contracts, agreements or other documents filed as an exhibit to the registration statement, reference is made to the exhibits for a more complete description of the matter involved.</w:t>
      </w:r>
    </w:p>
    <w:p>
      <w:pPr>
        <w:spacing w:after="0" w:line="261" w:lineRule="exact"/>
        <w:rPr>
          <w:sz w:val="20"/>
          <w:szCs w:val="20"/>
          <w:color w:val="auto"/>
        </w:rPr>
      </w:pPr>
    </w:p>
    <w:p>
      <w:pPr>
        <w:ind w:left="1340" w:right="1359" w:firstLine="277"/>
        <w:spacing w:after="0" w:line="255" w:lineRule="auto"/>
        <w:rPr>
          <w:sz w:val="20"/>
          <w:szCs w:val="20"/>
          <w:color w:val="auto"/>
        </w:rPr>
      </w:pPr>
      <w:r>
        <w:rPr>
          <w:rFonts w:ascii="Times New Roman" w:cs="Times New Roman" w:eastAsia="Times New Roman" w:hAnsi="Times New Roman"/>
          <w:sz w:val="14"/>
          <w:szCs w:val="14"/>
          <w:color w:val="auto"/>
        </w:rPr>
        <w:t>We are subject to the information requirements of the Exchange Act. In accordance with the Exchange Act, we file annual, quarterly and current reports, proxy statements and other information with the SEC. Our SEC filings are also available to the public from the SEC’s website at www.sec.gov. In addition, our filings are available from our website at www.avinc.com. None of the information on our website constitutes a part of this prospectus supplement.</w:t>
      </w:r>
    </w:p>
    <w:p>
      <w:pPr>
        <w:spacing w:after="0" w:line="80" w:lineRule="exact"/>
        <w:rPr>
          <w:sz w:val="20"/>
          <w:szCs w:val="20"/>
          <w:color w:val="auto"/>
        </w:rPr>
      </w:pPr>
    </w:p>
    <w:p>
      <w:pPr>
        <w:ind w:left="1340" w:right="1419" w:firstLine="277"/>
        <w:spacing w:after="0" w:line="251" w:lineRule="auto"/>
        <w:rPr>
          <w:sz w:val="20"/>
          <w:szCs w:val="20"/>
          <w:color w:val="auto"/>
        </w:rPr>
      </w:pPr>
      <w:r>
        <w:rPr>
          <w:rFonts w:ascii="Times New Roman" w:cs="Times New Roman" w:eastAsia="Times New Roman" w:hAnsi="Times New Roman"/>
          <w:sz w:val="14"/>
          <w:szCs w:val="14"/>
          <w:color w:val="auto"/>
        </w:rPr>
        <w:t>We are “incorporating by reference” into this prospectus supplement certain information that we file with the SEC,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statement so modified or superseded shall not be deemed, except as so modified or superseded, to constitute a part of this prospectus supplement. We incorporate by reference the documents listed below (other than information that we have furnished (rather than filed) on Form 8-K, which information is expressly not incorporated by reference herein):</w:t>
      </w:r>
    </w:p>
    <w:p>
      <w:pPr>
        <w:spacing w:after="0" w:line="64" w:lineRule="exact"/>
        <w:rPr>
          <w:sz w:val="20"/>
          <w:szCs w:val="20"/>
          <w:color w:val="auto"/>
        </w:rPr>
      </w:pPr>
    </w:p>
    <w:p>
      <w:pPr>
        <w:ind w:left="1760" w:right="1879" w:hanging="137"/>
        <w:spacing w:after="0" w:line="278" w:lineRule="auto"/>
        <w:tabs>
          <w:tab w:leader="none" w:pos="1760" w:val="left"/>
        </w:tabs>
        <w:numPr>
          <w:ilvl w:val="0"/>
          <w:numId w:val="19"/>
        </w:numPr>
        <w:rPr>
          <w:rFonts w:ascii="Times New Roman" w:cs="Times New Roman" w:eastAsia="Times New Roman" w:hAnsi="Times New Roman"/>
          <w:sz w:val="14"/>
          <w:szCs w:val="14"/>
          <w:u w:val="single" w:color="auto"/>
          <w:color w:val="0000EE"/>
        </w:rPr>
      </w:pPr>
      <w:hyperlink r:id="rId73">
        <w:r>
          <w:rPr>
            <w:rFonts w:ascii="Times New Roman" w:cs="Times New Roman" w:eastAsia="Times New Roman" w:hAnsi="Times New Roman"/>
            <w:sz w:val="14"/>
            <w:szCs w:val="14"/>
            <w:u w:val="single" w:color="auto"/>
            <w:color w:val="0000EE"/>
          </w:rPr>
          <w:t>Annual Report on Form 10-K for the fiscal year ended April 30, 2025, filed with the SEC on</w:t>
        </w:r>
      </w:hyperlink>
      <w:r>
        <w:rPr>
          <w:rFonts w:ascii="Times New Roman" w:cs="Times New Roman" w:eastAsia="Times New Roman" w:hAnsi="Times New Roman"/>
          <w:sz w:val="14"/>
          <w:szCs w:val="14"/>
          <w:u w:val="single" w:color="auto"/>
          <w:color w:val="0000EE"/>
        </w:rPr>
        <w:t xml:space="preserve"> </w:t>
      </w:r>
      <w:hyperlink r:id="rId73">
        <w:r>
          <w:rPr>
            <w:rFonts w:ascii="Times New Roman" w:cs="Times New Roman" w:eastAsia="Times New Roman" w:hAnsi="Times New Roman"/>
            <w:sz w:val="14"/>
            <w:szCs w:val="14"/>
            <w:u w:val="single" w:color="auto"/>
            <w:color w:val="0000EE"/>
          </w:rPr>
          <w:t>June 25, 2025;</w:t>
        </w:r>
      </w:hyperlink>
    </w:p>
    <w:p>
      <w:pPr>
        <w:spacing w:after="0" w:line="42" w:lineRule="exact"/>
        <w:rPr>
          <w:rFonts w:ascii="Times New Roman" w:cs="Times New Roman" w:eastAsia="Times New Roman" w:hAnsi="Times New Roman"/>
          <w:sz w:val="14"/>
          <w:szCs w:val="14"/>
          <w:u w:val="single" w:color="auto"/>
          <w:color w:val="0000EE"/>
        </w:rPr>
      </w:pPr>
    </w:p>
    <w:p>
      <w:pPr>
        <w:ind w:left="1760" w:right="1559" w:hanging="137"/>
        <w:spacing w:after="0" w:line="278" w:lineRule="auto"/>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w:t>
      </w:r>
      <w:hyperlink r:id="rId76">
        <w:r>
          <w:rPr>
            <w:rFonts w:ascii="Times New Roman" w:cs="Times New Roman" w:eastAsia="Times New Roman" w:hAnsi="Times New Roman"/>
            <w:sz w:val="14"/>
            <w:szCs w:val="14"/>
            <w:u w:val="single" w:color="auto"/>
            <w:color w:val="0000EE"/>
          </w:rPr>
          <w:t>Definitive Proxy Statement on Schedule 14A, filed with the SEC on August 12, 2024</w:t>
        </w:r>
      </w:hyperlink>
      <w:r>
        <w:rPr>
          <w:rFonts w:ascii="Times New Roman" w:cs="Times New Roman" w:eastAsia="Times New Roman" w:hAnsi="Times New Roman"/>
          <w:sz w:val="14"/>
          <w:szCs w:val="14"/>
          <w:color w:val="auto"/>
        </w:rPr>
        <w:t>;</w:t>
      </w:r>
    </w:p>
    <w:p>
      <w:pPr>
        <w:spacing w:after="0" w:line="42"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or Form 8-K/A filed with the SEC on </w:t>
      </w:r>
      <w:hyperlink r:id="rId77">
        <w:r>
          <w:rPr>
            <w:rFonts w:ascii="Times New Roman" w:cs="Times New Roman" w:eastAsia="Times New Roman" w:hAnsi="Times New Roman"/>
            <w:sz w:val="14"/>
            <w:szCs w:val="14"/>
            <w:u w:val="single" w:color="auto"/>
            <w:color w:val="0000EE"/>
          </w:rPr>
          <w:t xml:space="preserve">May 1, 2025,June </w:t>
        </w:r>
      </w:hyperlink>
      <w:hyperlink r:id="rId74">
        <w:r>
          <w:rPr>
            <w:rFonts w:ascii="Times New Roman" w:cs="Times New Roman" w:eastAsia="Times New Roman" w:hAnsi="Times New Roman"/>
            <w:sz w:val="14"/>
            <w:szCs w:val="14"/>
            <w:u w:val="single" w:color="auto"/>
            <w:color w:val="auto"/>
          </w:rPr>
          <w:t xml:space="preserve">27, </w:t>
        </w:r>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July 1, 2025, respectively; and</w:t>
      </w:r>
    </w:p>
    <w:p>
      <w:pPr>
        <w:spacing w:after="0" w:line="42" w:lineRule="exact"/>
        <w:rPr>
          <w:rFonts w:ascii="Times New Roman" w:cs="Times New Roman" w:eastAsia="Times New Roman" w:hAnsi="Times New Roman"/>
          <w:sz w:val="14"/>
          <w:szCs w:val="14"/>
          <w:color w:val="auto"/>
        </w:rPr>
      </w:pPr>
    </w:p>
    <w:p>
      <w:pPr>
        <w:ind w:left="1760" w:right="1439" w:hanging="137"/>
        <w:spacing w:after="0" w:line="260" w:lineRule="auto"/>
        <w:tabs>
          <w:tab w:leader="none" w:pos="1760" w:val="left"/>
        </w:tabs>
        <w:numPr>
          <w:ilvl w:val="0"/>
          <w:numId w:val="19"/>
        </w:numPr>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auto"/>
          </w:rPr>
          <w:t xml:space="preserve">the description of AeroVironment common stock set forth in our registration statement on </w:t>
        </w:r>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w:t>
      </w:r>
      <w:hyperlink r:id="rId78">
        <w:r>
          <w:rPr>
            <w:rFonts w:ascii="Times New Roman" w:cs="Times New Roman" w:eastAsia="Times New Roman" w:hAnsi="Times New Roman"/>
            <w:sz w:val="14"/>
            <w:szCs w:val="14"/>
            <w:u w:val="single" w:color="auto"/>
            <w:color w:val="0000EE"/>
          </w:rPr>
          <w:t>(Registration No. 001-33261), filed with the SEC under Section 12(b) of the Exchange Act on</w:t>
        </w:r>
      </w:hyperlink>
      <w:r>
        <w:rPr>
          <w:rFonts w:ascii="Times New Roman" w:cs="Times New Roman" w:eastAsia="Times New Roman" w:hAnsi="Times New Roman"/>
          <w:sz w:val="14"/>
          <w:szCs w:val="14"/>
          <w:u w:val="single" w:color="auto"/>
          <w:color w:val="0000EE"/>
        </w:rPr>
        <w:t xml:space="preserve"> </w:t>
      </w:r>
      <w:hyperlink r:id="rId78">
        <w:r>
          <w:rPr>
            <w:rFonts w:ascii="Times New Roman" w:cs="Times New Roman" w:eastAsia="Times New Roman" w:hAnsi="Times New Roman"/>
            <w:sz w:val="14"/>
            <w:szCs w:val="14"/>
            <w:u w:val="single" w:color="auto"/>
            <w:color w:val="0000EE"/>
          </w:rPr>
          <w:t>January 18, 2007</w:t>
        </w:r>
        <w:r>
          <w:rPr>
            <w:rFonts w:ascii="Times New Roman" w:cs="Times New Roman" w:eastAsia="Times New Roman" w:hAnsi="Times New Roman"/>
            <w:sz w:val="14"/>
            <w:szCs w:val="14"/>
            <w:color w:val="000000"/>
          </w:rPr>
          <w:t>, including any amendments or reports filed for the purpose of updating such</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description.</w:t>
      </w:r>
    </w:p>
    <w:p>
      <w:pPr>
        <w:spacing w:after="0" w:line="256" w:lineRule="exact"/>
        <w:rPr>
          <w:rFonts w:ascii="Times New Roman" w:cs="Times New Roman" w:eastAsia="Times New Roman" w:hAnsi="Times New Roman"/>
          <w:sz w:val="14"/>
          <w:szCs w:val="14"/>
          <w:color w:val="auto"/>
        </w:rPr>
      </w:pPr>
    </w:p>
    <w:p>
      <w:pPr>
        <w:ind w:left="1340" w:right="1519" w:firstLine="277"/>
        <w:spacing w:after="0" w:line="255" w:lineRule="auto"/>
        <w:rPr>
          <w:sz w:val="20"/>
          <w:szCs w:val="20"/>
          <w:color w:val="auto"/>
        </w:rPr>
      </w:pPr>
      <w:r>
        <w:rPr>
          <w:rFonts w:ascii="Times New Roman" w:cs="Times New Roman" w:eastAsia="Times New Roman" w:hAnsi="Times New Roman"/>
          <w:sz w:val="14"/>
          <w:szCs w:val="14"/>
          <w:color w:val="auto"/>
        </w:rPr>
        <w:t>All documents that we file pursuant to Section 13(a), 13(c), 14, or 15(d) of the Exchange Act prior to the termination of this offering shall be deemed to be incorporated by reference into this prospectus supplement and to be a part of this prospectus supplement from the respective dates of filing of such documents, except for information furnished under Item 2.02 and Item 7.01 of Form 8-K and related exhibits, which is not deemed filed and not incorporated by reference herein.</w:t>
      </w:r>
    </w:p>
    <w:p>
      <w:pPr>
        <w:spacing w:after="0" w:line="90" w:lineRule="exact"/>
        <w:rPr>
          <w:rFonts w:ascii="Times New Roman" w:cs="Times New Roman" w:eastAsia="Times New Roman" w:hAnsi="Times New Roman"/>
          <w:sz w:val="14"/>
          <w:szCs w:val="14"/>
          <w:color w:val="auto"/>
        </w:rPr>
      </w:pPr>
    </w:p>
    <w:p>
      <w:pPr>
        <w:ind w:left="1340" w:right="1479" w:firstLine="277"/>
        <w:spacing w:after="0" w:line="270" w:lineRule="auto"/>
        <w:rPr>
          <w:sz w:val="20"/>
          <w:szCs w:val="20"/>
          <w:color w:val="auto"/>
        </w:rPr>
      </w:pPr>
      <w:r>
        <w:rPr>
          <w:rFonts w:ascii="Times New Roman" w:cs="Times New Roman" w:eastAsia="Times New Roman" w:hAnsi="Times New Roman"/>
          <w:sz w:val="14"/>
          <w:szCs w:val="14"/>
          <w:color w:val="auto"/>
        </w:rPr>
        <w:t>You may request a copy of any document we incorporate by reference, except exhibits to the documents (unless the exhibits are specifically incorporated by reference), at no cost, by writing or calling us at:</w:t>
      </w:r>
    </w:p>
    <w:p>
      <w:pPr>
        <w:spacing w:after="0" w:line="240"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AeroVironment, Inc.</w:t>
      </w:r>
    </w:p>
    <w:p>
      <w:pPr>
        <w:jc w:val="center"/>
        <w:ind w:right="39"/>
        <w:spacing w:after="0" w:line="206" w:lineRule="auto"/>
        <w:rPr>
          <w:sz w:val="20"/>
          <w:szCs w:val="20"/>
          <w:color w:val="auto"/>
        </w:rPr>
      </w:pPr>
      <w:r>
        <w:rPr>
          <w:rFonts w:ascii="Times New Roman" w:cs="Times New Roman" w:eastAsia="Times New Roman" w:hAnsi="Times New Roman"/>
          <w:sz w:val="14"/>
          <w:szCs w:val="14"/>
          <w:color w:val="auto"/>
        </w:rPr>
        <w:t>241 18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Street South, Suite 650</w:t>
      </w:r>
    </w:p>
    <w:p>
      <w:pPr>
        <w:ind w:left="3740"/>
        <w:spacing w:after="0"/>
        <w:rPr>
          <w:sz w:val="20"/>
          <w:szCs w:val="20"/>
          <w:color w:val="auto"/>
        </w:rPr>
      </w:pPr>
      <w:r>
        <w:rPr>
          <w:rFonts w:ascii="Times New Roman" w:cs="Times New Roman" w:eastAsia="Times New Roman" w:hAnsi="Times New Roman"/>
          <w:sz w:val="14"/>
          <w:szCs w:val="14"/>
          <w:color w:val="auto"/>
        </w:rPr>
        <w:t>Arlington, Virginia 22202</w:t>
      </w:r>
    </w:p>
    <w:p>
      <w:pPr>
        <w:spacing w:after="0" w:line="4" w:lineRule="exact"/>
        <w:rPr>
          <w:rFonts w:ascii="Times New Roman" w:cs="Times New Roman" w:eastAsia="Times New Roman" w:hAnsi="Times New Roman"/>
          <w:sz w:val="14"/>
          <w:szCs w:val="14"/>
          <w:color w:val="auto"/>
        </w:rPr>
      </w:pPr>
    </w:p>
    <w:p>
      <w:pPr>
        <w:ind w:left="374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5" w:lineRule="exact"/>
        <w:rPr>
          <w:rFonts w:ascii="Times New Roman" w:cs="Times New Roman" w:eastAsia="Times New Roman" w:hAnsi="Times New Roman"/>
          <w:sz w:val="14"/>
          <w:szCs w:val="14"/>
          <w:color w:val="auto"/>
        </w:rPr>
      </w:pPr>
    </w:p>
    <w:p>
      <w:pPr>
        <w:ind w:left="3920"/>
        <w:spacing w:after="0"/>
        <w:rPr>
          <w:sz w:val="20"/>
          <w:szCs w:val="20"/>
          <w:color w:val="auto"/>
        </w:rPr>
      </w:pPr>
      <w:r>
        <w:rPr>
          <w:rFonts w:ascii="Times New Roman" w:cs="Times New Roman" w:eastAsia="Times New Roman" w:hAnsi="Times New Roman"/>
          <w:sz w:val="14"/>
          <w:szCs w:val="14"/>
          <w:color w:val="auto"/>
        </w:rPr>
        <w:t>Tel: (703) 418-2828</w:t>
      </w:r>
    </w:p>
    <w:p>
      <w:pPr>
        <w:spacing w:after="0" w:line="302"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380"/>
        <w:spacing w:after="0"/>
        <w:rPr>
          <w:sz w:val="20"/>
          <w:szCs w:val="20"/>
          <w:color w:val="auto"/>
        </w:rPr>
      </w:pPr>
      <w:r>
        <w:rPr>
          <w:rFonts w:ascii="Calibri" w:cs="Calibri" w:eastAsia="Calibri" w:hAnsi="Calibri"/>
          <w:sz w:val="11"/>
          <w:szCs w:val="11"/>
          <w:color w:val="003366"/>
        </w:rPr>
        <w:t>TABLE OF CONTENTS</w:t>
      </w:r>
    </w:p>
    <w:p>
      <w:pPr>
        <w:spacing w:after="0" w:line="3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99695</wp:posOffset>
            </wp:positionV>
            <wp:extent cx="1477645" cy="6070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477645" cy="60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AEROVIRONMENT, INC.</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Preferred Stock</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Debt Securities</w:t>
      </w: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Purchase Contracts</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95" w:lineRule="exact"/>
        <w:rPr>
          <w:sz w:val="20"/>
          <w:szCs w:val="20"/>
          <w:color w:val="auto"/>
        </w:rPr>
      </w:pPr>
    </w:p>
    <w:p>
      <w:pPr>
        <w:ind w:left="1340" w:right="1499" w:firstLine="277"/>
        <w:spacing w:after="0" w:line="278" w:lineRule="auto"/>
        <w:rPr>
          <w:sz w:val="20"/>
          <w:szCs w:val="20"/>
          <w:color w:val="auto"/>
        </w:rPr>
      </w:pPr>
      <w:r>
        <w:rPr>
          <w:rFonts w:ascii="Times New Roman" w:cs="Times New Roman" w:eastAsia="Times New Roman" w:hAnsi="Times New Roman"/>
          <w:sz w:val="14"/>
          <w:szCs w:val="14"/>
          <w:color w:val="auto"/>
        </w:rPr>
        <w:t>We may offer and sell the securities identified above from time to time in one or more offerings. This prospectus provides you with a general description of the securities.</w:t>
      </w:r>
    </w:p>
    <w:p>
      <w:pPr>
        <w:spacing w:after="0" w:line="74"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80" w:lineRule="exact"/>
        <w:rPr>
          <w:sz w:val="20"/>
          <w:szCs w:val="20"/>
          <w:color w:val="auto"/>
        </w:rPr>
      </w:pPr>
    </w:p>
    <w:p>
      <w:pPr>
        <w:ind w:left="1340" w:right="1399" w:firstLine="277"/>
        <w:spacing w:after="0" w:line="252"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90" w:lineRule="exact"/>
        <w:rPr>
          <w:sz w:val="20"/>
          <w:szCs w:val="20"/>
          <w:color w:val="auto"/>
        </w:rPr>
      </w:pPr>
    </w:p>
    <w:p>
      <w:pPr>
        <w:ind w:left="1340" w:right="1379" w:firstLine="277"/>
        <w:spacing w:after="0" w:line="258"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w:t>
      </w:r>
      <w:r>
        <w:rPr>
          <w:rFonts w:ascii="Times New Roman" w:cs="Times New Roman" w:eastAsia="Times New Roman" w:hAnsi="Times New Roman"/>
          <w:sz w:val="14"/>
          <w:szCs w:val="14"/>
          <w:b w:val="1"/>
          <w:bCs w:val="1"/>
          <w:u w:val="single" w:color="auto"/>
          <w:color w:val="auto"/>
        </w:rPr>
        <w:t>RISK FACTORS</w:t>
      </w:r>
      <w:r>
        <w:rPr>
          <w:rFonts w:ascii="Times New Roman" w:cs="Times New Roman" w:eastAsia="Times New Roman" w:hAnsi="Times New Roman"/>
          <w:sz w:val="14"/>
          <w:szCs w:val="14"/>
          <w:b w:val="1"/>
          <w:bCs w:val="1"/>
          <w:color w:val="auto"/>
        </w:rPr>
        <w:t xml:space="preserve">” ON PAGE </w:t>
      </w:r>
      <w:r>
        <w:rPr>
          <w:rFonts w:ascii="Times New Roman" w:cs="Times New Roman" w:eastAsia="Times New Roman" w:hAnsi="Times New Roman"/>
          <w:sz w:val="14"/>
          <w:szCs w:val="14"/>
          <w:b w:val="1"/>
          <w:bCs w:val="1"/>
          <w:u w:val="single" w:color="auto"/>
          <w:color w:val="0000EE"/>
        </w:rPr>
        <w:t>7</w:t>
      </w:r>
      <w:r>
        <w:rPr>
          <w:rFonts w:ascii="Times New Roman" w:cs="Times New Roman" w:eastAsia="Times New Roman" w:hAnsi="Times New Roman"/>
          <w:sz w:val="14"/>
          <w:szCs w:val="14"/>
          <w:b w:val="1"/>
          <w:bCs w:val="1"/>
          <w:color w:val="auto"/>
        </w:rPr>
        <w:t xml:space="preserve"> OF THIS PROSPECTUS AND ANY SIMILAR SECTION CONTAINED IN THE APPLICABLE PROSPECTUS SUPPLEMENT CONCERNING FACTORS YOU SHOULD CONSIDER BEFORE INVESTING IN OUR SECURITIES.</w:t>
      </w:r>
    </w:p>
    <w:p>
      <w:pPr>
        <w:spacing w:after="0" w:line="89"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“AVAV.” On June 27, 2025, the last reported sale price of our common stock on the Nasdaq Global Select Market was $278.07 per share.</w:t>
      </w:r>
    </w:p>
    <w:p>
      <w:pPr>
        <w:spacing w:after="0" w:line="73" w:lineRule="exact"/>
        <w:rPr>
          <w:sz w:val="20"/>
          <w:szCs w:val="20"/>
          <w:color w:val="auto"/>
        </w:rPr>
      </w:pPr>
    </w:p>
    <w:p>
      <w:pPr>
        <w:ind w:left="1340" w:right="1419" w:firstLine="277"/>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944245</wp:posOffset>
            </wp:positionV>
            <wp:extent cx="526288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-85725</wp:posOffset>
            </wp:positionV>
            <wp:extent cx="4010660" cy="92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4010660" cy="9207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SPECIAL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NOTICE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-9525</wp:posOffset>
            </wp:positionV>
            <wp:extent cx="4010660" cy="151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 INCORPORATION BY REFERENCE</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OTHER SECURITIES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-6350</wp:posOffset>
            </wp:positionV>
            <wp:extent cx="4010660" cy="151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4010660" cy="151765"/>
                    </a:xfrm>
                    <a:prstGeom prst="rect">
                      <a:avLst/>
                    </a:prstGeom>
                    <a:noFill/>
                  </pic:spPr>
                </pic:pic>
              </a:graphicData>
            </a:graphic>
          </wp:anchor>
        </w:drawing>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9</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27</w:t>
      </w:r>
      <w:r>
        <w:rPr>
          <w:rFonts w:ascii="Times New Roman" w:cs="Times New Roman" w:eastAsia="Times New Roman" w:hAnsi="Times New Roman"/>
          <w:sz w:val="14"/>
          <w:szCs w:val="14"/>
          <w:color w:val="auto"/>
        </w:rPr>
        <w:t>​</w:t>
      </w:r>
    </w:p>
    <w:p>
      <w:pPr>
        <w:sectPr>
          <w:pgSz w:w="11900" w:h="16838" w:orient="portrait"/>
          <w:cols w:equalWidth="0" w:num="2">
            <w:col w:w="6700" w:space="700"/>
            <w:col w:w="1619"/>
          </w:cols>
          <w:pgMar w:left="1440" w:top="104" w:right="1440" w:bottom="1440" w:gutter="0" w:footer="0" w:header="0"/>
        </w:sectPr>
      </w:pPr>
    </w:p>
    <w:bookmarkStart w:id="34" w:name="page35"/>
    <w:bookmarkEnd w:id="3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2"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260"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53" w:lineRule="exact"/>
        <w:rPr>
          <w:sz w:val="20"/>
          <w:szCs w:val="20"/>
          <w:color w:val="auto"/>
        </w:rPr>
      </w:pPr>
    </w:p>
    <w:p>
      <w:pPr>
        <w:jc w:val="both"/>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When we refer to “AeroVironment,” “we,” “our,” “us” and the “Company” in this prospectus, we mean AeroVironment, Inc. and its consolidated subsidiaries, unless otherwise specified. 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NOTICE REGARDING FORWARD-LOOKING STATEMENTS</w:t>
      </w:r>
    </w:p>
    <w:p>
      <w:pPr>
        <w:spacing w:after="0" w:line="122" w:lineRule="exact"/>
        <w:rPr>
          <w:sz w:val="20"/>
          <w:szCs w:val="20"/>
          <w:color w:val="auto"/>
        </w:rPr>
      </w:pPr>
    </w:p>
    <w:p>
      <w:pPr>
        <w:ind w:left="1340" w:right="1379" w:firstLine="277"/>
        <w:spacing w:after="0" w:line="239"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into this prospectus contain forward-looking statements within the meaning of the federal securities laws that are not limited to historical facts but reflect our current beliefs, expectations or intentions regarding future events. Statements in this prospectus and the documents incorporated by reference herein that are not historical facts are hereby identified as “forward-looking statements” for the purpose of the safe harbor provided by Section 21E of the Exchange Act and Section 27A of the Securities Act. Words such as “may,” “will,” “could,” “should,” “expect,” “plan,” “project,” “intend,” “anticipate,” “believe,” “estimate,” “predict,” “potential,” “pursue,” “target,” “continue,” “strategy,” “may,” and other similar expressions or the negative of such words or expressions are intended to identify such forward-looking statements. These forward-looking statements include, without limitation, our expected future financial position, results of operations, cash flows, financing plans, business strategy, budgets, capital expenditures, competitive positions, growth opportunities, employment opportunities and mobility, plans and objectives of management, together with other statements that are not historical facts, are forward-looking statements that are estimates reflecting management’s best judgment based upon currently available information.</w:t>
      </w:r>
    </w:p>
    <w:p>
      <w:pPr>
        <w:spacing w:after="0" w:line="93" w:lineRule="exact"/>
        <w:rPr>
          <w:sz w:val="20"/>
          <w:szCs w:val="20"/>
          <w:color w:val="auto"/>
        </w:rPr>
      </w:pPr>
    </w:p>
    <w:p>
      <w:pPr>
        <w:ind w:left="1340" w:right="1439" w:firstLine="277"/>
        <w:spacing w:after="0" w:line="243" w:lineRule="auto"/>
        <w:rPr>
          <w:sz w:val="20"/>
          <w:szCs w:val="20"/>
          <w:color w:val="auto"/>
        </w:rPr>
      </w:pPr>
      <w:r>
        <w:rPr>
          <w:rFonts w:ascii="Times New Roman" w:cs="Times New Roman" w:eastAsia="Times New Roman" w:hAnsi="Times New Roman"/>
          <w:sz w:val="14"/>
          <w:szCs w:val="14"/>
          <w:color w:val="auto"/>
        </w:rPr>
        <w:t>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we are unable to predict or control, that may cause actual results, performance or plans to differ materially from any future results, performance or plans expressed or implied by such forward-looking statements. These risks and uncertainties also include those set forth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included in this prospectus, as well as, among others, risks and uncertainties relating to:</w:t>
      </w:r>
    </w:p>
    <w:p>
      <w:pPr>
        <w:spacing w:after="0" w:line="57" w:lineRule="exact"/>
        <w:rPr>
          <w:sz w:val="20"/>
          <w:szCs w:val="20"/>
          <w:color w:val="auto"/>
        </w:rPr>
      </w:pPr>
    </w:p>
    <w:p>
      <w:pPr>
        <w:ind w:left="1760" w:right="143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technical and marketing difficulties inherent in major research and product development efforts;</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U.S. government and allied government funding for defense procurement and research and development (“R&amp;D”) programs and the changes in the timing and/or amount of government spending;</w:t>
      </w:r>
    </w:p>
    <w:p>
      <w:pPr>
        <w:spacing w:after="0" w:line="44" w:lineRule="exact"/>
        <w:rPr>
          <w:rFonts w:ascii="Times New Roman" w:cs="Times New Roman" w:eastAsia="Times New Roman" w:hAnsi="Times New Roman"/>
          <w:sz w:val="14"/>
          <w:szCs w:val="14"/>
          <w:color w:val="auto"/>
        </w:rPr>
      </w:pPr>
    </w:p>
    <w:p>
      <w:pPr>
        <w:ind w:left="1760" w:right="137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certain customers, including the U.S. government and allied foreign governments, for a significant portion of our revenues;</w:t>
      </w:r>
    </w:p>
    <w:p>
      <w:pPr>
        <w:spacing w:after="0" w:line="42" w:lineRule="exact"/>
        <w:rPr>
          <w:rFonts w:ascii="Times New Roman" w:cs="Times New Roman" w:eastAsia="Times New Roman" w:hAnsi="Times New Roman"/>
          <w:sz w:val="14"/>
          <w:szCs w:val="14"/>
          <w:color w:val="auto"/>
        </w:rPr>
      </w:pPr>
    </w:p>
    <w:p>
      <w:pPr>
        <w:ind w:left="1760" w:right="161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extensive regulatory requirements governing our contracts with the U.S. government and international customers and the results of any audit or investigation of our compliance therewith;</w:t>
      </w:r>
    </w:p>
    <w:p>
      <w:pPr>
        <w:spacing w:after="0" w:line="42" w:lineRule="exact"/>
        <w:rPr>
          <w:rFonts w:ascii="Times New Roman" w:cs="Times New Roman" w:eastAsia="Times New Roman" w:hAnsi="Times New Roman"/>
          <w:sz w:val="14"/>
          <w:szCs w:val="14"/>
          <w:color w:val="auto"/>
        </w:rPr>
      </w:pPr>
    </w:p>
    <w:p>
      <w:pPr>
        <w:ind w:left="1760" w:right="157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a market innovator, to create new market opportunities and/or to expand into new markets;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need for changes in our long-term strategy in response to future developments;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skilled employees;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significant operating expenses, including components and raw materials;</w:t>
      </w:r>
    </w:p>
    <w:p>
      <w:pPr>
        <w:spacing w:after="0" w:line="88" w:lineRule="exact"/>
        <w:rPr>
          <w:rFonts w:ascii="Times New Roman" w:cs="Times New Roman" w:eastAsia="Times New Roman" w:hAnsi="Times New Roman"/>
          <w:sz w:val="14"/>
          <w:szCs w:val="14"/>
          <w:color w:val="auto"/>
        </w:rPr>
      </w:pPr>
    </w:p>
    <w:p>
      <w:pPr>
        <w:ind w:left="1760" w:right="185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disruptions or threatened disruptions to our relationships with our distributors, suppliers, customers and employees, including shortages of components for our products;</w:t>
      </w:r>
    </w:p>
    <w:p>
      <w:pPr>
        <w:spacing w:after="0" w:line="32"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supply, demand and/or prices for our products and services and our ability to perform under existing contracts and obtain new contracts;</w:t>
      </w:r>
    </w:p>
    <w:p>
      <w:pPr>
        <w:spacing w:after="0" w:line="42" w:lineRule="exact"/>
        <w:rPr>
          <w:rFonts w:ascii="Times New Roman" w:cs="Times New Roman" w:eastAsia="Times New Roman" w:hAnsi="Times New Roman"/>
          <w:sz w:val="14"/>
          <w:szCs w:val="14"/>
          <w:color w:val="auto"/>
        </w:rPr>
      </w:pPr>
    </w:p>
    <w:p>
      <w:pPr>
        <w:ind w:left="1760" w:right="1419" w:hanging="137"/>
        <w:spacing w:after="0" w:line="262"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including from firms that have substantially greater resources than we have and, in the uncrewed systems market, from lower-cost consumer drone manufacturers who may seek to enhance their systems’ capabilities over time;</w:t>
      </w:r>
    </w:p>
    <w:p>
      <w:pPr>
        <w:spacing w:after="0" w:line="54" w:lineRule="exact"/>
        <w:rPr>
          <w:rFonts w:ascii="Times New Roman" w:cs="Times New Roman" w:eastAsia="Times New Roman" w:hAnsi="Times New Roman"/>
          <w:sz w:val="14"/>
          <w:szCs w:val="14"/>
          <w:color w:val="auto"/>
        </w:rPr>
      </w:pPr>
    </w:p>
    <w:p>
      <w:pPr>
        <w:ind w:left="1760" w:right="135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and uncertainty of obtaining and conducting international business, including export compliance and other reporting and compliance requirements;</w:t>
      </w:r>
    </w:p>
    <w:p>
      <w:pPr>
        <w:spacing w:after="0" w:line="42" w:lineRule="exact"/>
        <w:rPr>
          <w:rFonts w:ascii="Times New Roman" w:cs="Times New Roman" w:eastAsia="Times New Roman" w:hAnsi="Times New Roman"/>
          <w:sz w:val="14"/>
          <w:szCs w:val="14"/>
          <w:color w:val="auto"/>
        </w:rPr>
      </w:pPr>
    </w:p>
    <w:p>
      <w:pPr>
        <w:ind w:left="1760" w:right="1779" w:hanging="137"/>
        <w:spacing w:after="0" w:line="278" w:lineRule="auto"/>
        <w:tabs>
          <w:tab w:leader="none" w:pos="1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potential security and cyber threats or the risk of unauthorized access to our, our customers’ and/or our suppliers’ information and systems;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99" w:hanging="137"/>
        <w:spacing w:after="0" w:line="278"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regulatory environment and the consequences to our financial position, business and reputation that could result from failing to comply with such regulatory requirements;</w:t>
      </w:r>
    </w:p>
    <w:p>
      <w:pPr>
        <w:spacing w:after="0" w:line="42" w:lineRule="exact"/>
        <w:rPr>
          <w:rFonts w:ascii="Times New Roman" w:cs="Times New Roman" w:eastAsia="Times New Roman" w:hAnsi="Times New Roman"/>
          <w:sz w:val="14"/>
          <w:szCs w:val="14"/>
          <w:color w:val="auto"/>
        </w:rPr>
      </w:pPr>
    </w:p>
    <w:p>
      <w:pPr>
        <w:ind w:left="1760" w:right="1359" w:hanging="137"/>
        <w:spacing w:after="0" w:line="262"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successfully integrate acquired companies into our operations, including the ability to timely and sufficiently integrate international operations into our ongoing business and compliance programs;</w:t>
      </w:r>
    </w:p>
    <w:p>
      <w:pPr>
        <w:spacing w:after="0" w:line="54" w:lineRule="exact"/>
        <w:rPr>
          <w:rFonts w:ascii="Times New Roman" w:cs="Times New Roman" w:eastAsia="Times New Roman" w:hAnsi="Times New Roman"/>
          <w:sz w:val="14"/>
          <w:szCs w:val="14"/>
          <w:color w:val="auto"/>
        </w:rPr>
      </w:pPr>
    </w:p>
    <w:p>
      <w:pPr>
        <w:ind w:left="1760" w:right="1439" w:hanging="137"/>
        <w:spacing w:after="0" w:line="257"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and adapt to unexpected legal, regulatory and government budgetary changes, such as supply chain disruptions, public health crises, curtailments of trade, diversions of government resources to non-defense priorities, and other business restrictions affecting our ability to manufacture and sell our products and provide our services;</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develop new products or integrate new technology into current products;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results in legal proceedings;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covenants in our loan documents;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establish and maintain effective internal control over financial reporting;</w:t>
      </w:r>
    </w:p>
    <w:p>
      <w:pPr>
        <w:spacing w:after="0" w:line="88"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business conditions in the United States and elsewhere in the world, including the impact of inflation; and</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57"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identified in the “Risk Factors,” “Management’s Discussion and Analysis of Financial Condition and Results of Operations” and “Business” sections of our most recent Annual Report on Form 10-K and its subsequent Quarterly Reports on Form 10-Q and Current Reports on Form 8-K, and other risks as identified from time to time in its SEC reports.</w:t>
      </w:r>
    </w:p>
    <w:p>
      <w:pPr>
        <w:spacing w:after="0" w:line="90" w:lineRule="exact"/>
        <w:rPr>
          <w:sz w:val="20"/>
          <w:szCs w:val="20"/>
          <w:color w:val="auto"/>
        </w:rPr>
      </w:pPr>
    </w:p>
    <w:p>
      <w:pPr>
        <w:ind w:left="1340" w:right="1359" w:firstLine="277"/>
        <w:spacing w:after="0" w:line="253" w:lineRule="auto"/>
        <w:rPr>
          <w:sz w:val="20"/>
          <w:szCs w:val="20"/>
          <w:color w:val="auto"/>
        </w:rPr>
      </w:pPr>
      <w:r>
        <w:rPr>
          <w:rFonts w:ascii="Times New Roman" w:cs="Times New Roman" w:eastAsia="Times New Roman" w:hAnsi="Times New Roman"/>
          <w:sz w:val="14"/>
          <w:szCs w:val="14"/>
          <w:color w:val="auto"/>
        </w:rPr>
        <w:t>AeroVironment cautions that the foregoing list of factors is not exclusive. Other unknown or unpredictable factors also could have a material adverse effect on AeroVironment’s business, financial condition, results of operations and prospects. Accordingly, readers should not place undue reliance on these forward-looking statements. The forward-looking statements speak only as of the date made and, other than as required by law, we do not undertake any obligation to update publicly or revise any of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2"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ind w:left="1340" w:right="1479" w:firstLine="277"/>
        <w:spacing w:after="0" w:line="278" w:lineRule="auto"/>
        <w:rPr>
          <w:sz w:val="20"/>
          <w:szCs w:val="20"/>
          <w:color w:val="auto"/>
        </w:rPr>
      </w:pPr>
      <w:r>
        <w:rPr>
          <w:rFonts w:ascii="Times New Roman" w:cs="Times New Roman" w:eastAsia="Times New Roman" w:hAnsi="Times New Roman"/>
          <w:sz w:val="14"/>
          <w:szCs w:val="14"/>
          <w:color w:val="auto"/>
        </w:rPr>
        <w:t>Our web site address is https://www.avinc.com. The information on our web site, however, is not, and should not be deemed to be, a part of this prospectus.</w:t>
      </w:r>
    </w:p>
    <w:p>
      <w:pPr>
        <w:spacing w:after="0" w:line="63" w:lineRule="exact"/>
        <w:rPr>
          <w:sz w:val="20"/>
          <w:szCs w:val="20"/>
          <w:color w:val="auto"/>
        </w:rPr>
      </w:pPr>
    </w:p>
    <w:p>
      <w:pPr>
        <w:ind w:left="1340" w:right="1479" w:firstLine="277"/>
        <w:spacing w:after="0" w:line="251"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2"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261" w:lineRule="exact"/>
        <w:rPr>
          <w:sz w:val="20"/>
          <w:szCs w:val="20"/>
          <w:color w:val="auto"/>
        </w:rPr>
      </w:pPr>
    </w:p>
    <w:p>
      <w:pPr>
        <w:ind w:left="1340" w:right="1419" w:firstLine="277"/>
        <w:spacing w:after="0" w:line="278"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43" w:lineRule="exact"/>
        <w:rPr>
          <w:sz w:val="20"/>
          <w:szCs w:val="20"/>
          <w:color w:val="auto"/>
        </w:rPr>
      </w:pPr>
    </w:p>
    <w:p>
      <w:pPr>
        <w:ind w:left="1760" w:right="1459" w:hanging="137"/>
        <w:spacing w:after="0" w:line="278" w:lineRule="auto"/>
        <w:tabs>
          <w:tab w:leader="none" w:pos="1760" w:val="left"/>
        </w:tabs>
        <w:numPr>
          <w:ilvl w:val="0"/>
          <w:numId w:val="22"/>
        </w:numPr>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Annual Report on Form 10-K for the year ended April 30, 2025, filed with the SEC on June 24,</w:t>
        </w:r>
      </w:hyperlink>
      <w:r>
        <w:rPr>
          <w:rFonts w:ascii="Times New Roman" w:cs="Times New Roman" w:eastAsia="Times New Roman" w:hAnsi="Times New Roman"/>
          <w:sz w:val="14"/>
          <w:szCs w:val="14"/>
          <w:color w:val="auto"/>
        </w:rPr>
        <w:t xml:space="preserve"> </w:t>
      </w:r>
      <w:hyperlink r:id="rId92">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hyperlink>
    </w:p>
    <w:p>
      <w:pPr>
        <w:spacing w:after="0" w:line="42" w:lineRule="exact"/>
        <w:rPr>
          <w:rFonts w:ascii="Times New Roman" w:cs="Times New Roman" w:eastAsia="Times New Roman" w:hAnsi="Times New Roman"/>
          <w:sz w:val="14"/>
          <w:szCs w:val="14"/>
          <w:color w:val="0000EE"/>
        </w:rPr>
      </w:pPr>
    </w:p>
    <w:p>
      <w:pPr>
        <w:jc w:val="both"/>
        <w:ind w:left="1760" w:right="1379" w:hanging="137"/>
        <w:spacing w:after="0" w:line="262" w:lineRule="auto"/>
        <w:tabs>
          <w:tab w:leader="none" w:pos="1760" w:val="left"/>
        </w:tabs>
        <w:numPr>
          <w:ilvl w:val="0"/>
          <w:numId w:val="22"/>
        </w:numPr>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auto"/>
          </w:rPr>
          <w:t xml:space="preserve">The information specifically incorporated by reference into our </w:t>
        </w:r>
        <w:r>
          <w:rPr>
            <w:rFonts w:ascii="Times New Roman" w:cs="Times New Roman" w:eastAsia="Times New Roman" w:hAnsi="Times New Roman"/>
            <w:sz w:val="14"/>
            <w:szCs w:val="14"/>
            <w:u w:val="single" w:color="auto"/>
            <w:color w:val="0000EE"/>
          </w:rPr>
          <w:t>Annual Report on Form 10-K for the</w:t>
        </w:r>
      </w:hyperlink>
      <w:r>
        <w:rPr>
          <w:rFonts w:ascii="Times New Roman" w:cs="Times New Roman" w:eastAsia="Times New Roman" w:hAnsi="Times New Roman"/>
          <w:sz w:val="14"/>
          <w:szCs w:val="14"/>
          <w:color w:val="auto"/>
        </w:rPr>
        <w:t xml:space="preserve"> </w:t>
      </w:r>
      <w:hyperlink r:id="rId76">
        <w:r>
          <w:rPr>
            <w:rFonts w:ascii="Times New Roman" w:cs="Times New Roman" w:eastAsia="Times New Roman" w:hAnsi="Times New Roman"/>
            <w:sz w:val="14"/>
            <w:szCs w:val="14"/>
            <w:u w:val="single" w:color="auto"/>
            <w:color w:val="0000EE"/>
          </w:rPr>
          <w:t>year ended April 30,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from our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Definitive Proxy Statement on Schedule 14A, filed with the SEC</w:t>
        </w:r>
      </w:hyperlink>
      <w:r>
        <w:rPr>
          <w:rFonts w:ascii="Times New Roman" w:cs="Times New Roman" w:eastAsia="Times New Roman" w:hAnsi="Times New Roman"/>
          <w:sz w:val="14"/>
          <w:szCs w:val="14"/>
          <w:color w:val="0000EE"/>
        </w:rPr>
        <w:t xml:space="preserve"> </w:t>
      </w:r>
      <w:hyperlink r:id="rId76">
        <w:r>
          <w:rPr>
            <w:rFonts w:ascii="Times New Roman" w:cs="Times New Roman" w:eastAsia="Times New Roman" w:hAnsi="Times New Roman"/>
            <w:sz w:val="14"/>
            <w:szCs w:val="14"/>
            <w:u w:val="single" w:color="auto"/>
            <w:color w:val="0000EE"/>
          </w:rPr>
          <w:t>on August 12, 2024</w:t>
        </w:r>
        <w:r>
          <w:rPr>
            <w:rFonts w:ascii="Times New Roman" w:cs="Times New Roman" w:eastAsia="Times New Roman" w:hAnsi="Times New Roman"/>
            <w:sz w:val="14"/>
            <w:szCs w:val="14"/>
            <w:color w:val="000000"/>
          </w:rPr>
          <w:t>.</w:t>
        </w:r>
      </w:hyperlink>
    </w:p>
    <w:p>
      <w:pPr>
        <w:spacing w:after="0" w:line="54" w:lineRule="exact"/>
        <w:rPr>
          <w:rFonts w:ascii="Times New Roman" w:cs="Times New Roman" w:eastAsia="Times New Roman" w:hAnsi="Times New Roman"/>
          <w:sz w:val="14"/>
          <w:szCs w:val="14"/>
          <w:color w:val="0000EE"/>
        </w:rPr>
      </w:pPr>
    </w:p>
    <w:p>
      <w:pPr>
        <w:ind w:left="1760" w:right="1639" w:hanging="137"/>
        <w:spacing w:after="0" w:line="278"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94">
        <w:r>
          <w:rPr>
            <w:rFonts w:ascii="Times New Roman" w:cs="Times New Roman" w:eastAsia="Times New Roman" w:hAnsi="Times New Roman"/>
            <w:sz w:val="14"/>
            <w:szCs w:val="14"/>
            <w:u w:val="single" w:color="auto"/>
            <w:color w:val="0000EE"/>
          </w:rPr>
          <w:t>May 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our Current Report on Form 8-K/A filed with the SEC on </w:t>
      </w:r>
      <w:hyperlink r:id="rId74">
        <w:r>
          <w:rPr>
            <w:rFonts w:ascii="Times New Roman" w:cs="Times New Roman" w:eastAsia="Times New Roman" w:hAnsi="Times New Roman"/>
            <w:sz w:val="14"/>
            <w:szCs w:val="14"/>
            <w:u w:val="single" w:color="auto"/>
            <w:color w:val="0000EE"/>
          </w:rPr>
          <w:t>June 27, 2025</w:t>
        </w:r>
      </w:hyperlink>
      <w:r>
        <w:rPr>
          <w:rFonts w:ascii="Times New Roman" w:cs="Times New Roman" w:eastAsia="Times New Roman" w:hAnsi="Times New Roman"/>
          <w:sz w:val="14"/>
          <w:szCs w:val="14"/>
          <w:color w:val="auto"/>
        </w:rPr>
        <w:t>.</w:t>
      </w:r>
    </w:p>
    <w:p>
      <w:pPr>
        <w:spacing w:after="0" w:line="42" w:lineRule="exact"/>
        <w:rPr>
          <w:rFonts w:ascii="Times New Roman" w:cs="Times New Roman" w:eastAsia="Times New Roman" w:hAnsi="Times New Roman"/>
          <w:sz w:val="14"/>
          <w:szCs w:val="14"/>
          <w:color w:val="auto"/>
        </w:rPr>
      </w:pPr>
    </w:p>
    <w:p>
      <w:pPr>
        <w:ind w:left="1760" w:right="1359" w:hanging="137"/>
        <w:spacing w:after="0" w:line="257" w:lineRule="auto"/>
        <w:tabs>
          <w:tab w:leader="none" w:pos="1760" w:val="left"/>
        </w:tabs>
        <w:numPr>
          <w:ilvl w:val="0"/>
          <w:numId w:val="22"/>
        </w:numPr>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auto"/>
          </w:rPr>
          <w:t xml:space="preserve">The description of our common stock contained in the Registration Statement on </w:t>
        </w:r>
        <w:r>
          <w:rPr>
            <w:rFonts w:ascii="Times New Roman" w:cs="Times New Roman" w:eastAsia="Times New Roman" w:hAnsi="Times New Roman"/>
            <w:sz w:val="14"/>
            <w:szCs w:val="14"/>
            <w:u w:val="single" w:color="auto"/>
            <w:color w:val="0000EE"/>
          </w:rPr>
          <w:t>Form 8-A filed with</w:t>
        </w:r>
      </w:hyperlink>
      <w:r>
        <w:rPr>
          <w:rFonts w:ascii="Times New Roman" w:cs="Times New Roman" w:eastAsia="Times New Roman" w:hAnsi="Times New Roman"/>
          <w:sz w:val="14"/>
          <w:szCs w:val="14"/>
          <w:color w:val="auto"/>
        </w:rPr>
        <w:t xml:space="preserve"> </w:t>
      </w:r>
      <w:hyperlink r:id="rId78">
        <w:r>
          <w:rPr>
            <w:rFonts w:ascii="Times New Roman" w:cs="Times New Roman" w:eastAsia="Times New Roman" w:hAnsi="Times New Roman"/>
            <w:sz w:val="14"/>
            <w:szCs w:val="14"/>
            <w:u w:val="single" w:color="auto"/>
            <w:color w:val="0000EE"/>
          </w:rPr>
          <w:t>the SEC on January 18, 2007</w:t>
        </w:r>
        <w:r>
          <w:rPr>
            <w:rFonts w:ascii="Times New Roman" w:cs="Times New Roman" w:eastAsia="Times New Roman" w:hAnsi="Times New Roman"/>
            <w:sz w:val="14"/>
            <w:szCs w:val="14"/>
            <w:color w:val="000000"/>
          </w:rPr>
          <w:t>, as supplemented by</w:t>
        </w:r>
        <w:r>
          <w:rPr>
            <w:rFonts w:ascii="Times New Roman" w:cs="Times New Roman" w:eastAsia="Times New Roman" w:hAnsi="Times New Roman"/>
            <w:sz w:val="14"/>
            <w:szCs w:val="14"/>
            <w:color w:val="0000EE"/>
          </w:rPr>
          <w:t xml:space="preserve"> </w:t>
        </w:r>
      </w:hyperlink>
      <w:hyperlink r:id="rId95">
        <w:r>
          <w:rPr>
            <w:rFonts w:ascii="Times New Roman" w:cs="Times New Roman" w:eastAsia="Times New Roman" w:hAnsi="Times New Roman"/>
            <w:sz w:val="14"/>
            <w:szCs w:val="14"/>
            <w:u w:val="single" w:color="auto"/>
            <w:color w:val="0000EE"/>
          </w:rPr>
          <w:t xml:space="preserve">Exhibit 4.2 </w:t>
        </w:r>
      </w:hyperlink>
      <w:hyperlink r:id="rId78">
        <w:r>
          <w:rPr>
            <w:rFonts w:ascii="Times New Roman" w:cs="Times New Roman" w:eastAsia="Times New Roman" w:hAnsi="Times New Roman"/>
            <w:sz w:val="14"/>
            <w:szCs w:val="14"/>
            <w:color w:val="000000"/>
          </w:rPr>
          <w:t>to our Annual Report on Form 10-K</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the year ended April 30, 2025, filed with the SEC on June 24, 2025 and any amendment or report filed with the SEC for the purpose of updating the description.</w:t>
      </w:r>
    </w:p>
    <w:p>
      <w:pPr>
        <w:spacing w:after="0" w:line="79" w:lineRule="exact"/>
        <w:rPr>
          <w:rFonts w:ascii="Times New Roman" w:cs="Times New Roman" w:eastAsia="Times New Roman" w:hAnsi="Times New Roman"/>
          <w:sz w:val="14"/>
          <w:szCs w:val="14"/>
          <w:color w:val="0000EE"/>
        </w:rPr>
      </w:pPr>
    </w:p>
    <w:p>
      <w:pPr>
        <w:ind w:left="1340" w:right="1399" w:firstLine="277"/>
        <w:spacing w:after="0" w:line="255"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Securities Exchange Act of 1934, as amended, which we refer to as the “Exchange Act” in this prospectus,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4"/>
          <w:szCs w:val="14"/>
          <w:color w:val="0000EE"/>
        </w:rPr>
      </w:pPr>
    </w:p>
    <w:p>
      <w:pPr>
        <w:spacing w:after="0" w:line="233"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7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AEROVIRONMENT, INC.</w:t>
      </w:r>
    </w:p>
    <w:p>
      <w:pPr>
        <w:spacing w:after="0" w:line="2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241 18th Street South, Suite 650</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color w:val="auto"/>
        </w:rPr>
        <w:t>Arlington, Virginia 22202</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(703) 418-2828</w:t>
      </w:r>
    </w:p>
    <w:p>
      <w:pPr>
        <w:spacing w:after="0" w:line="104" w:lineRule="exact"/>
        <w:rPr>
          <w:sz w:val="20"/>
          <w:szCs w:val="20"/>
          <w:color w:val="auto"/>
        </w:rPr>
      </w:pPr>
    </w:p>
    <w:p>
      <w:pPr>
        <w:ind w:left="1340" w:right="2039" w:firstLine="277"/>
        <w:spacing w:after="0" w:line="278"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9" w:name="page40"/>
    <w:bookmarkEnd w:id="3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2" w:lineRule="exact"/>
        <w:rPr>
          <w:sz w:val="20"/>
          <w:szCs w:val="20"/>
          <w:color w:val="auto"/>
        </w:rPr>
      </w:pPr>
    </w:p>
    <w:p>
      <w:pPr>
        <w:ind w:left="1340" w:right="1539" w:firstLine="277"/>
        <w:spacing w:after="0" w:line="255" w:lineRule="auto"/>
        <w:rPr>
          <w:sz w:val="20"/>
          <w:szCs w:val="20"/>
          <w:color w:val="auto"/>
        </w:rPr>
      </w:pPr>
      <w:r>
        <w:rPr>
          <w:rFonts w:ascii="Times New Roman" w:cs="Times New Roman" w:eastAsia="Times New Roman" w:hAnsi="Times New Roman"/>
          <w:sz w:val="14"/>
          <w:szCs w:val="14"/>
          <w:color w:val="auto"/>
        </w:rPr>
        <w:t>We design, develop, produce, deliver and support a technologically advanced portfolio of intelligent, multi-domain robotic systems and related services for government agencies and businesses. We supply uncrewed aircraft systems, loitering munitions systems, uncrewed ground vehicles and related services primarily to organizations within the U.S. Department of Defense, other federal agencies and to international allied governments.</w:t>
      </w:r>
    </w:p>
    <w:p>
      <w:pPr>
        <w:spacing w:after="0" w:line="90" w:lineRule="exact"/>
        <w:rPr>
          <w:sz w:val="20"/>
          <w:szCs w:val="20"/>
          <w:color w:val="auto"/>
        </w:rPr>
      </w:pPr>
    </w:p>
    <w:p>
      <w:pPr>
        <w:ind w:left="1340" w:right="1359" w:firstLine="277"/>
        <w:spacing w:after="0" w:line="255" w:lineRule="auto"/>
        <w:rPr>
          <w:sz w:val="20"/>
          <w:szCs w:val="20"/>
          <w:color w:val="auto"/>
        </w:rPr>
      </w:pPr>
      <w:r>
        <w:rPr>
          <w:rFonts w:ascii="Times New Roman" w:cs="Times New Roman" w:eastAsia="Times New Roman" w:hAnsi="Times New Roman"/>
          <w:sz w:val="14"/>
          <w:szCs w:val="14"/>
          <w:color w:val="auto"/>
        </w:rPr>
        <w:t>We were originally incorporated in California in July 1971 and reincorporated in Delaware in 2006, and our common stock is listed and traded on the Nasdaq under the ticker symbol “AVAV.” Our principal executive office is located at 241 18th Street South, Suite 650, Arlington, Virginia 22202. Our telephone number is (703) 418-2828 and our website is www.avinc.com. Information contained on our website is not and should not be deemed a part of this prospectus or any report or filing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40" w:right="1359" w:firstLine="277"/>
        <w:spacing w:after="0" w:line="249"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titled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2" w:lineRule="exact"/>
        <w:rPr>
          <w:sz w:val="20"/>
          <w:szCs w:val="20"/>
          <w:color w:val="auto"/>
        </w:rPr>
      </w:pPr>
    </w:p>
    <w:p>
      <w:pPr>
        <w:ind w:left="1340" w:right="2019" w:firstLine="277"/>
        <w:spacing w:after="0" w:line="278"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2" w:lineRule="exact"/>
        <w:rPr>
          <w:sz w:val="20"/>
          <w:szCs w:val="20"/>
          <w:color w:val="auto"/>
        </w:rPr>
      </w:pPr>
    </w:p>
    <w:p>
      <w:pPr>
        <w:ind w:left="1340" w:right="1399" w:firstLine="277"/>
        <w:spacing w:after="0" w:line="254" w:lineRule="auto"/>
        <w:rPr>
          <w:sz w:val="20"/>
          <w:szCs w:val="20"/>
          <w:color w:val="auto"/>
        </w:rPr>
      </w:pPr>
      <w:r>
        <w:rPr>
          <w:rFonts w:ascii="Times New Roman" w:cs="Times New Roman" w:eastAsia="Times New Roman" w:hAnsi="Times New Roman"/>
          <w:sz w:val="14"/>
          <w:szCs w:val="14"/>
          <w:color w:val="auto"/>
        </w:rPr>
        <w:t>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as amended (“Certificate of Incorporation”), our Fifth Amended and Restated Bylaws, as amended (“Bylaws”), which have been publicly filed with the SEC. See “Where You Can Find More Information; Incorporation by Reference.”</w:t>
      </w:r>
    </w:p>
    <w:p>
      <w:pPr>
        <w:spacing w:after="0" w:line="2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As used in this section only, “AeroVironment,” “we,” “our” or “us” refer to AeroVironment, Inc.</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excluding our subsidiaries, unless expressly stated or the context otherwise requires.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Our authorized capital stock consists of:</w:t>
      </w:r>
    </w:p>
    <w:p>
      <w:pPr>
        <w:spacing w:after="0" w:line="88" w:lineRule="exact"/>
        <w:rPr>
          <w:sz w:val="20"/>
          <w:szCs w:val="20"/>
          <w:color w:val="auto"/>
        </w:rPr>
      </w:pPr>
    </w:p>
    <w:p>
      <w:pPr>
        <w:ind w:left="1760" w:hanging="137"/>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 shares of common stock, $0.0001 par value; and</w:t>
      </w:r>
    </w:p>
    <w:p>
      <w:pPr>
        <w:spacing w:after="0" w:line="9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$0.0001 par value.</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11" w:lineRule="exact"/>
        <w:rPr>
          <w:sz w:val="20"/>
          <w:szCs w:val="20"/>
          <w:color w:val="auto"/>
        </w:rPr>
      </w:pPr>
    </w:p>
    <w:p>
      <w:pPr>
        <w:jc w:val="both"/>
        <w:ind w:left="1340" w:right="1699" w:firstLine="277"/>
        <w:spacing w:after="0" w:line="262"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of record on all matters submitted to a vote of the stockholders, including the election of directors, and do not have cumulative voting rights.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22" w:lineRule="exact"/>
        <w:rPr>
          <w:sz w:val="20"/>
          <w:szCs w:val="20"/>
          <w:color w:val="auto"/>
        </w:rPr>
      </w:pPr>
    </w:p>
    <w:p>
      <w:pPr>
        <w:ind w:left="1340" w:right="1639" w:firstLine="277"/>
        <w:spacing w:after="0" w:line="262" w:lineRule="auto"/>
        <w:rPr>
          <w:sz w:val="20"/>
          <w:szCs w:val="20"/>
          <w:color w:val="auto"/>
        </w:rPr>
      </w:pPr>
      <w:r>
        <w:rPr>
          <w:rFonts w:ascii="Times New Roman" w:cs="Times New Roman" w:eastAsia="Times New Roman" w:hAnsi="Times New Roman"/>
          <w:sz w:val="14"/>
          <w:szCs w:val="14"/>
          <w:color w:val="auto"/>
        </w:rPr>
        <w:t>Subject to preferences that may be applicable to any then-outstanding preferred stock, holders of common stock are entitled to receive ratably those dividends, if any, as may be declared by our board of directors out of legally available funds.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11" w:lineRule="exact"/>
        <w:rPr>
          <w:sz w:val="20"/>
          <w:szCs w:val="20"/>
          <w:color w:val="auto"/>
        </w:rPr>
      </w:pPr>
    </w:p>
    <w:p>
      <w:pPr>
        <w:ind w:left="1340" w:right="1459" w:firstLine="277"/>
        <w:spacing w:after="0" w:line="260" w:lineRule="auto"/>
        <w:rPr>
          <w:sz w:val="20"/>
          <w:szCs w:val="20"/>
          <w:color w:val="auto"/>
        </w:rPr>
      </w:pPr>
      <w:r>
        <w:rPr>
          <w:rFonts w:ascii="Times New Roman" w:cs="Times New Roman" w:eastAsia="Times New Roman" w:hAnsi="Times New Roman"/>
          <w:sz w:val="14"/>
          <w:szCs w:val="14"/>
          <w:color w:val="auto"/>
        </w:rPr>
        <w:t>Upon our liquidation, dissolution or winding up, the holders of common stock will be entitled to share ratably in the net assets legally available for distribution to stockholders after the payment of all of our debts and other liabilities of the Company, subject to the prior rights of any preferred stock then outstanding.</w:t>
      </w:r>
    </w:p>
    <w:p>
      <w:pPr>
        <w:spacing w:after="0" w:line="30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Other Rights and Preferences</w:t>
      </w:r>
    </w:p>
    <w:p>
      <w:pPr>
        <w:spacing w:after="0" w:line="122" w:lineRule="exact"/>
        <w:rPr>
          <w:sz w:val="20"/>
          <w:szCs w:val="20"/>
          <w:color w:val="auto"/>
        </w:rPr>
      </w:pPr>
    </w:p>
    <w:p>
      <w:pPr>
        <w:ind w:left="1340" w:right="1659" w:firstLine="277"/>
        <w:spacing w:after="0" w:line="278" w:lineRule="auto"/>
        <w:rPr>
          <w:sz w:val="20"/>
          <w:szCs w:val="20"/>
          <w:color w:val="auto"/>
        </w:rPr>
      </w:pPr>
      <w:r>
        <w:rPr>
          <w:rFonts w:ascii="Times New Roman" w:cs="Times New Roman" w:eastAsia="Times New Roman" w:hAnsi="Times New Roman"/>
          <w:sz w:val="14"/>
          <w:szCs w:val="14"/>
          <w:color w:val="auto"/>
        </w:rPr>
        <w:t>Holders of common stock have no preemptive or conversion rights or other subscription rights and there are no redemption or sinking funds provisions applicable to the common stock.</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Description of Preferred Stock</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Upon issuance of a particular series of preferred stock, our board of directors is authorized, to specify:</w:t>
      </w:r>
    </w:p>
    <w:p>
      <w:pPr>
        <w:spacing w:after="0" w:line="88" w:lineRule="exact"/>
        <w:rPr>
          <w:sz w:val="20"/>
          <w:szCs w:val="20"/>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to be included in the series;</w:t>
      </w:r>
    </w:p>
    <w:p>
      <w:pPr>
        <w:spacing w:after="0" w:line="88"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dividend rate for the series, if any, and any restrictions or conditions on the payment of dividends;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if any, and the terms and conditions of redemption;</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provisions for the purchase or redemption of the series;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series is convertible, the terms and conditions of conversion;</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to holders upon our liquidation, dissolution or winding up; and</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 any other rights, powers, preferences and limitations relating to the series, including voting powers.</w:t>
      </w:r>
    </w:p>
    <w:p>
      <w:pPr>
        <w:spacing w:after="0" w:line="120" w:lineRule="exact"/>
        <w:rPr>
          <w:sz w:val="20"/>
          <w:szCs w:val="20"/>
          <w:color w:val="auto"/>
        </w:rPr>
      </w:pPr>
    </w:p>
    <w:p>
      <w:pPr>
        <w:jc w:val="both"/>
        <w:ind w:left="1340" w:right="1639" w:firstLine="277"/>
        <w:spacing w:after="0" w:line="255" w:lineRule="auto"/>
        <w:rPr>
          <w:sz w:val="20"/>
          <w:szCs w:val="20"/>
          <w:color w:val="auto"/>
        </w:rPr>
      </w:pPr>
      <w:r>
        <w:rPr>
          <w:rFonts w:ascii="Times New Roman" w:cs="Times New Roman" w:eastAsia="Times New Roman" w:hAnsi="Times New Roman"/>
          <w:sz w:val="14"/>
          <w:szCs w:val="14"/>
          <w:color w:val="auto"/>
        </w:rPr>
        <w:t>Our board of directors’ ability to authorize, without stockholder approval, the issuance of preferred stock, may dilute the voting power, rights and preferences of the holders of our common stock or other series of preferred stock that may be outstanding.</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No shares of our preferred stock are currently issued and outstanding.</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Specific Terms of a Series of Preferred Stock</w:t>
      </w:r>
    </w:p>
    <w:p>
      <w:pPr>
        <w:spacing w:after="0" w:line="111" w:lineRule="exact"/>
        <w:rPr>
          <w:sz w:val="20"/>
          <w:szCs w:val="20"/>
          <w:color w:val="auto"/>
        </w:rPr>
      </w:pPr>
    </w:p>
    <w:p>
      <w:pPr>
        <w:ind w:left="1340" w:right="1559" w:firstLine="277"/>
        <w:spacing w:after="0" w:line="247" w:lineRule="auto"/>
        <w:rPr>
          <w:sz w:val="20"/>
          <w:szCs w:val="20"/>
          <w:color w:val="auto"/>
        </w:rPr>
      </w:pPr>
      <w:r>
        <w:rPr>
          <w:rFonts w:ascii="Times New Roman" w:cs="Times New Roman" w:eastAsia="Times New Roman" w:hAnsi="Times New Roman"/>
          <w:sz w:val="14"/>
          <w:szCs w:val="14"/>
          <w:color w:val="auto"/>
        </w:rPr>
        <w:t>The preferred stock we may offer will be issued in one or more series. The preferred stock may have any one or more of the dividend, liquidation, redemption and voting powers, preferences, and rights discussed below. A prospectus supplement will discuss the following features of the series of preferred stock to which it relates:</w:t>
      </w:r>
    </w:p>
    <w:p>
      <w:pPr>
        <w:spacing w:after="0" w:line="54" w:lineRule="exact"/>
        <w:rPr>
          <w:sz w:val="20"/>
          <w:szCs w:val="20"/>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designations and stated value per share;</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offered;</w:t>
      </w:r>
    </w:p>
    <w:p>
      <w:pPr>
        <w:spacing w:after="0" w:line="6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liquidation preference per share;</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at which the preferred stock will be issued;</w:t>
      </w:r>
    </w:p>
    <w:p>
      <w:pPr>
        <w:spacing w:after="0" w:line="67"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the method of its calculation, the dates on which dividends would be paid and the dates, if any, from which dividends would cumulate;</w:t>
      </w:r>
    </w:p>
    <w:p>
      <w:pPr>
        <w:spacing w:after="0" w:line="3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rights; and</w:t>
      </w:r>
    </w:p>
    <w:p>
      <w:pPr>
        <w:spacing w:after="0" w:line="67"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voting, dividend, liquidation, redemption, sinking fund and other rights, preferences, powers, limitations and restrictions.</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2" w:lineRule="exact"/>
        <w:rPr>
          <w:sz w:val="20"/>
          <w:szCs w:val="20"/>
          <w:color w:val="auto"/>
        </w:rPr>
      </w:pPr>
    </w:p>
    <w:p>
      <w:pPr>
        <w:ind w:left="1340" w:right="1379" w:firstLine="277"/>
        <w:spacing w:after="0" w:line="247" w:lineRule="auto"/>
        <w:rPr>
          <w:sz w:val="20"/>
          <w:szCs w:val="20"/>
          <w:color w:val="auto"/>
        </w:rPr>
      </w:pPr>
      <w:r>
        <w:rPr>
          <w:rFonts w:ascii="Times New Roman" w:cs="Times New Roman" w:eastAsia="Times New Roman" w:hAnsi="Times New Roman"/>
          <w:sz w:val="14"/>
          <w:szCs w:val="14"/>
          <w:color w:val="auto"/>
        </w:rPr>
        <w:t>The holders of preferred stock of each series have one vote per share, except as otherwise provided in the certificate of designation governing such preferred stock and as described in a prospectus supplement. Our board of directors may, upon issuance of a series of preferred stock, grant voting rights to the holders of that series to elect additional board members if we fail to pay dividends in a timely fashion.</w:t>
      </w:r>
    </w:p>
    <w:p>
      <w:pPr>
        <w:spacing w:after="0" w:line="85" w:lineRule="exact"/>
        <w:rPr>
          <w:sz w:val="20"/>
          <w:szCs w:val="20"/>
          <w:color w:val="auto"/>
        </w:rPr>
      </w:pPr>
    </w:p>
    <w:p>
      <w:pPr>
        <w:ind w:left="1340" w:right="1399" w:firstLine="277"/>
        <w:spacing w:after="0" w:line="244" w:lineRule="auto"/>
        <w:rPr>
          <w:sz w:val="20"/>
          <w:szCs w:val="20"/>
          <w:color w:val="auto"/>
        </w:rPr>
      </w:pPr>
      <w:r>
        <w:rPr>
          <w:rFonts w:ascii="Times New Roman" w:cs="Times New Roman" w:eastAsia="Times New Roman" w:hAnsi="Times New Roman"/>
          <w:sz w:val="14"/>
          <w:szCs w:val="14"/>
          <w:color w:val="auto"/>
        </w:rPr>
        <w:t>In addition, the holders of a series of preferred stock created pursuant to a certificate of designation will possess certain class votes under the DGCL as required by law, in addition to any class votes granted to the holders of such series in a certificate of designation creating such series of preferred stock. Specifically, without the affirmative vote of a majority of the shares of preferred stock of any series then outstanding, we may not:</w:t>
      </w:r>
    </w:p>
    <w:p>
      <w:pPr>
        <w:spacing w:after="0" w:line="218" w:lineRule="exact"/>
        <w:rPr>
          <w:sz w:val="20"/>
          <w:szCs w:val="20"/>
          <w:color w:val="auto"/>
        </w:rPr>
      </w:pPr>
    </w:p>
    <w:p>
      <w:pPr>
        <w:ind w:left="1760" w:hanging="137"/>
        <w:spacing w:after="0"/>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decrease the par value of the shares of that series; or</w:t>
      </w:r>
    </w:p>
    <w:p>
      <w:pPr>
        <w:spacing w:after="0" w:line="67" w:lineRule="exact"/>
        <w:rPr>
          <w:rFonts w:ascii="Times New Roman" w:cs="Times New Roman" w:eastAsia="Times New Roman" w:hAnsi="Times New Roman"/>
          <w:sz w:val="14"/>
          <w:szCs w:val="14"/>
          <w:color w:val="auto"/>
        </w:rPr>
      </w:pPr>
    </w:p>
    <w:p>
      <w:pPr>
        <w:ind w:left="1760" w:right="1619" w:hanging="137"/>
        <w:spacing w:after="0" w:line="278" w:lineRule="auto"/>
        <w:tabs>
          <w:tab w:leader="none" w:pos="1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or change the powers, preferences or special rights of the shares of that series so as to affect them adversely.</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22" w:lineRule="exact"/>
        <w:rPr>
          <w:sz w:val="20"/>
          <w:szCs w:val="20"/>
          <w:color w:val="auto"/>
        </w:rPr>
      </w:pPr>
    </w:p>
    <w:p>
      <w:pPr>
        <w:ind w:left="1340" w:right="1379" w:firstLine="277"/>
        <w:spacing w:after="0" w:line="242" w:lineRule="auto"/>
        <w:rPr>
          <w:sz w:val="20"/>
          <w:szCs w:val="20"/>
          <w:color w:val="auto"/>
        </w:rPr>
      </w:pPr>
      <w:r>
        <w:rPr>
          <w:rFonts w:ascii="Times New Roman" w:cs="Times New Roman" w:eastAsia="Times New Roman" w:hAnsi="Times New Roman"/>
          <w:sz w:val="14"/>
          <w:szCs w:val="14"/>
          <w:color w:val="auto"/>
        </w:rPr>
        <w:t>Holders of each series of preferred stock shall be entitled to receive cash dividends to the extent specified in the prospectus supplement when, as and if declared by our board of directors, from funds legally available for the payment of dividends. The rates and dates of payment of dividends of each series of preferred stock will be stated in the prospectus supplement. Dividends will be payable to the holders of record of preferred stock as they appear on our books on the record dates fixed by our board of directors. Dividends on any series of preferred stock may be cumulative or non-cumulative, as discussed in the applicable prospectus supplement.</w:t>
      </w:r>
    </w:p>
    <w:p>
      <w:pPr>
        <w:spacing w:after="0" w:line="30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Rank</w:t>
      </w:r>
    </w:p>
    <w:p>
      <w:pPr>
        <w:spacing w:after="0" w:line="122" w:lineRule="exact"/>
        <w:rPr>
          <w:sz w:val="20"/>
          <w:szCs w:val="20"/>
          <w:color w:val="auto"/>
        </w:rPr>
      </w:pPr>
    </w:p>
    <w:p>
      <w:pPr>
        <w:ind w:left="1340" w:right="1359" w:firstLine="277"/>
        <w:spacing w:after="0" w:line="262" w:lineRule="auto"/>
        <w:rPr>
          <w:sz w:val="20"/>
          <w:szCs w:val="20"/>
          <w:color w:val="auto"/>
        </w:rPr>
      </w:pPr>
      <w:r>
        <w:rPr>
          <w:rFonts w:ascii="Times New Roman" w:cs="Times New Roman" w:eastAsia="Times New Roman" w:hAnsi="Times New Roman"/>
          <w:sz w:val="14"/>
          <w:szCs w:val="14"/>
          <w:color w:val="auto"/>
        </w:rPr>
        <w:t>Unless otherwise stated in the prospectus supplement, the preferred stock will have priority over our common stock with respect to dividends and distribution of assets, but will rank junior to all our outstanding</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599"/>
        <w:spacing w:after="0" w:line="255" w:lineRule="auto"/>
        <w:rPr>
          <w:sz w:val="20"/>
          <w:szCs w:val="20"/>
          <w:color w:val="auto"/>
        </w:rPr>
      </w:pPr>
      <w:r>
        <w:rPr>
          <w:rFonts w:ascii="Times New Roman" w:cs="Times New Roman" w:eastAsia="Times New Roman" w:hAnsi="Times New Roman"/>
          <w:sz w:val="14"/>
          <w:szCs w:val="14"/>
          <w:color w:val="auto"/>
        </w:rPr>
        <w:t>indebtedness for borrowed money. Any series of preferred stock could rank senior, equal or junior to our other capital stock, as may be specified in a prospectus supplement, as long as our certificate of incorporation so permits.</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22" w:lineRule="exact"/>
        <w:rPr>
          <w:sz w:val="20"/>
          <w:szCs w:val="20"/>
          <w:color w:val="auto"/>
        </w:rPr>
      </w:pPr>
    </w:p>
    <w:p>
      <w:pPr>
        <w:ind w:left="1340" w:right="1359" w:firstLine="277"/>
        <w:spacing w:after="0" w:line="241" w:lineRule="auto"/>
        <w:rPr>
          <w:sz w:val="20"/>
          <w:szCs w:val="20"/>
          <w:color w:val="auto"/>
        </w:rPr>
      </w:pPr>
      <w:r>
        <w:rPr>
          <w:rFonts w:ascii="Times New Roman" w:cs="Times New Roman" w:eastAsia="Times New Roman" w:hAnsi="Times New Roman"/>
          <w:sz w:val="14"/>
          <w:szCs w:val="14"/>
          <w:color w:val="auto"/>
        </w:rPr>
        <w:t>Upon any voluntary or involuntary liquidation, dissolution or winding up of the affairs of the Company, holders of each series of preferred stock will be entitled to receive distributions upon liquidation in the amount described in the related prospectus supplement. These distributions will be made before any distribution is made on any securities ranking junior to the preferred stock with respect to liquidation, including our common stock. If the liquidation amounts payable relating to the preferred stock of any series and any other securities ranking on a parity regarding liquidation rights are not paid in full, the holders of the preferred stock of that series will share ratably in proportion to the full liquidation preferences of each security. Holders of our preferred stock will not be entitled to any other amounts from us after they have received their full liquidation preference.</w:t>
      </w:r>
    </w:p>
    <w:p>
      <w:pPr>
        <w:spacing w:after="0" w:line="30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Convertibility</w:t>
      </w:r>
    </w:p>
    <w:p>
      <w:pPr>
        <w:spacing w:after="0" w:line="122"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Shares of a series of preferred stock may be exchangeable or convertible into shares of our common stock, another series of preferred stock or other securities or property. The conversion or exchange may be mandatory or optional. The prospectus supplement will specify whether the preferred stock being offered has any conversion or exchange features, and will describe all the related terms and conditions.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111" w:lineRule="exact"/>
        <w:rPr>
          <w:sz w:val="20"/>
          <w:szCs w:val="20"/>
          <w:color w:val="auto"/>
        </w:rPr>
      </w:pPr>
    </w:p>
    <w:p>
      <w:pPr>
        <w:ind w:left="1340" w:right="1479" w:firstLine="277"/>
        <w:spacing w:after="0" w:line="278" w:lineRule="auto"/>
        <w:rPr>
          <w:sz w:val="20"/>
          <w:szCs w:val="20"/>
          <w:color w:val="auto"/>
        </w:rPr>
      </w:pPr>
      <w:r>
        <w:rPr>
          <w:rFonts w:ascii="Times New Roman" w:cs="Times New Roman" w:eastAsia="Times New Roman" w:hAnsi="Times New Roman"/>
          <w:sz w:val="14"/>
          <w:szCs w:val="14"/>
          <w:color w:val="auto"/>
        </w:rPr>
        <w:t>The terms, if any, on which shares of preferred stock of a series may be redeemed will be described in the applicable prospectus supplement.</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22" w:lineRule="exact"/>
        <w:rPr>
          <w:sz w:val="20"/>
          <w:szCs w:val="20"/>
          <w:color w:val="auto"/>
        </w:rPr>
      </w:pPr>
    </w:p>
    <w:p>
      <w:pPr>
        <w:ind w:left="1340" w:right="1759" w:firstLine="277"/>
        <w:spacing w:after="0" w:line="278" w:lineRule="auto"/>
        <w:rPr>
          <w:sz w:val="20"/>
          <w:szCs w:val="20"/>
          <w:color w:val="auto"/>
        </w:rPr>
      </w:pPr>
      <w:r>
        <w:rPr>
          <w:rFonts w:ascii="Times New Roman" w:cs="Times New Roman" w:eastAsia="Times New Roman" w:hAnsi="Times New Roman"/>
          <w:sz w:val="14"/>
          <w:szCs w:val="14"/>
          <w:color w:val="auto"/>
        </w:rPr>
        <w:t>The shares of a series of preferred stock will not have any preferences, voting powers or relative, participating, optional or other special rights except:</w:t>
      </w:r>
    </w:p>
    <w:p>
      <w:pPr>
        <w:spacing w:after="0" w:line="43" w:lineRule="exact"/>
        <w:rPr>
          <w:sz w:val="20"/>
          <w:szCs w:val="20"/>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above or in the prospectus supplement;</w:t>
      </w:r>
    </w:p>
    <w:p>
      <w:pPr>
        <w:spacing w:after="0" w:line="88" w:lineRule="exact"/>
        <w:rPr>
          <w:rFonts w:ascii="Times New Roman" w:cs="Times New Roman" w:eastAsia="Times New Roman" w:hAnsi="Times New Roman"/>
          <w:sz w:val="14"/>
          <w:szCs w:val="14"/>
          <w:color w:val="auto"/>
        </w:rPr>
      </w:pPr>
    </w:p>
    <w:p>
      <w:pPr>
        <w:ind w:left="1760" w:right="1639" w:hanging="137"/>
        <w:spacing w:after="0" w:line="278" w:lineRule="auto"/>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provided in our certificate of incorporation and in the certificate of designations creating such series of preferred stock; and</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otherwise required by law.</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Election and Removal of Directors</w:t>
      </w:r>
    </w:p>
    <w:p>
      <w:pPr>
        <w:spacing w:after="0" w:line="122"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color w:val="auto"/>
        </w:rPr>
        <w:t>Until the election of directors at our 2027 annual meeting of stockholders, our board of directors is divided into three classes. Starting with our 2025 annual meeting of stockholders, the directors whose terms expire at each annual meeting of stockholders will be elected to one-year terms rather than three-year terms. For so long as our board of directors is classified, any director may be removed, for cause, from the board of directors at any meeting of stockholders by not less than 66 2/3% of our outstanding stock. Upon the board of directors becoming declassified at the 2027 annual meeting of stockholders, directors may be removed with or without cause by the affirmative vote of not less than a majority of the total voting power of all outstanding securities of the company then entitled to vote generally in the election of directors, voting together as a single class, in accordance with Delaware law.</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Shareholder’s Agreement</w:t>
      </w:r>
    </w:p>
    <w:p>
      <w:pPr>
        <w:spacing w:after="0" w:line="111" w:lineRule="exact"/>
        <w:rPr>
          <w:sz w:val="20"/>
          <w:szCs w:val="20"/>
          <w:color w:val="auto"/>
        </w:rPr>
      </w:pPr>
    </w:p>
    <w:p>
      <w:pPr>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On November 18, 2024, we entered into an Agreement and Plan of Merger (the “Merger Agreement”) with Archangel Merger Sub, LLC, a Delaware limited liability company and our direct wholly owned subsidiary (“Merger Sub”), BlueHalo Financing Topco, LLC, a Delaware limited liability company (“BlueHalo”), and BlueHalo Holdings Parent, LLC, a Delaware limited liability company and sole member of BlueHalo Financing Topco, LLC (“Seller”). In connection with the execution and delivery of the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4"/>
          <w:szCs w:val="14"/>
          <w:color w:val="auto"/>
        </w:rPr>
        <w:t>Merger Agreement, Arlington Capital Partners V, L.P. and Arlington Capital Partners VI, L.P. (collectively, the “Sponsor Members”) entered into a shareholder’s agreement (the “Shareholder’s Agreement”) with us pursuant to which the Sponsor Members, among other things, agreed to abide by customary standstill covenants, obligations to vote consistent with the recommendation of our board of directors, and customary employee non-solicit restrictions with respect to the employees of the Company and its subsidiaries. Among other things, we agreed to provide the Sponsor Members with certain board designation rights and customary registration rights, including customary demand and piggyback rights. The Sponsor Members have such designation rights to designate two directors to our board of directors until they and their affiliates cease to collectively hold and own, directly or indirectly, at least 20% of our Adjusted Outstanding Shares, and the Sponsor Members will have such designation rights to designate one director to our board of directors until they and their affiliates cease to collectively hold and own, directly or indirectly, at least 15% but less than 20% of our Adjusted Outstanding Shares. “Adjusted Outstanding Shares” means, at any time, the total number of issued and outstanding shares of our common stock, less the number of shares issued by us within six months of May 1, 2025.</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Certain Anti-Takeover Provisions of Delaware Law, Our Certificate of Incorporation and Our Bylaws</w:t>
      </w:r>
    </w:p>
    <w:p>
      <w:pPr>
        <w:spacing w:after="0" w:line="120" w:lineRule="exact"/>
        <w:rPr>
          <w:sz w:val="20"/>
          <w:szCs w:val="20"/>
          <w:color w:val="auto"/>
        </w:rPr>
      </w:pPr>
    </w:p>
    <w:p>
      <w:pPr>
        <w:ind w:left="1340" w:right="1439" w:firstLine="277"/>
        <w:spacing w:after="0" w:line="248" w:lineRule="auto"/>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ome provisions of the Delaware General Corporation Law (“DGCL”) and our Certificate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Incorporation and Bylaws, contain provisions that could make certain transactions more difficult, including an acquisition of us by means of a tender offer, an acquisition of us by means of a proxy contest or otherwise, or the removal of any of our incumbent officers and directors.</w:t>
      </w:r>
    </w:p>
    <w:p>
      <w:pPr>
        <w:spacing w:after="0" w:line="85"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These provisions, which are summarized below, are expected to discourage coercive takeover practices and inadequate takeover bids. These provisions also are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8" w:lineRule="exact"/>
        <w:rPr>
          <w:sz w:val="20"/>
          <w:szCs w:val="20"/>
          <w:color w:val="auto"/>
        </w:rPr>
      </w:pPr>
    </w:p>
    <w:p>
      <w:pPr>
        <w:ind w:left="1340" w:right="1359" w:firstLine="277"/>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Undesignated Preferred Stock. </w:t>
      </w:r>
      <w:r>
        <w:rPr>
          <w:rFonts w:ascii="Times New Roman" w:cs="Times New Roman" w:eastAsia="Times New Roman" w:hAnsi="Times New Roman"/>
          <w:sz w:val="14"/>
          <w:szCs w:val="14"/>
          <w:color w:val="auto"/>
        </w:rPr>
        <w:t>Our board of directors, without further action by our stockholders,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 up to 10,000,000 shares of undesignated preferred stock in one or more series, in each case, in such number and with such voting or other rights, preferences, or privileges as are established by our board of directors with respect thereto, including those superior to our common stock, that could impede the success of any attempt to change the control of the Company. These and other provisions may have the effect of deferring hostile takeovers or delaying changes in control or management of the Company.</w:t>
      </w:r>
    </w:p>
    <w:p>
      <w:pPr>
        <w:spacing w:after="0" w:line="84" w:lineRule="exact"/>
        <w:rPr>
          <w:sz w:val="20"/>
          <w:szCs w:val="20"/>
          <w:color w:val="auto"/>
        </w:rPr>
      </w:pPr>
    </w:p>
    <w:p>
      <w:pPr>
        <w:ind w:left="1340" w:right="1479" w:firstLine="277"/>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Stockholder Meetings. </w:t>
      </w:r>
      <w:r>
        <w:rPr>
          <w:rFonts w:ascii="Times New Roman" w:cs="Times New Roman" w:eastAsia="Times New Roman" w:hAnsi="Times New Roman"/>
          <w:sz w:val="14"/>
          <w:szCs w:val="14"/>
          <w:color w:val="auto"/>
        </w:rPr>
        <w:t>Our Certificate of Incorporation and Bylaws provide that a special meeting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may be called only by our chairman of the board or chief executive officer, or by the chief executive officer or secretary at the request in writing by a majority of our board of directors.</w:t>
      </w:r>
    </w:p>
    <w:p>
      <w:pPr>
        <w:spacing w:after="0" w:line="81" w:lineRule="exact"/>
        <w:rPr>
          <w:sz w:val="20"/>
          <w:szCs w:val="20"/>
          <w:color w:val="auto"/>
        </w:rPr>
      </w:pPr>
    </w:p>
    <w:p>
      <w:pPr>
        <w:jc w:val="center"/>
        <w:ind w:right="139"/>
        <w:spacing w:after="0"/>
        <w:tabs>
          <w:tab w:leader="none" w:pos="100" w:val="left"/>
        </w:tabs>
        <w:rPr>
          <w:sz w:val="20"/>
          <w:szCs w:val="20"/>
          <w:color w:val="auto"/>
        </w:rPr>
      </w:pPr>
      <w:r>
        <w:rPr>
          <w:rFonts w:ascii="Times New Roman" w:cs="Times New Roman" w:eastAsia="Times New Roman" w:hAnsi="Times New Roman"/>
          <w:sz w:val="14"/>
          <w:szCs w:val="14"/>
          <w:i w:val="1"/>
          <w:iCs w:val="1"/>
          <w:color w:val="auto"/>
        </w:rPr>
        <w:t>Requirements for Advance Notification of Stockholder Nominations and Proposals.</w:t>
      </w:r>
      <w:r>
        <w:rPr>
          <w:sz w:val="20"/>
          <w:szCs w:val="20"/>
          <w:color w:val="auto"/>
        </w:rPr>
        <w:tab/>
      </w:r>
      <w:r>
        <w:rPr>
          <w:rFonts w:ascii="Times New Roman" w:cs="Times New Roman" w:eastAsia="Times New Roman" w:hAnsi="Times New Roman"/>
          <w:sz w:val="14"/>
          <w:szCs w:val="14"/>
          <w:color w:val="auto"/>
        </w:rPr>
        <w:t>Our Bylaws</w:t>
      </w:r>
    </w:p>
    <w:p>
      <w:pPr>
        <w:spacing w:after="0" w:line="22" w:lineRule="exact"/>
        <w:rPr>
          <w:sz w:val="20"/>
          <w:szCs w:val="20"/>
          <w:color w:val="auto"/>
        </w:rPr>
      </w:pPr>
    </w:p>
    <w:p>
      <w:pPr>
        <w:ind w:left="1340" w:right="1419"/>
        <w:spacing w:after="0" w:line="237" w:lineRule="auto"/>
        <w:rPr>
          <w:sz w:val="20"/>
          <w:szCs w:val="20"/>
          <w:color w:val="auto"/>
        </w:rPr>
      </w:pPr>
      <w:r>
        <w:rPr>
          <w:rFonts w:ascii="Times New Roman" w:cs="Times New Roman" w:eastAsia="Times New Roman" w:hAnsi="Times New Roman"/>
          <w:sz w:val="14"/>
          <w:szCs w:val="14"/>
          <w:color w:val="auto"/>
        </w:rPr>
        <w:t>establish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88" w:lineRule="exact"/>
        <w:rPr>
          <w:sz w:val="20"/>
          <w:szCs w:val="20"/>
          <w:color w:val="auto"/>
        </w:rPr>
      </w:pPr>
    </w:p>
    <w:p>
      <w:pPr>
        <w:ind w:left="1340" w:right="141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Elimination of Stockholder Action by Written Consent. </w:t>
      </w:r>
      <w:r>
        <w:rPr>
          <w:rFonts w:ascii="Times New Roman" w:cs="Times New Roman" w:eastAsia="Times New Roman" w:hAnsi="Times New Roman"/>
          <w:sz w:val="14"/>
          <w:szCs w:val="14"/>
          <w:color w:val="auto"/>
        </w:rPr>
        <w:t>Our Certificate of Incorporation eliminates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 of stockholders to act by written consent without a meeting.</w:t>
      </w:r>
    </w:p>
    <w:p>
      <w:pPr>
        <w:spacing w:after="0" w:line="59" w:lineRule="exact"/>
        <w:rPr>
          <w:sz w:val="20"/>
          <w:szCs w:val="20"/>
          <w:color w:val="auto"/>
        </w:rPr>
      </w:pPr>
    </w:p>
    <w:p>
      <w:pPr>
        <w:ind w:left="1340" w:right="1579" w:firstLine="277"/>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Amendments to Certificate of Incorporation and Bylaws. </w:t>
      </w:r>
      <w:r>
        <w:rPr>
          <w:rFonts w:ascii="Times New Roman" w:cs="Times New Roman" w:eastAsia="Times New Roman" w:hAnsi="Times New Roman"/>
          <w:sz w:val="14"/>
          <w:szCs w:val="14"/>
          <w:color w:val="auto"/>
        </w:rPr>
        <w:t>The affirmative vote of holders of at least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voting stock of the Company, voting together as a single class, is required to</w:t>
      </w:r>
    </w:p>
    <w:p>
      <w:pPr>
        <w:spacing w:after="0" w:line="1" w:lineRule="exact"/>
        <w:rPr>
          <w:sz w:val="20"/>
          <w:szCs w:val="20"/>
          <w:color w:val="auto"/>
        </w:rPr>
      </w:pPr>
    </w:p>
    <w:p>
      <w:pPr>
        <w:ind w:left="1340" w:right="1359"/>
        <w:spacing w:after="0" w:line="245" w:lineRule="auto"/>
        <w:rPr>
          <w:sz w:val="20"/>
          <w:szCs w:val="20"/>
          <w:color w:val="auto"/>
        </w:rPr>
      </w:pPr>
      <w:r>
        <w:rPr>
          <w:rFonts w:ascii="Times New Roman" w:cs="Times New Roman" w:eastAsia="Times New Roman" w:hAnsi="Times New Roman"/>
          <w:sz w:val="14"/>
          <w:szCs w:val="14"/>
          <w:color w:val="auto"/>
        </w:rPr>
        <w:t>amend certain portions of the Certificate of Incorporation, including the portions regarding the removal of directors for cause by our stockholders. Our board of directors may amend or repeal our Bylaws without any further action by our stockholders. Our stockholders may amend or repeal the Bylaws with, in addition to any other vote required by law, the affirmative vote of the holders of not less than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total voting</w:t>
      </w:r>
    </w:p>
    <w:p>
      <w:pPr>
        <w:spacing w:after="0" w:line="3" w:lineRule="exact"/>
        <w:rPr>
          <w:sz w:val="20"/>
          <w:szCs w:val="20"/>
          <w:color w:val="auto"/>
        </w:rPr>
      </w:pPr>
    </w:p>
    <w:p>
      <w:pPr>
        <w:ind w:left="1340" w:right="1699"/>
        <w:spacing w:after="0" w:line="262" w:lineRule="auto"/>
        <w:rPr>
          <w:sz w:val="20"/>
          <w:szCs w:val="20"/>
          <w:color w:val="auto"/>
        </w:rPr>
      </w:pPr>
      <w:r>
        <w:rPr>
          <w:rFonts w:ascii="Times New Roman" w:cs="Times New Roman" w:eastAsia="Times New Roman" w:hAnsi="Times New Roman"/>
          <w:sz w:val="14"/>
          <w:szCs w:val="14"/>
          <w:color w:val="auto"/>
        </w:rPr>
        <w:t>power of all outstanding Company securities then entitled to vote generally in the election of directors, voting together as a single class.</w:t>
      </w:r>
    </w:p>
    <w:p>
      <w:pPr>
        <w:spacing w:after="0" w:line="72" w:lineRule="exact"/>
        <w:rPr>
          <w:sz w:val="20"/>
          <w:szCs w:val="20"/>
          <w:color w:val="auto"/>
        </w:rPr>
      </w:pPr>
    </w:p>
    <w:p>
      <w:pPr>
        <w:ind w:left="1620"/>
        <w:spacing w:after="0"/>
        <w:tabs>
          <w:tab w:leader="none" w:pos="3600" w:val="left"/>
        </w:tabs>
        <w:rPr>
          <w:sz w:val="20"/>
          <w:szCs w:val="20"/>
          <w:color w:val="auto"/>
        </w:rPr>
      </w:pPr>
      <w:r>
        <w:rPr>
          <w:rFonts w:ascii="Times New Roman" w:cs="Times New Roman" w:eastAsia="Times New Roman" w:hAnsi="Times New Roman"/>
          <w:sz w:val="14"/>
          <w:szCs w:val="14"/>
          <w:i w:val="1"/>
          <w:iCs w:val="1"/>
          <w:color w:val="auto"/>
        </w:rPr>
        <w:t>Delaware Anti-Takeover Statute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We are subject to the provisions of Section 203 of the DGCL.</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Subject to certain exceptions, Section 203 prohibits persons deemed “interested stockholders” from</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6" w:name="page47"/>
    <w:bookmarkEnd w:id="4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879"/>
        <w:spacing w:after="0" w:line="278" w:lineRule="auto"/>
        <w:rPr>
          <w:sz w:val="20"/>
          <w:szCs w:val="20"/>
          <w:color w:val="auto"/>
        </w:rPr>
      </w:pPr>
      <w:r>
        <w:rPr>
          <w:rFonts w:ascii="Times New Roman" w:cs="Times New Roman" w:eastAsia="Times New Roman" w:hAnsi="Times New Roman"/>
          <w:sz w:val="14"/>
          <w:szCs w:val="14"/>
          <w:color w:val="auto"/>
        </w:rPr>
        <w:t>engaging, under certain circumstances, in a “business combination” with a publicly held Delaware corporation for three years following the date these persons become interested stockholders, unless:</w:t>
      </w:r>
    </w:p>
    <w:p>
      <w:pPr>
        <w:spacing w:after="0" w:line="43" w:lineRule="exact"/>
        <w:rPr>
          <w:sz w:val="20"/>
          <w:szCs w:val="20"/>
          <w:color w:val="auto"/>
        </w:rPr>
      </w:pPr>
    </w:p>
    <w:p>
      <w:pPr>
        <w:ind w:left="1760" w:right="1619" w:hanging="137"/>
        <w:spacing w:after="0" w:line="262" w:lineRule="auto"/>
        <w:tabs>
          <w:tab w:leader="none" w:pos="1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date of the transaction, the board of directors of the corporation approved either the business combination or the transaction which resulted in the stockholder becoming an interested stockholder;</w:t>
      </w:r>
    </w:p>
    <w:p>
      <w:pPr>
        <w:spacing w:after="0" w:line="54" w:lineRule="exact"/>
        <w:rPr>
          <w:rFonts w:ascii="Times New Roman" w:cs="Times New Roman" w:eastAsia="Times New Roman" w:hAnsi="Times New Roman"/>
          <w:sz w:val="14"/>
          <w:szCs w:val="14"/>
          <w:color w:val="auto"/>
        </w:rPr>
      </w:pPr>
    </w:p>
    <w:p>
      <w:pPr>
        <w:ind w:left="1760" w:right="1399" w:hanging="137"/>
        <w:spacing w:after="0" w:line="260" w:lineRule="auto"/>
        <w:tabs>
          <w:tab w:leader="none" w:pos="1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stockholder owned at least 85% of the voting stock of the corporation outstanding at the time the transaction commenced, calculated in accordance with the provisions of Section 203 of the DGCL; or</w:t>
      </w:r>
    </w:p>
    <w:p>
      <w:pPr>
        <w:spacing w:after="0" w:line="224" w:lineRule="exact"/>
        <w:rPr>
          <w:rFonts w:ascii="Times New Roman" w:cs="Times New Roman" w:eastAsia="Times New Roman" w:hAnsi="Times New Roman"/>
          <w:sz w:val="14"/>
          <w:szCs w:val="14"/>
          <w:color w:val="auto"/>
        </w:rPr>
      </w:pPr>
    </w:p>
    <w:p>
      <w:pPr>
        <w:ind w:left="1760" w:right="1419" w:hanging="137"/>
        <w:spacing w:after="0" w:line="263" w:lineRule="auto"/>
        <w:tabs>
          <w:tab w:leader="none" w:pos="1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subsequent to the date of the transaction, the business combination is approved by the board of directors and authorized at an annual or special meeting of stockholders, and not by written consent, by the affirmative vote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voting stock which is not owned by the interested stockholder.</w:t>
      </w:r>
    </w:p>
    <w:p>
      <w:pPr>
        <w:spacing w:after="0" w:line="84"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We also anticipate that Section 203 of the DGCL may also discourage attempts that might result in a premium over the market price for the shares of capital stock held by stockholders.</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16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Our common stock is traded on The Nasdaq Global Select Market under the trading symbol “AVAV.”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7" w:name="page48"/>
    <w:bookmarkEnd w:id="47"/>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2" w:lineRule="exact"/>
        <w:rPr>
          <w:sz w:val="20"/>
          <w:szCs w:val="20"/>
          <w:color w:val="auto"/>
        </w:rPr>
      </w:pPr>
    </w:p>
    <w:p>
      <w:pPr>
        <w:ind w:left="1340" w:right="1479" w:firstLine="277"/>
        <w:spacing w:after="0" w:line="253"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93" w:lineRule="exact"/>
        <w:rPr>
          <w:sz w:val="20"/>
          <w:szCs w:val="20"/>
          <w:color w:val="auto"/>
        </w:rPr>
      </w:pPr>
    </w:p>
    <w:p>
      <w:pPr>
        <w:ind w:left="1340" w:right="1399" w:firstLine="277"/>
        <w:spacing w:after="0" w:line="257"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79" w:lineRule="exact"/>
        <w:rPr>
          <w:sz w:val="20"/>
          <w:szCs w:val="20"/>
          <w:color w:val="auto"/>
        </w:rPr>
      </w:pPr>
    </w:p>
    <w:p>
      <w:pPr>
        <w:ind w:left="1340" w:right="1419" w:firstLine="277"/>
        <w:spacing w:after="0" w:line="253"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U.S. Bank Trust Company, National Association,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As used in this section only, “AeroVironment,” “we,” “our” or “us” refer to AeroVironment, Inc.</w:t>
      </w:r>
    </w:p>
    <w:p>
      <w:pPr>
        <w:spacing w:after="0" w:line="2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excluding our subsidiaries, unless expressly stated or the context otherwise requires.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2" w:lineRule="exact"/>
        <w:rPr>
          <w:sz w:val="20"/>
          <w:szCs w:val="20"/>
          <w:color w:val="auto"/>
        </w:rPr>
      </w:pPr>
    </w:p>
    <w:p>
      <w:pPr>
        <w:ind w:left="1340" w:right="1419" w:firstLine="277"/>
        <w:spacing w:after="0" w:line="255"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80" w:lineRule="exact"/>
        <w:rPr>
          <w:sz w:val="20"/>
          <w:szCs w:val="20"/>
          <w:color w:val="auto"/>
        </w:rPr>
      </w:pPr>
    </w:p>
    <w:p>
      <w:pPr>
        <w:jc w:val="both"/>
        <w:ind w:left="1340" w:right="1439" w:firstLine="277"/>
        <w:spacing w:after="0" w:line="255"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9" w:lineRule="exact"/>
        <w:rPr>
          <w:sz w:val="20"/>
          <w:szCs w:val="20"/>
          <w:color w:val="auto"/>
        </w:rPr>
      </w:pPr>
    </w:p>
    <w:p>
      <w:pPr>
        <w:ind w:left="1760" w:hanging="137"/>
        <w:spacing w:after="0"/>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88"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98" w:lineRule="exact"/>
        <w:rPr>
          <w:rFonts w:ascii="Times New Roman" w:cs="Times New Roman" w:eastAsia="Times New Roman" w:hAnsi="Times New Roman"/>
          <w:sz w:val="14"/>
          <w:szCs w:val="14"/>
          <w:color w:val="auto"/>
        </w:rPr>
      </w:pPr>
    </w:p>
    <w:p>
      <w:pPr>
        <w:ind w:left="1760" w:right="1379" w:hanging="137"/>
        <w:spacing w:after="0" w:line="255"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58" w:lineRule="exact"/>
        <w:rPr>
          <w:rFonts w:ascii="Times New Roman" w:cs="Times New Roman" w:eastAsia="Times New Roman" w:hAnsi="Times New Roman"/>
          <w:sz w:val="14"/>
          <w:szCs w:val="14"/>
          <w:color w:val="auto"/>
        </w:rPr>
      </w:pPr>
    </w:p>
    <w:p>
      <w:pPr>
        <w:jc w:val="both"/>
        <w:ind w:left="1760" w:right="1379" w:hanging="137"/>
        <w:spacing w:after="0" w:line="257"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58"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198120</wp:posOffset>
            </wp:positionV>
            <wp:extent cx="526288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8" w:name="page49"/>
    <w:bookmarkEnd w:id="4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499" w:hanging="137"/>
        <w:spacing w:after="0" w:line="257"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58" w:lineRule="exact"/>
        <w:rPr>
          <w:rFonts w:ascii="Times New Roman" w:cs="Times New Roman" w:eastAsia="Times New Roman" w:hAnsi="Times New Roman"/>
          <w:sz w:val="14"/>
          <w:szCs w:val="14"/>
          <w:color w:val="auto"/>
        </w:rPr>
      </w:pPr>
    </w:p>
    <w:p>
      <w:pPr>
        <w:jc w:val="both"/>
        <w:ind w:left="1760" w:right="137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32" w:lineRule="exact"/>
        <w:rPr>
          <w:rFonts w:ascii="Times New Roman" w:cs="Times New Roman" w:eastAsia="Times New Roman" w:hAnsi="Times New Roman"/>
          <w:sz w:val="14"/>
          <w:szCs w:val="14"/>
          <w:color w:val="auto"/>
        </w:rPr>
      </w:pPr>
    </w:p>
    <w:p>
      <w:pPr>
        <w:ind w:left="1760" w:right="145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32" w:lineRule="exact"/>
        <w:rPr>
          <w:rFonts w:ascii="Times New Roman" w:cs="Times New Roman" w:eastAsia="Times New Roman" w:hAnsi="Times New Roman"/>
          <w:sz w:val="14"/>
          <w:szCs w:val="14"/>
          <w:color w:val="auto"/>
        </w:rPr>
      </w:pPr>
    </w:p>
    <w:p>
      <w:pPr>
        <w:ind w:left="1760" w:right="161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32" w:lineRule="exact"/>
        <w:rPr>
          <w:rFonts w:ascii="Times New Roman" w:cs="Times New Roman" w:eastAsia="Times New Roman" w:hAnsi="Times New Roman"/>
          <w:sz w:val="14"/>
          <w:szCs w:val="14"/>
          <w:color w:val="auto"/>
        </w:rPr>
      </w:pPr>
    </w:p>
    <w:p>
      <w:pPr>
        <w:ind w:left="1760" w:right="143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32" w:lineRule="exact"/>
        <w:rPr>
          <w:rFonts w:ascii="Times New Roman" w:cs="Times New Roman" w:eastAsia="Times New Roman" w:hAnsi="Times New Roman"/>
          <w:sz w:val="14"/>
          <w:szCs w:val="14"/>
          <w:color w:val="auto"/>
        </w:rPr>
      </w:pPr>
    </w:p>
    <w:p>
      <w:pPr>
        <w:jc w:val="both"/>
        <w:ind w:left="1760" w:right="1759" w:hanging="137"/>
        <w:spacing w:after="0" w:line="262"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44" w:lineRule="exact"/>
        <w:rPr>
          <w:rFonts w:ascii="Times New Roman" w:cs="Times New Roman" w:eastAsia="Times New Roman" w:hAnsi="Times New Roman"/>
          <w:sz w:val="14"/>
          <w:szCs w:val="14"/>
          <w:color w:val="auto"/>
        </w:rPr>
      </w:pPr>
    </w:p>
    <w:p>
      <w:pPr>
        <w:ind w:left="1760" w:right="179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44" w:lineRule="exact"/>
        <w:rPr>
          <w:rFonts w:ascii="Times New Roman" w:cs="Times New Roman" w:eastAsia="Times New Roman" w:hAnsi="Times New Roman"/>
          <w:sz w:val="14"/>
          <w:szCs w:val="14"/>
          <w:color w:val="auto"/>
        </w:rPr>
      </w:pPr>
    </w:p>
    <w:p>
      <w:pPr>
        <w:jc w:val="both"/>
        <w:ind w:left="1760" w:right="1419" w:hanging="137"/>
        <w:spacing w:after="0" w:line="257"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4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77" w:lineRule="exact"/>
        <w:rPr>
          <w:rFonts w:ascii="Times New Roman" w:cs="Times New Roman" w:eastAsia="Times New Roman" w:hAnsi="Times New Roman"/>
          <w:sz w:val="14"/>
          <w:szCs w:val="14"/>
          <w:color w:val="auto"/>
        </w:rPr>
      </w:pPr>
    </w:p>
    <w:p>
      <w:pPr>
        <w:jc w:val="both"/>
        <w:ind w:left="1760" w:right="1459" w:hanging="137"/>
        <w:spacing w:after="0" w:line="262"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44" w:lineRule="exact"/>
        <w:rPr>
          <w:rFonts w:ascii="Times New Roman" w:cs="Times New Roman" w:eastAsia="Times New Roman" w:hAnsi="Times New Roman"/>
          <w:sz w:val="14"/>
          <w:szCs w:val="14"/>
          <w:color w:val="auto"/>
        </w:rPr>
      </w:pPr>
    </w:p>
    <w:p>
      <w:pPr>
        <w:ind w:left="1760" w:right="191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32" w:lineRule="exact"/>
        <w:rPr>
          <w:rFonts w:ascii="Times New Roman" w:cs="Times New Roman" w:eastAsia="Times New Roman" w:hAnsi="Times New Roman"/>
          <w:sz w:val="14"/>
          <w:szCs w:val="14"/>
          <w:color w:val="auto"/>
        </w:rPr>
      </w:pPr>
    </w:p>
    <w:p>
      <w:pPr>
        <w:ind w:left="1760" w:right="161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32" w:lineRule="exact"/>
        <w:rPr>
          <w:rFonts w:ascii="Times New Roman" w:cs="Times New Roman" w:eastAsia="Times New Roman" w:hAnsi="Times New Roman"/>
          <w:sz w:val="14"/>
          <w:szCs w:val="14"/>
          <w:color w:val="auto"/>
        </w:rPr>
      </w:pPr>
    </w:p>
    <w:p>
      <w:pPr>
        <w:ind w:left="1760" w:right="1519" w:hanging="137"/>
        <w:spacing w:after="0" w:line="257"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48" w:lineRule="exact"/>
        <w:rPr>
          <w:rFonts w:ascii="Times New Roman" w:cs="Times New Roman" w:eastAsia="Times New Roman" w:hAnsi="Times New Roman"/>
          <w:sz w:val="14"/>
          <w:szCs w:val="14"/>
          <w:color w:val="auto"/>
        </w:rPr>
      </w:pPr>
    </w:p>
    <w:p>
      <w:pPr>
        <w:jc w:val="both"/>
        <w:ind w:left="1760" w:right="1459" w:hanging="137"/>
        <w:spacing w:after="0" w:line="262"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44" w:lineRule="exact"/>
        <w:rPr>
          <w:rFonts w:ascii="Times New Roman" w:cs="Times New Roman" w:eastAsia="Times New Roman" w:hAnsi="Times New Roman"/>
          <w:sz w:val="14"/>
          <w:szCs w:val="14"/>
          <w:color w:val="auto"/>
        </w:rPr>
      </w:pPr>
    </w:p>
    <w:p>
      <w:pPr>
        <w:ind w:left="1760" w:right="1659" w:hanging="137"/>
        <w:spacing w:after="0" w:line="278" w:lineRule="auto"/>
        <w:tabs>
          <w:tab w:leader="none" w:pos="1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 (Section 2.2)</w:t>
      </w:r>
    </w:p>
    <w:p>
      <w:pPr>
        <w:spacing w:after="0" w:line="74" w:lineRule="exact"/>
        <w:rPr>
          <w:sz w:val="20"/>
          <w:szCs w:val="20"/>
          <w:color w:val="auto"/>
        </w:rPr>
      </w:pPr>
    </w:p>
    <w:p>
      <w:pPr>
        <w:ind w:left="1340" w:right="1559" w:firstLine="277"/>
        <w:spacing w:after="0" w:line="247"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85" w:lineRule="exact"/>
        <w:rPr>
          <w:sz w:val="20"/>
          <w:szCs w:val="20"/>
          <w:color w:val="auto"/>
        </w:rPr>
      </w:pPr>
    </w:p>
    <w:p>
      <w:pPr>
        <w:ind w:left="1340" w:right="1439" w:firstLine="277"/>
        <w:spacing w:after="0" w:line="262"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79"/>
        <w:spacing w:after="0" w:line="257" w:lineRule="auto"/>
        <w:rPr>
          <w:sz w:val="20"/>
          <w:szCs w:val="20"/>
          <w:color w:val="auto"/>
        </w:rPr>
      </w:pPr>
      <w:r>
        <w:rPr>
          <w:rFonts w:ascii="Times New Roman" w:cs="Times New Roman" w:eastAsia="Times New Roman" w:hAnsi="Times New Roman"/>
          <w:sz w:val="14"/>
          <w:szCs w:val="14"/>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122"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95" w:lineRule="exact"/>
        <w:rPr>
          <w:sz w:val="20"/>
          <w:szCs w:val="20"/>
          <w:color w:val="auto"/>
        </w:rPr>
      </w:pPr>
    </w:p>
    <w:p>
      <w:pPr>
        <w:ind w:left="1340" w:right="1379" w:firstLine="277"/>
        <w:spacing w:after="0" w:line="255" w:lineRule="auto"/>
        <w:rPr>
          <w:sz w:val="20"/>
          <w:szCs w:val="20"/>
          <w:color w:val="auto"/>
        </w:rPr>
      </w:pPr>
      <w:r>
        <w:rPr>
          <w:rFonts w:ascii="Times New Roman" w:cs="Times New Roman" w:eastAsia="Times New Roman" w:hAnsi="Times New Roman"/>
          <w:sz w:val="14"/>
          <w:szCs w:val="14"/>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80" w:lineRule="exact"/>
        <w:rPr>
          <w:sz w:val="20"/>
          <w:szCs w:val="20"/>
          <w:color w:val="auto"/>
        </w:rPr>
      </w:pPr>
    </w:p>
    <w:p>
      <w:pPr>
        <w:ind w:left="1340" w:right="1519" w:firstLine="277"/>
        <w:spacing w:after="0" w:line="257"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90" w:lineRule="exact"/>
        <w:rPr>
          <w:sz w:val="20"/>
          <w:szCs w:val="20"/>
          <w:color w:val="auto"/>
        </w:rPr>
      </w:pPr>
    </w:p>
    <w:p>
      <w:pPr>
        <w:ind w:left="1340" w:right="1379" w:firstLine="277"/>
        <w:spacing w:after="0" w:line="262" w:lineRule="auto"/>
        <w:rPr>
          <w:sz w:val="20"/>
          <w:szCs w:val="20"/>
          <w:color w:val="auto"/>
        </w:rPr>
      </w:pPr>
      <w:r>
        <w:rPr>
          <w:rFonts w:ascii="Times New Roman" w:cs="Times New Roman" w:eastAsia="Times New Roman" w:hAnsi="Times New Roman"/>
          <w:sz w:val="14"/>
          <w:szCs w:val="14"/>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22" w:lineRule="exact"/>
        <w:rPr>
          <w:sz w:val="20"/>
          <w:szCs w:val="20"/>
          <w:color w:val="auto"/>
        </w:rPr>
      </w:pPr>
    </w:p>
    <w:p>
      <w:pPr>
        <w:ind w:left="1340" w:right="1559" w:firstLine="277"/>
        <w:spacing w:after="0" w:line="278"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 (Article IV)</w:t>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111"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22" w:lineRule="exact"/>
        <w:rPr>
          <w:sz w:val="20"/>
          <w:szCs w:val="20"/>
          <w:color w:val="auto"/>
        </w:rPr>
      </w:pPr>
    </w:p>
    <w:p>
      <w:pPr>
        <w:ind w:left="1340" w:right="1499" w:firstLine="277"/>
        <w:spacing w:after="0" w:line="278"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43" w:lineRule="exact"/>
        <w:rPr>
          <w:sz w:val="20"/>
          <w:szCs w:val="20"/>
          <w:color w:val="auto"/>
        </w:rPr>
      </w:pPr>
    </w:p>
    <w:p>
      <w:pPr>
        <w:ind w:left="1760" w:right="1359" w:hanging="137"/>
        <w:spacing w:after="0" w:line="262"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the successor person (if other than AeroVironment) is a corporation, partnership, trust or other entity organized and validly existing under the laws of any U.S. domestic jurisdiction and expressly assumes our obligations on the debt securities and under the indenture; and</w:t>
      </w:r>
    </w:p>
    <w:p>
      <w:pPr>
        <w:spacing w:after="0" w:line="54" w:lineRule="exact"/>
        <w:rPr>
          <w:rFonts w:ascii="Times New Roman" w:cs="Times New Roman" w:eastAsia="Times New Roman" w:hAnsi="Times New Roman"/>
          <w:sz w:val="14"/>
          <w:szCs w:val="14"/>
          <w:color w:val="auto"/>
        </w:rPr>
      </w:pPr>
    </w:p>
    <w:p>
      <w:pPr>
        <w:ind w:left="1760" w:right="1359" w:hanging="137"/>
        <w:spacing w:after="0" w:line="278" w:lineRule="auto"/>
        <w:tabs>
          <w:tab w:leader="none" w:pos="1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74" w:lineRule="exact"/>
        <w:rPr>
          <w:sz w:val="20"/>
          <w:szCs w:val="20"/>
          <w:color w:val="auto"/>
        </w:rPr>
      </w:pPr>
    </w:p>
    <w:p>
      <w:pPr>
        <w:ind w:left="1340" w:right="1479" w:firstLine="277"/>
        <w:spacing w:after="0" w:line="278" w:lineRule="auto"/>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 (Section 5.1)</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88" w:lineRule="exact"/>
        <w:rPr>
          <w:sz w:val="20"/>
          <w:szCs w:val="20"/>
          <w:color w:val="auto"/>
        </w:rPr>
      </w:pPr>
    </w:p>
    <w:p>
      <w:pPr>
        <w:ind w:left="1760" w:right="1439" w:hanging="137"/>
        <w:spacing w:after="0" w:line="257"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77" w:lineRule="exact"/>
        <w:rPr>
          <w:rFonts w:ascii="Times New Roman" w:cs="Times New Roman" w:eastAsia="Times New Roman" w:hAnsi="Times New Roman"/>
          <w:sz w:val="14"/>
          <w:szCs w:val="14"/>
          <w:color w:val="auto"/>
        </w:rPr>
      </w:pPr>
    </w:p>
    <w:p>
      <w:pPr>
        <w:ind w:left="1760" w:right="1399" w:hanging="137"/>
        <w:spacing w:after="0" w:line="253"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AeroVironment and the trustee receive written notice from the holders of not less than 25% in principal amount of the outstanding debt securities of that series as provided in the indenture;</w:t>
      </w:r>
    </w:p>
    <w:p>
      <w:pPr>
        <w:spacing w:after="0" w:line="62" w:lineRule="exact"/>
        <w:rPr>
          <w:rFonts w:ascii="Times New Roman" w:cs="Times New Roman" w:eastAsia="Times New Roman" w:hAnsi="Times New Roman"/>
          <w:sz w:val="14"/>
          <w:szCs w:val="14"/>
          <w:color w:val="auto"/>
        </w:rPr>
      </w:pPr>
    </w:p>
    <w:p>
      <w:pPr>
        <w:ind w:left="1760" w:right="2279" w:hanging="137"/>
        <w:spacing w:after="0" w:line="278"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AeroVironment;</w:t>
      </w:r>
    </w:p>
    <w:p>
      <w:pPr>
        <w:spacing w:after="0" w:line="42"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(Section 6.1)</w:t>
      </w:r>
    </w:p>
    <w:p>
      <w:pPr>
        <w:spacing w:after="0" w:line="74" w:lineRule="exact"/>
        <w:rPr>
          <w:sz w:val="20"/>
          <w:szCs w:val="20"/>
          <w:color w:val="auto"/>
        </w:rPr>
      </w:pPr>
    </w:p>
    <w:p>
      <w:pPr>
        <w:ind w:left="1340" w:right="1399" w:firstLine="277"/>
        <w:spacing w:after="0" w:line="243"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89"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85" w:lineRule="exact"/>
        <w:rPr>
          <w:sz w:val="20"/>
          <w:szCs w:val="20"/>
          <w:color w:val="auto"/>
        </w:rPr>
      </w:pPr>
    </w:p>
    <w:p>
      <w:pPr>
        <w:ind w:left="1340" w:right="1419" w:firstLine="277"/>
        <w:spacing w:after="0" w:line="239"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90" w:lineRule="exact"/>
        <w:rPr>
          <w:sz w:val="20"/>
          <w:szCs w:val="20"/>
          <w:color w:val="auto"/>
        </w:rPr>
      </w:pPr>
    </w:p>
    <w:p>
      <w:pPr>
        <w:jc w:val="both"/>
        <w:ind w:left="1340" w:right="1439" w:firstLine="277"/>
        <w:spacing w:after="0" w:line="245"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340" w:right="1479"/>
        <w:spacing w:after="0" w:line="239" w:lineRule="auto"/>
        <w:rPr>
          <w:sz w:val="20"/>
          <w:szCs w:val="20"/>
          <w:color w:val="auto"/>
        </w:rPr>
      </w:pPr>
      <w:r>
        <w:rPr>
          <w:rFonts w:ascii="Times New Roman" w:cs="Times New Roman" w:eastAsia="Times New Roman" w:hAnsi="Times New Roman"/>
          <w:sz w:val="14"/>
          <w:szCs w:val="14"/>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firstLine="277"/>
        <w:spacing w:after="0" w:line="255"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48" w:lineRule="exact"/>
        <w:rPr>
          <w:sz w:val="20"/>
          <w:szCs w:val="20"/>
          <w:color w:val="auto"/>
        </w:rPr>
      </w:pPr>
    </w:p>
    <w:p>
      <w:pPr>
        <w:ind w:left="1760" w:right="1539" w:hanging="137"/>
        <w:spacing w:after="0" w:line="278" w:lineRule="auto"/>
        <w:tabs>
          <w:tab w:leader="none" w:pos="1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55" w:lineRule="auto"/>
        <w:tabs>
          <w:tab w:leader="none" w:pos="1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80" w:lineRule="exact"/>
        <w:rPr>
          <w:sz w:val="20"/>
          <w:szCs w:val="20"/>
          <w:color w:val="auto"/>
        </w:rPr>
      </w:pPr>
    </w:p>
    <w:p>
      <w:pPr>
        <w:ind w:left="1340" w:right="1579" w:firstLine="277"/>
        <w:spacing w:after="0" w:line="247"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85"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22"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43" w:lineRule="exact"/>
        <w:rPr>
          <w:sz w:val="20"/>
          <w:szCs w:val="20"/>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88" w:lineRule="exact"/>
        <w:rPr>
          <w:rFonts w:ascii="Times New Roman" w:cs="Times New Roman" w:eastAsia="Times New Roman" w:hAnsi="Times New Roman"/>
          <w:sz w:val="14"/>
          <w:szCs w:val="14"/>
          <w:color w:val="auto"/>
        </w:rPr>
      </w:pPr>
    </w:p>
    <w:p>
      <w:pPr>
        <w:ind w:left="1760" w:right="1819" w:hanging="137"/>
        <w:spacing w:after="0" w:line="278"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88" w:lineRule="exact"/>
        <w:rPr>
          <w:rFonts w:ascii="Times New Roman" w:cs="Times New Roman" w:eastAsia="Times New Roman" w:hAnsi="Times New Roman"/>
          <w:sz w:val="14"/>
          <w:szCs w:val="14"/>
          <w:color w:val="auto"/>
        </w:rPr>
      </w:pPr>
    </w:p>
    <w:p>
      <w:pPr>
        <w:ind w:left="1760" w:right="1559" w:hanging="137"/>
        <w:spacing w:after="0" w:line="278"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54" w:lineRule="exact"/>
        <w:rPr>
          <w:rFonts w:ascii="Times New Roman" w:cs="Times New Roman" w:eastAsia="Times New Roman" w:hAnsi="Times New Roman"/>
          <w:sz w:val="14"/>
          <w:szCs w:val="14"/>
          <w:color w:val="auto"/>
        </w:rPr>
      </w:pPr>
    </w:p>
    <w:p>
      <w:pPr>
        <w:ind w:left="1760" w:right="1839" w:hanging="137"/>
        <w:spacing w:after="0" w:line="278" w:lineRule="auto"/>
        <w:tabs>
          <w:tab w:leader="none" w:pos="1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(Section 9.1)</w:t>
      </w:r>
    </w:p>
    <w:p>
      <w:pPr>
        <w:spacing w:after="0" w:line="63" w:lineRule="exact"/>
        <w:rPr>
          <w:sz w:val="20"/>
          <w:szCs w:val="20"/>
          <w:color w:val="auto"/>
        </w:rPr>
      </w:pPr>
    </w:p>
    <w:p>
      <w:pPr>
        <w:ind w:left="1340" w:right="1479" w:firstLine="277"/>
        <w:spacing w:after="0" w:line="247"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2" w:name="page53"/>
    <w:bookmarkEnd w:id="52"/>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559" w:hanging="137"/>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52" w:lineRule="exact"/>
        <w:rPr>
          <w:rFonts w:ascii="Times New Roman" w:cs="Times New Roman" w:eastAsia="Times New Roman" w:hAnsi="Times New Roman"/>
          <w:sz w:val="14"/>
          <w:szCs w:val="14"/>
          <w:color w:val="auto"/>
        </w:rPr>
      </w:pPr>
    </w:p>
    <w:p>
      <w:pPr>
        <w:ind w:left="1760" w:right="1479" w:hanging="137"/>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42" w:lineRule="exact"/>
        <w:rPr>
          <w:rFonts w:ascii="Times New Roman" w:cs="Times New Roman" w:eastAsia="Times New Roman" w:hAnsi="Times New Roman"/>
          <w:sz w:val="14"/>
          <w:szCs w:val="14"/>
          <w:color w:val="auto"/>
        </w:rPr>
      </w:pPr>
    </w:p>
    <w:p>
      <w:pPr>
        <w:ind w:left="1760" w:right="1379" w:hanging="137"/>
        <w:spacing w:after="0" w:line="262"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4"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98" w:lineRule="exact"/>
        <w:rPr>
          <w:rFonts w:ascii="Times New Roman" w:cs="Times New Roman" w:eastAsia="Times New Roman" w:hAnsi="Times New Roman"/>
          <w:sz w:val="14"/>
          <w:szCs w:val="14"/>
          <w:color w:val="auto"/>
        </w:rPr>
      </w:pPr>
    </w:p>
    <w:p>
      <w:pPr>
        <w:ind w:left="1760" w:right="1399" w:hanging="137"/>
        <w:spacing w:after="0" w:line="257"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58" w:lineRule="exact"/>
        <w:rPr>
          <w:rFonts w:ascii="Times New Roman" w:cs="Times New Roman" w:eastAsia="Times New Roman" w:hAnsi="Times New Roman"/>
          <w:sz w:val="14"/>
          <w:szCs w:val="14"/>
          <w:color w:val="auto"/>
        </w:rPr>
      </w:pPr>
    </w:p>
    <w:p>
      <w:pPr>
        <w:ind w:left="1760" w:right="1419" w:hanging="137"/>
        <w:spacing w:after="0" w:line="278"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52" w:lineRule="exact"/>
        <w:rPr>
          <w:rFonts w:ascii="Times New Roman" w:cs="Times New Roman" w:eastAsia="Times New Roman" w:hAnsi="Times New Roman"/>
          <w:sz w:val="14"/>
          <w:szCs w:val="14"/>
          <w:color w:val="auto"/>
        </w:rPr>
      </w:pPr>
    </w:p>
    <w:p>
      <w:pPr>
        <w:ind w:left="1760" w:right="1459" w:hanging="137"/>
        <w:spacing w:after="0" w:line="257" w:lineRule="auto"/>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5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(Section 9.3)</w:t>
      </w:r>
    </w:p>
    <w:p>
      <w:pPr>
        <w:spacing w:after="0" w:line="120"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109" w:lineRule="exact"/>
        <w:rPr>
          <w:sz w:val="20"/>
          <w:szCs w:val="20"/>
          <w:color w:val="auto"/>
        </w:rPr>
      </w:pPr>
    </w:p>
    <w:p>
      <w:pPr>
        <w:ind w:left="1340" w:right="1359" w:firstLine="277"/>
        <w:spacing w:after="0" w:line="251"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261" w:lineRule="exact"/>
        <w:rPr>
          <w:sz w:val="20"/>
          <w:szCs w:val="20"/>
          <w:color w:val="auto"/>
        </w:rPr>
      </w:pPr>
    </w:p>
    <w:p>
      <w:pPr>
        <w:ind w:left="1340" w:right="1399" w:firstLine="277"/>
        <w:spacing w:after="0" w:line="251"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right="1719" w:firstLine="277"/>
        <w:spacing w:after="0" w:line="281"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of the applicable series of debt securities, upon compliance with certain conditions:</w:t>
      </w:r>
    </w:p>
    <w:p>
      <w:pPr>
        <w:spacing w:after="0" w:line="41" w:lineRule="exact"/>
        <w:rPr>
          <w:sz w:val="20"/>
          <w:szCs w:val="20"/>
          <w:color w:val="auto"/>
        </w:rPr>
      </w:pPr>
    </w:p>
    <w:p>
      <w:pPr>
        <w:ind w:left="1760" w:right="1499" w:hanging="137"/>
        <w:spacing w:after="0" w:line="262"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4" w:lineRule="exact"/>
        <w:rPr>
          <w:rFonts w:ascii="Times New Roman" w:cs="Times New Roman" w:eastAsia="Times New Roman" w:hAnsi="Times New Roman"/>
          <w:sz w:val="14"/>
          <w:szCs w:val="14"/>
          <w:color w:val="auto"/>
        </w:rPr>
      </w:pPr>
    </w:p>
    <w:p>
      <w:pPr>
        <w:ind w:left="1760" w:right="1619" w:hanging="137"/>
        <w:spacing w:after="0" w:line="278" w:lineRule="auto"/>
        <w:tabs>
          <w:tab w:leader="none" w:pos="1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88" w:lineRule="exact"/>
        <w:rPr>
          <w:sz w:val="20"/>
          <w:szCs w:val="20"/>
          <w:color w:val="auto"/>
        </w:rPr>
      </w:pPr>
    </w:p>
    <w:p>
      <w:pPr>
        <w:ind w:left="1760" w:right="1379" w:hanging="137"/>
        <w:spacing w:after="0" w:line="252" w:lineRule="auto"/>
        <w:tabs>
          <w:tab w:leader="none" w:pos="1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60" w:lineRule="exact"/>
        <w:rPr>
          <w:rFonts w:ascii="Times New Roman" w:cs="Times New Roman" w:eastAsia="Times New Roman" w:hAnsi="Times New Roman"/>
          <w:sz w:val="14"/>
          <w:szCs w:val="14"/>
          <w:color w:val="auto"/>
        </w:rPr>
      </w:pPr>
    </w:p>
    <w:p>
      <w:pPr>
        <w:ind w:left="1760" w:right="1419" w:hanging="137"/>
        <w:spacing w:after="0" w:line="255" w:lineRule="auto"/>
        <w:tabs>
          <w:tab w:leader="none" w:pos="1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Securityholders</w:t>
      </w:r>
    </w:p>
    <w:p>
      <w:pPr>
        <w:spacing w:after="0" w:line="122" w:lineRule="exact"/>
        <w:rPr>
          <w:sz w:val="20"/>
          <w:szCs w:val="20"/>
          <w:color w:val="auto"/>
        </w:rPr>
      </w:pPr>
    </w:p>
    <w:p>
      <w:pPr>
        <w:ind w:left="1340" w:right="1399" w:firstLine="277"/>
        <w:spacing w:after="0" w:line="253"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2" w:lineRule="exact"/>
        <w:rPr>
          <w:sz w:val="20"/>
          <w:szCs w:val="20"/>
          <w:color w:val="auto"/>
        </w:rPr>
      </w:pPr>
    </w:p>
    <w:p>
      <w:pPr>
        <w:ind w:left="1340" w:right="1539" w:firstLine="277"/>
        <w:spacing w:after="0" w:line="278"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63" w:lineRule="exact"/>
        <w:rPr>
          <w:sz w:val="20"/>
          <w:szCs w:val="20"/>
          <w:color w:val="auto"/>
        </w:rPr>
      </w:pPr>
    </w:p>
    <w:p>
      <w:pPr>
        <w:ind w:left="1340" w:right="1539" w:firstLine="277"/>
        <w:spacing w:after="0" w:line="257"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90"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22" w:lineRule="exact"/>
        <w:rPr>
          <w:sz w:val="20"/>
          <w:szCs w:val="20"/>
          <w:color w:val="auto"/>
        </w:rPr>
      </w:pPr>
    </w:p>
    <w:p>
      <w:pPr>
        <w:ind w:left="1340" w:right="1759" w:firstLine="277"/>
        <w:spacing w:after="0" w:line="278"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warrants, purchase contracts or units issued by us that may be offered and sold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5" w:name="page56"/>
    <w:bookmarkEnd w:id="55"/>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122" w:lineRule="exact"/>
        <w:rPr>
          <w:sz w:val="20"/>
          <w:szCs w:val="20"/>
          <w:color w:val="auto"/>
        </w:rPr>
      </w:pPr>
    </w:p>
    <w:p>
      <w:pPr>
        <w:ind w:left="1340" w:right="1399" w:firstLine="277"/>
        <w:spacing w:after="0" w:line="241"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88" w:lineRule="exact"/>
        <w:rPr>
          <w:sz w:val="20"/>
          <w:szCs w:val="20"/>
          <w:color w:val="auto"/>
        </w:rPr>
      </w:pPr>
    </w:p>
    <w:p>
      <w:pPr>
        <w:ind w:left="1760" w:hanging="137"/>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77"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20" w:lineRule="exact"/>
        <w:rPr>
          <w:sz w:val="20"/>
          <w:szCs w:val="20"/>
          <w:color w:val="auto"/>
        </w:rPr>
      </w:pPr>
    </w:p>
    <w:p>
      <w:pPr>
        <w:ind w:left="1340" w:right="1399" w:firstLine="277"/>
        <w:spacing w:after="0" w:line="239"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96" w:lineRule="exact"/>
        <w:rPr>
          <w:sz w:val="20"/>
          <w:szCs w:val="20"/>
          <w:color w:val="auto"/>
        </w:rPr>
      </w:pPr>
    </w:p>
    <w:p>
      <w:pPr>
        <w:ind w:left="1340" w:right="1399" w:firstLine="277"/>
        <w:spacing w:after="0"/>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94" w:lineRule="exact"/>
        <w:rPr>
          <w:sz w:val="20"/>
          <w:szCs w:val="20"/>
          <w:color w:val="auto"/>
        </w:rPr>
      </w:pPr>
    </w:p>
    <w:p>
      <w:pPr>
        <w:ind w:left="1340" w:right="1379" w:firstLine="277"/>
        <w:spacing w:after="0" w:line="241"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250" w:lineRule="exact"/>
        <w:rPr>
          <w:sz w:val="20"/>
          <w:szCs w:val="20"/>
          <w:color w:val="auto"/>
        </w:rPr>
      </w:pPr>
    </w:p>
    <w:p>
      <w:pPr>
        <w:ind w:left="1340" w:right="1439" w:firstLine="277"/>
        <w:spacing w:after="0" w:line="247"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6" w:name="page57"/>
    <w:bookmarkEnd w:id="56"/>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40" w:right="1459" w:firstLine="277"/>
        <w:spacing w:after="0" w:line="262"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86" w:lineRule="exact"/>
        <w:rPr>
          <w:sz w:val="20"/>
          <w:szCs w:val="20"/>
          <w:color w:val="auto"/>
        </w:rPr>
      </w:pPr>
    </w:p>
    <w:p>
      <w:pPr>
        <w:ind w:left="1340" w:right="1399" w:firstLine="277"/>
        <w:spacing w:after="0" w:line="262"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86" w:lineRule="exact"/>
        <w:rPr>
          <w:sz w:val="20"/>
          <w:szCs w:val="20"/>
          <w:color w:val="auto"/>
        </w:rPr>
      </w:pPr>
    </w:p>
    <w:p>
      <w:pPr>
        <w:ind w:left="1340" w:right="1519" w:firstLine="277"/>
        <w:spacing w:after="0" w:line="255"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80" w:lineRule="exact"/>
        <w:rPr>
          <w:sz w:val="20"/>
          <w:szCs w:val="20"/>
          <w:color w:val="auto"/>
        </w:rPr>
      </w:pPr>
    </w:p>
    <w:p>
      <w:pPr>
        <w:ind w:left="1340" w:right="1459" w:firstLine="277"/>
        <w:spacing w:after="0" w:line="251"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263" w:lineRule="exact"/>
        <w:rPr>
          <w:sz w:val="20"/>
          <w:szCs w:val="20"/>
          <w:color w:val="auto"/>
        </w:rPr>
      </w:pPr>
    </w:p>
    <w:p>
      <w:pPr>
        <w:ind w:left="1340" w:right="1399" w:firstLine="277"/>
        <w:spacing w:after="0" w:line="250" w:lineRule="auto"/>
        <w:rPr>
          <w:sz w:val="20"/>
          <w:szCs w:val="20"/>
          <w:color w:val="auto"/>
        </w:rPr>
      </w:pPr>
      <w:r>
        <w:rPr>
          <w:rFonts w:ascii="Times New Roman" w:cs="Times New Roman" w:eastAsia="Times New Roman" w:hAnsi="Times New Roman"/>
          <w:sz w:val="14"/>
          <w:szCs w:val="14"/>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264" w:lineRule="exact"/>
        <w:rPr>
          <w:sz w:val="20"/>
          <w:szCs w:val="20"/>
          <w:color w:val="auto"/>
        </w:rPr>
      </w:pPr>
    </w:p>
    <w:p>
      <w:pPr>
        <w:ind w:left="1340" w:right="1419" w:firstLine="277"/>
        <w:spacing w:after="0" w:line="257"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79" w:lineRule="exact"/>
        <w:rPr>
          <w:sz w:val="20"/>
          <w:szCs w:val="20"/>
          <w:color w:val="auto"/>
        </w:rPr>
      </w:pPr>
    </w:p>
    <w:p>
      <w:pPr>
        <w:ind w:left="1340" w:right="1419" w:firstLine="277"/>
        <w:spacing w:after="0" w:line="262"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86" w:lineRule="exact"/>
        <w:rPr>
          <w:sz w:val="20"/>
          <w:szCs w:val="20"/>
          <w:color w:val="auto"/>
        </w:rPr>
      </w:pPr>
    </w:p>
    <w:p>
      <w:pPr>
        <w:jc w:val="both"/>
        <w:ind w:left="1340" w:right="1359" w:firstLine="277"/>
        <w:spacing w:after="0" w:line="262" w:lineRule="auto"/>
        <w:rPr>
          <w:sz w:val="20"/>
          <w:szCs w:val="20"/>
          <w:color w:val="auto"/>
        </w:rPr>
      </w:pPr>
      <w:r>
        <w:rPr>
          <w:rFonts w:ascii="Times New Roman" w:cs="Times New Roman" w:eastAsia="Times New Roman" w:hAnsi="Times New Roman"/>
          <w:sz w:val="14"/>
          <w:szCs w:val="14"/>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86" w:lineRule="exact"/>
        <w:rPr>
          <w:sz w:val="20"/>
          <w:szCs w:val="20"/>
          <w:color w:val="auto"/>
        </w:rPr>
      </w:pPr>
    </w:p>
    <w:p>
      <w:pPr>
        <w:ind w:left="1340" w:right="1899" w:firstLine="277"/>
        <w:spacing w:after="0" w:line="278" w:lineRule="auto"/>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43" w:lineRule="exact"/>
        <w:rPr>
          <w:sz w:val="20"/>
          <w:szCs w:val="20"/>
          <w:color w:val="auto"/>
        </w:rPr>
      </w:pPr>
    </w:p>
    <w:p>
      <w:pPr>
        <w:ind w:left="1760" w:right="1439" w:hanging="137"/>
        <w:spacing w:after="0" w:line="255" w:lineRule="auto"/>
        <w:tabs>
          <w:tab w:leader="none" w:pos="1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7" w:name="page58"/>
    <w:bookmarkEnd w:id="57"/>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60" w:right="1539" w:hanging="137"/>
        <w:spacing w:after="0" w:line="278" w:lineRule="auto"/>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42"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w:t>
      </w:r>
    </w:p>
    <w:p>
      <w:pPr>
        <w:spacing w:after="0" w:line="120" w:lineRule="exact"/>
        <w:rPr>
          <w:sz w:val="20"/>
          <w:szCs w:val="20"/>
          <w:color w:val="auto"/>
        </w:rPr>
      </w:pPr>
    </w:p>
    <w:p>
      <w:pPr>
        <w:ind w:left="1340" w:right="1479"/>
        <w:spacing w:after="0" w:line="254"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3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122" w:lineRule="exact"/>
        <w:rPr>
          <w:sz w:val="20"/>
          <w:szCs w:val="20"/>
          <w:color w:val="auto"/>
        </w:rPr>
      </w:pPr>
    </w:p>
    <w:p>
      <w:pPr>
        <w:ind w:left="1340" w:right="1379" w:firstLine="277"/>
        <w:spacing w:after="0" w:line="252"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81" w:lineRule="exact"/>
        <w:rPr>
          <w:sz w:val="20"/>
          <w:szCs w:val="20"/>
          <w:color w:val="auto"/>
        </w:rPr>
      </w:pPr>
    </w:p>
    <w:p>
      <w:pPr>
        <w:ind w:left="1340" w:right="1459" w:firstLine="277"/>
        <w:spacing w:after="0" w:line="257"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90" w:lineRule="exact"/>
        <w:rPr>
          <w:sz w:val="20"/>
          <w:szCs w:val="20"/>
          <w:color w:val="auto"/>
        </w:rPr>
      </w:pPr>
    </w:p>
    <w:p>
      <w:pPr>
        <w:ind w:left="1340" w:right="1499" w:firstLine="277"/>
        <w:spacing w:after="0" w:line="257"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90" w:lineRule="exact"/>
        <w:rPr>
          <w:sz w:val="20"/>
          <w:szCs w:val="20"/>
          <w:color w:val="auto"/>
        </w:rPr>
      </w:pPr>
    </w:p>
    <w:p>
      <w:pPr>
        <w:ind w:left="1340" w:right="1619" w:firstLine="277"/>
        <w:spacing w:after="0" w:line="257"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9" w:lineRule="exact"/>
        <w:rPr>
          <w:sz w:val="20"/>
          <w:szCs w:val="20"/>
          <w:color w:val="auto"/>
        </w:rPr>
      </w:pPr>
    </w:p>
    <w:p>
      <w:pPr>
        <w:ind w:left="1340" w:right="1379" w:firstLine="277"/>
        <w:spacing w:after="0" w:line="250"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266" w:lineRule="exact"/>
        <w:rPr>
          <w:sz w:val="20"/>
          <w:szCs w:val="20"/>
          <w:color w:val="auto"/>
        </w:rPr>
      </w:pPr>
    </w:p>
    <w:p>
      <w:pPr>
        <w:ind w:left="1340" w:right="1379" w:firstLine="277"/>
        <w:spacing w:after="0" w:line="251"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8" w:name="page59"/>
    <w:bookmarkEnd w:id="58"/>
    <w:p>
      <w:pPr>
        <w:ind w:left="38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22" w:lineRule="exact"/>
        <w:rPr>
          <w:sz w:val="20"/>
          <w:szCs w:val="20"/>
          <w:color w:val="auto"/>
        </w:rPr>
      </w:pPr>
    </w:p>
    <w:p>
      <w:pPr>
        <w:ind w:left="1340" w:right="1359" w:firstLine="277"/>
        <w:spacing w:after="0" w:line="250"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9" w:name="page60"/>
    <w:bookmarkEnd w:id="59"/>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may sell the offered securities from time to time:</w:t>
      </w:r>
    </w:p>
    <w:p>
      <w:pPr>
        <w:spacing w:after="0" w:line="88" w:lineRule="exact"/>
        <w:rPr>
          <w:sz w:val="20"/>
          <w:szCs w:val="20"/>
          <w:color w:val="auto"/>
        </w:rPr>
      </w:pPr>
    </w:p>
    <w:p>
      <w:pPr>
        <w:ind w:left="1760" w:hanging="137"/>
        <w:spacing w:after="0"/>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88" w:lineRule="exact"/>
        <w:rPr>
          <w:rFonts w:ascii="Times New Roman" w:cs="Times New Roman" w:eastAsia="Times New Roman" w:hAnsi="Times New Roman"/>
          <w:sz w:val="14"/>
          <w:szCs w:val="14"/>
          <w:color w:val="auto"/>
        </w:rPr>
      </w:pPr>
    </w:p>
    <w:p>
      <w:pPr>
        <w:ind w:left="1760" w:hanging="137"/>
        <w:spacing w:after="0"/>
        <w:tabs>
          <w:tab w:leader="none" w:pos="1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20" w:lineRule="exact"/>
        <w:rPr>
          <w:sz w:val="20"/>
          <w:szCs w:val="20"/>
          <w:color w:val="auto"/>
        </w:rPr>
      </w:pPr>
    </w:p>
    <w:p>
      <w:pPr>
        <w:ind w:left="1340" w:right="1499" w:firstLine="277"/>
        <w:spacing w:after="0" w:line="278"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0" w:name="page61"/>
    <w:bookmarkEnd w:id="60"/>
    <w:p>
      <w:pPr>
        <w:ind w:left="38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2" w:lineRule="exact"/>
        <w:rPr>
          <w:sz w:val="20"/>
          <w:szCs w:val="20"/>
          <w:color w:val="auto"/>
        </w:rPr>
      </w:pPr>
    </w:p>
    <w:p>
      <w:pPr>
        <w:ind w:left="1340" w:right="1399" w:firstLine="277"/>
        <w:spacing w:after="0" w:line="260"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AeroVironment, Inc. Additional legal matters may be passed upon for us or any underwriters, dealers or agents, by counsel that we will name in the applicable prospectus supplement.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AeroVironment, Inc.</w:t>
      </w:r>
    </w:p>
    <w:p>
      <w:pPr>
        <w:spacing w:after="0" w:line="122" w:lineRule="exact"/>
        <w:rPr>
          <w:sz w:val="20"/>
          <w:szCs w:val="20"/>
          <w:color w:val="auto"/>
        </w:rPr>
      </w:pPr>
    </w:p>
    <w:p>
      <w:pPr>
        <w:ind w:left="1340" w:right="1379" w:firstLine="277"/>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of AeroVironment, Inc., incorporated by reference in this prospectus by reference to AeroVironment, Inc.’s </w:t>
      </w:r>
      <w:hyperlink r:id="rId92">
        <w:r>
          <w:rPr>
            <w:rFonts w:ascii="Times New Roman" w:cs="Times New Roman" w:eastAsia="Times New Roman" w:hAnsi="Times New Roman"/>
            <w:sz w:val="14"/>
            <w:szCs w:val="14"/>
            <w:u w:val="single" w:color="auto"/>
            <w:color w:val="0000EE"/>
          </w:rPr>
          <w:t>Annual Report on Form 10-K for the fiscal year ended April 30, 2025</w:t>
        </w:r>
      </w:hyperlink>
      <w:r>
        <w:rPr>
          <w:rFonts w:ascii="Times New Roman" w:cs="Times New Roman" w:eastAsia="Times New Roman" w:hAnsi="Times New Roman"/>
          <w:sz w:val="14"/>
          <w:szCs w:val="14"/>
          <w:color w:val="auto"/>
        </w:rPr>
        <w:t>, and the effectiveness of AeroVironment,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BlueHalo Financing TopCo, LLC (f/k/a BlueHalo Financing Holdings, LLC)</w:t>
      </w:r>
    </w:p>
    <w:p>
      <w:pPr>
        <w:spacing w:after="0" w:line="111" w:lineRule="exact"/>
        <w:rPr>
          <w:sz w:val="20"/>
          <w:szCs w:val="20"/>
          <w:color w:val="auto"/>
        </w:rPr>
      </w:pPr>
    </w:p>
    <w:p>
      <w:pPr>
        <w:ind w:left="1340" w:right="1399" w:firstLine="277"/>
        <w:spacing w:after="0" w:line="253"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audited historical financial statements of BlueHalo Financing TopCo, LLC (f/k/a BlueHalo </w:t>
      </w:r>
      <w:hyperlink r:id="rId74">
        <w:r>
          <w:rPr>
            <w:rFonts w:ascii="Times New Roman" w:cs="Times New Roman" w:eastAsia="Times New Roman" w:hAnsi="Times New Roman"/>
            <w:sz w:val="14"/>
            <w:szCs w:val="14"/>
            <w:color w:val="auto"/>
          </w:rPr>
          <w:t xml:space="preserve">Financing Holdings, LLC) included in Exhibit 99.1 of AeroVironment, Inc.’s </w:t>
        </w:r>
        <w:r>
          <w:rPr>
            <w:rFonts w:ascii="Times New Roman" w:cs="Times New Roman" w:eastAsia="Times New Roman" w:hAnsi="Times New Roman"/>
            <w:sz w:val="14"/>
            <w:szCs w:val="14"/>
            <w:u w:val="single" w:color="auto"/>
            <w:color w:val="0000EE"/>
          </w:rPr>
          <w:t>Current Report on Form 8-</w:t>
        </w:r>
      </w:hyperlink>
      <w:hyperlink r:id="rId74">
        <w:r>
          <w:rPr>
            <w:rFonts w:ascii="Times New Roman" w:cs="Times New Roman" w:eastAsia="Times New Roman" w:hAnsi="Times New Roman"/>
            <w:sz w:val="14"/>
            <w:szCs w:val="14"/>
            <w:u w:val="single" w:color="auto"/>
            <w:color w:val="0000EE"/>
          </w:rPr>
          <w:t>K/A dated June 27,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(which contains an explanatory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paragraph relating to the ability of BlueHalo Financing TopCo, LLC (f/k/a BlueHalo Financing Holdings, LLC) to continue as a going concern as described in Note 1 and Note 8 to the financial statements) of PricewaterhouseCoopers LLP, independent auditors,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191135</wp:posOffset>
            </wp:positionV>
            <wp:extent cx="526288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ind w:left="380"/>
        <w:spacing w:after="0"/>
        <w:rPr>
          <w:sz w:val="20"/>
          <w:szCs w:val="20"/>
          <w:color w:val="auto"/>
        </w:rPr>
      </w:pPr>
      <w:r>
        <w:rPr>
          <w:rFonts w:ascii="Calibri" w:cs="Calibri" w:eastAsia="Calibri" w:hAnsi="Calibri"/>
          <w:sz w:val="11"/>
          <w:szCs w:val="11"/>
          <w:color w:val="003366"/>
        </w:rPr>
        <w:t>TABLE OF CONTENTS</w:t>
      </w:r>
    </w:p>
    <w:p>
      <w:pPr>
        <w:spacing w:after="0" w:line="37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-4445</wp:posOffset>
            </wp:positionV>
            <wp:extent cx="401066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4010660" cy="1333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41275</wp:posOffset>
            </wp:positionV>
            <wp:extent cx="401066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40106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3,528,226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350520</wp:posOffset>
            </wp:positionV>
            <wp:extent cx="1847215" cy="7588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1847215" cy="75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330200</wp:posOffset>
            </wp:positionV>
            <wp:extent cx="94996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129540</wp:posOffset>
            </wp:positionV>
            <wp:extent cx="94996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949960" cy="635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Lead Book-Running Managers</w:t>
      </w:r>
    </w:p>
    <w:p>
      <w:pPr>
        <w:spacing w:after="0" w:line="16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J.P. Morgan</w:t>
      </w:r>
    </w:p>
    <w:p>
      <w:pPr>
        <w:spacing w:after="0" w:line="2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BofA Securities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6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Raymond James</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RBC Capital Markets</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William Blair</w:t>
      </w:r>
    </w:p>
    <w:p>
      <w:pPr>
        <w:ind w:left="4320"/>
        <w:spacing w:after="0"/>
        <w:rPr>
          <w:sz w:val="20"/>
          <w:szCs w:val="20"/>
          <w:color w:val="auto"/>
        </w:rPr>
      </w:pPr>
      <w:r>
        <w:rPr>
          <w:rFonts w:ascii="Times New Roman" w:cs="Times New Roman" w:eastAsia="Times New Roman" w:hAnsi="Times New Roman"/>
          <w:sz w:val="15"/>
          <w:szCs w:val="15"/>
          <w:b w:val="1"/>
          <w:bCs w:val="1"/>
          <w:color w:val="auto"/>
        </w:rPr>
        <w:t>Baird</w:t>
      </w:r>
    </w:p>
    <w:p>
      <w:pPr>
        <w:spacing w:after="0" w:line="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5"/>
          <w:szCs w:val="15"/>
          <w:b w:val="1"/>
          <w:bCs w:val="1"/>
          <w:color w:val="auto"/>
        </w:rPr>
        <w:t>BNP PARIBAS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BTIG</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Citizens Capital Markets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BMO Capital Markets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July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455930</wp:posOffset>
            </wp:positionV>
            <wp:extent cx="401066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40106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1905</wp:posOffset>
            </wp:positionV>
            <wp:extent cx="401066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4010660" cy="1333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193675</wp:posOffset>
            </wp:positionV>
            <wp:extent cx="526288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526288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2" w:name="page63"/>
    <w:bookmarkEnd w:id="62"/>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AeroVironment Inc</w:t>
      </w:r>
    </w:p>
    <w:p>
      <w:pPr>
        <w:spacing w:after="0" w:line="12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31750</wp:posOffset>
            </wp:positionV>
            <wp:extent cx="7214870" cy="3858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214870" cy="3858260"/>
                    </a:xfrm>
                    <a:prstGeom prst="rect">
                      <a:avLst/>
                    </a:prstGeom>
                    <a:noFill/>
                  </pic:spPr>
                </pic:pic>
              </a:graphicData>
            </a:graphic>
          </wp:anchor>
        </w:drawing>
      </w:r>
    </w:p>
    <w:p>
      <w:pPr>
        <w:sectPr>
          <w:pgSz w:w="11900" w:h="16838" w:orient="portrait"/>
          <w:cols w:equalWidth="0" w:num="1">
            <w:col w:w="11280"/>
          </w:cols>
          <w:pgMar w:left="340" w:top="141" w:right="279" w:bottom="1440" w:gutter="0" w:footer="0" w:header="0"/>
        </w:sectPr>
      </w:pP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644"/>
        </w:trPr>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13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3"/>
        </w:trPr>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132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right"/>
              <w:ind w:right="57"/>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Forward</w:t>
            </w:r>
          </w:p>
        </w:tc>
        <w:tc>
          <w:tcPr>
            <w:tcW w:w="0" w:type="dxa"/>
            <w:vAlign w:val="bottom"/>
          </w:tcPr>
          <w:p>
            <w:pPr>
              <w:spacing w:after="0"/>
              <w:rPr>
                <w:sz w:val="1"/>
                <w:szCs w:val="1"/>
                <w:color w:val="auto"/>
              </w:rPr>
            </w:pPr>
          </w:p>
        </w:tc>
      </w:tr>
      <w:tr>
        <w:trPr>
          <w:trHeight w:val="166"/>
        </w:trPr>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140"/>
              <w:spacing w:after="0" w:line="16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3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87"/>
        </w:trPr>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62"/>
        </w:trPr>
        <w:tc>
          <w:tcPr>
            <w:tcW w:w="7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gridSpan w:val="5"/>
          </w:tcPr>
          <w:p>
            <w:pPr>
              <w:ind w:left="3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ind w:left="20"/>
              <w:spacing w:after="0" w:line="187"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gridSpan w:val="2"/>
          </w:tcPr>
          <w:p>
            <w:pPr>
              <w:ind w:left="4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ind w:left="20"/>
              <w:spacing w:after="0" w:line="167" w:lineRule="exact"/>
              <w:rPr>
                <w:sz w:val="20"/>
                <w:szCs w:val="20"/>
                <w:color w:val="auto"/>
              </w:rPr>
            </w:pPr>
            <w:r>
              <w:rPr>
                <w:rFonts w:ascii="Arial" w:cs="Arial" w:eastAsia="Arial" w:hAnsi="Arial"/>
                <w:sz w:val="17"/>
                <w:szCs w:val="17"/>
                <w:color w:val="auto"/>
              </w:rPr>
              <w:t>1 Equity</w:t>
            </w:r>
          </w:p>
        </w:tc>
        <w:tc>
          <w:tcPr>
            <w:tcW w:w="20" w:type="dxa"/>
            <w:vAlign w:val="bottom"/>
          </w:tcPr>
          <w:p>
            <w:pPr>
              <w:spacing w:after="0"/>
              <w:rPr>
                <w:sz w:val="14"/>
                <w:szCs w:val="14"/>
                <w:color w:val="auto"/>
              </w:rPr>
            </w:pPr>
          </w:p>
        </w:tc>
        <w:tc>
          <w:tcPr>
            <w:tcW w:w="700" w:type="dxa"/>
            <w:vAlign w:val="bottom"/>
          </w:tcPr>
          <w:p>
            <w:pPr>
              <w:ind w:left="20"/>
              <w:spacing w:after="0" w:line="16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4"/>
                <w:szCs w:val="14"/>
                <w:color w:val="auto"/>
              </w:rPr>
            </w:pPr>
          </w:p>
        </w:tc>
        <w:tc>
          <w:tcPr>
            <w:tcW w:w="920" w:type="dxa"/>
            <w:vAlign w:val="bottom"/>
          </w:tcPr>
          <w:p>
            <w:pPr>
              <w:jc w:val="center"/>
              <w:spacing w:after="0" w:line="167" w:lineRule="exact"/>
              <w:rPr>
                <w:sz w:val="20"/>
                <w:szCs w:val="20"/>
                <w:color w:val="auto"/>
              </w:rPr>
            </w:pPr>
            <w:r>
              <w:rPr>
                <w:rFonts w:ascii="Arial" w:cs="Arial" w:eastAsia="Arial" w:hAnsi="Arial"/>
                <w:sz w:val="17"/>
                <w:szCs w:val="17"/>
                <w:color w:val="auto"/>
                <w:w w:val="96"/>
              </w:rPr>
              <w:t>457(r)</w:t>
            </w:r>
          </w:p>
        </w:tc>
        <w:tc>
          <w:tcPr>
            <w:tcW w:w="9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4,057,460</w:t>
            </w:r>
          </w:p>
        </w:tc>
        <w:tc>
          <w:tcPr>
            <w:tcW w:w="80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$ 248.00</w:t>
            </w:r>
          </w:p>
        </w:tc>
        <w:tc>
          <w:tcPr>
            <w:tcW w:w="1340" w:type="dxa"/>
            <w:vAlign w:val="bottom"/>
            <w:gridSpan w:val="2"/>
            <w:vMerge w:val="continue"/>
          </w:tcPr>
          <w:p>
            <w:pPr>
              <w:spacing w:after="0"/>
              <w:rPr>
                <w:sz w:val="14"/>
                <w:szCs w:val="14"/>
                <w:color w:val="auto"/>
              </w:rPr>
            </w:pPr>
          </w:p>
        </w:tc>
        <w:tc>
          <w:tcPr>
            <w:tcW w:w="840" w:type="dxa"/>
            <w:vAlign w:val="bottom"/>
            <w:gridSpan w:val="2"/>
          </w:tcPr>
          <w:p>
            <w:pPr>
              <w:jc w:val="right"/>
              <w:spacing w:after="0" w:line="167" w:lineRule="exact"/>
              <w:rPr>
                <w:sz w:val="20"/>
                <w:szCs w:val="20"/>
                <w:color w:val="auto"/>
              </w:rPr>
            </w:pPr>
            <w:r>
              <w:rPr>
                <w:rFonts w:ascii="Arial" w:cs="Arial" w:eastAsia="Arial" w:hAnsi="Arial"/>
                <w:sz w:val="17"/>
                <w:szCs w:val="17"/>
                <w:color w:val="auto"/>
                <w:w w:val="99"/>
              </w:rPr>
              <w:t>0.0001531</w:t>
            </w:r>
          </w:p>
        </w:tc>
        <w:tc>
          <w:tcPr>
            <w:tcW w:w="1020" w:type="dxa"/>
            <w:vAlign w:val="bottom"/>
            <w:gridSpan w:val="2"/>
          </w:tcPr>
          <w:p>
            <w:pPr>
              <w:jc w:val="center"/>
              <w:spacing w:after="0" w:line="167" w:lineRule="exact"/>
              <w:rPr>
                <w:sz w:val="20"/>
                <w:szCs w:val="20"/>
                <w:color w:val="auto"/>
              </w:rPr>
            </w:pPr>
            <w:r>
              <w:rPr>
                <w:rFonts w:ascii="Arial" w:cs="Arial" w:eastAsia="Arial" w:hAnsi="Arial"/>
                <w:sz w:val="17"/>
                <w:szCs w:val="17"/>
                <w:color w:val="auto"/>
                <w:w w:val="96"/>
              </w:rPr>
              <w:t>$ 154,056.89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780" w:type="dxa"/>
            <w:vAlign w:val="bottom"/>
          </w:tcPr>
          <w:p>
            <w:pPr>
              <w:spacing w:after="0" w:line="37" w:lineRule="exact"/>
              <w:rPr>
                <w:sz w:val="20"/>
                <w:szCs w:val="20"/>
                <w:color w:val="auto"/>
              </w:rPr>
            </w:pPr>
            <w:r>
              <w:rPr>
                <w:rFonts w:ascii="Arial" w:cs="Arial" w:eastAsia="Arial" w:hAnsi="Arial"/>
                <w:sz w:val="4"/>
                <w:szCs w:val="4"/>
                <w:color w:val="auto"/>
              </w:rPr>
              <w:t>be Paid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340" w:type="dxa"/>
            <w:vAlign w:val="bottom"/>
            <w:gridSpan w:val="2"/>
          </w:tcPr>
          <w:p>
            <w:pPr>
              <w:jc w:val="right"/>
              <w:spacing w:after="0" w:line="37" w:lineRule="exact"/>
              <w:rPr>
                <w:sz w:val="20"/>
                <w:szCs w:val="20"/>
                <w:color w:val="auto"/>
              </w:rPr>
            </w:pPr>
            <w:r>
              <w:rPr>
                <w:rFonts w:ascii="Arial" w:cs="Arial" w:eastAsia="Arial" w:hAnsi="Arial"/>
                <w:sz w:val="4"/>
                <w:szCs w:val="4"/>
                <w:color w:val="auto"/>
              </w:rPr>
              <w:t>1,006,250,080.00</w:t>
            </w: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660"/>
        <w:spacing w:after="0" w:line="229" w:lineRule="auto"/>
        <w:rPr>
          <w:sz w:val="20"/>
          <w:szCs w:val="20"/>
          <w:color w:val="auto"/>
        </w:rPr>
      </w:pPr>
      <w:r>
        <w:rPr>
          <w:rFonts w:ascii="Arial" w:cs="Arial" w:eastAsia="Arial" w:hAnsi="Arial"/>
          <w:sz w:val="17"/>
          <w:szCs w:val="17"/>
          <w:color w:val="auto"/>
        </w:rPr>
        <w:t>value</w:t>
      </w:r>
    </w:p>
    <w:p>
      <w:pPr>
        <w:ind w:left="1660"/>
        <w:spacing w:after="0" w:line="230" w:lineRule="auto"/>
        <w:rPr>
          <w:sz w:val="20"/>
          <w:szCs w:val="20"/>
          <w:color w:val="auto"/>
        </w:rPr>
      </w:pPr>
      <w:r>
        <w:rPr>
          <w:rFonts w:ascii="Arial" w:cs="Arial" w:eastAsia="Arial" w:hAnsi="Arial"/>
          <w:sz w:val="17"/>
          <w:szCs w:val="17"/>
          <w:color w:val="auto"/>
        </w:rPr>
        <w:t>per</w:t>
      </w:r>
    </w:p>
    <w:p>
      <w:pPr>
        <w:ind w:left="1660"/>
        <w:spacing w:after="0"/>
        <w:rPr>
          <w:sz w:val="20"/>
          <w:szCs w:val="20"/>
          <w:color w:val="auto"/>
        </w:rPr>
      </w:pPr>
      <w:r>
        <w:rPr>
          <w:rFonts w:ascii="Arial" w:cs="Arial" w:eastAsia="Arial" w:hAnsi="Arial"/>
          <w:sz w:val="17"/>
          <w:szCs w:val="17"/>
          <w:color w:val="auto"/>
        </w:rPr>
        <w:t>share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Previously</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Paid</w:t>
      </w:r>
    </w:p>
    <w:p>
      <w:pPr>
        <w:spacing w:after="0" w:line="17"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Carry Forward Securities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Carry</w:t>
      </w:r>
    </w:p>
    <w:p>
      <w:pPr>
        <w:spacing w:after="0"/>
        <w:rPr>
          <w:sz w:val="20"/>
          <w:szCs w:val="20"/>
          <w:color w:val="auto"/>
        </w:rPr>
      </w:pPr>
      <w:r>
        <w:rPr>
          <w:rFonts w:ascii="Arial" w:cs="Arial" w:eastAsia="Arial" w:hAnsi="Arial"/>
          <w:sz w:val="17"/>
          <w:szCs w:val="17"/>
          <w:color w:val="auto"/>
        </w:rPr>
        <w:t>Forward</w:t>
      </w:r>
    </w:p>
    <w:p>
      <w:pPr>
        <w:spacing w:after="0"/>
        <w:rPr>
          <w:sz w:val="20"/>
          <w:szCs w:val="20"/>
          <w:color w:val="auto"/>
        </w:rPr>
      </w:pPr>
      <w:r>
        <w:rPr>
          <w:rFonts w:ascii="Arial" w:cs="Arial" w:eastAsia="Arial" w:hAnsi="Arial"/>
          <w:sz w:val="17"/>
          <w:szCs w:val="17"/>
          <w:color w:val="auto"/>
        </w:rPr>
        <w:t>Securities</w:t>
      </w:r>
    </w:p>
    <w:p>
      <w:pPr>
        <w:spacing w:after="0" w:line="9" w:lineRule="exact"/>
        <w:rPr>
          <w:sz w:val="20"/>
          <w:szCs w:val="20"/>
          <w:color w:val="auto"/>
        </w:rPr>
      </w:pPr>
    </w:p>
    <w:tbl>
      <w:tblPr>
        <w:tblLayout w:type="fixed"/>
        <w:tblInd w:w="2440" w:type="dxa"/>
        <w:tblCellMar>
          <w:top w:w="0" w:type="dxa"/>
          <w:left w:w="0" w:type="dxa"/>
          <w:bottom w:w="0" w:type="dxa"/>
          <w:right w:w="0" w:type="dxa"/>
        </w:tblCellMar>
      </w:tblPr>
      <w:tr>
        <w:trPr>
          <w:trHeight w:val="195"/>
        </w:trPr>
        <w:tc>
          <w:tcPr>
            <w:tcW w:w="2160" w:type="dxa"/>
            <w:vAlign w:val="bottom"/>
          </w:tcPr>
          <w:p>
            <w:pPr>
              <w:spacing w:after="0"/>
              <w:rPr>
                <w:sz w:val="20"/>
                <w:szCs w:val="20"/>
                <w:color w:val="auto"/>
              </w:rPr>
            </w:pPr>
            <w:r>
              <w:rPr>
                <w:rFonts w:ascii="Arial" w:cs="Arial" w:eastAsia="Arial" w:hAnsi="Arial"/>
                <w:sz w:val="17"/>
                <w:szCs w:val="17"/>
                <w:color w:val="auto"/>
              </w:rPr>
              <w:t>Total Offering Amounts:</w:t>
            </w:r>
          </w:p>
        </w:tc>
        <w:tc>
          <w:tcPr>
            <w:tcW w:w="2180" w:type="dxa"/>
            <w:vAlign w:val="bottom"/>
          </w:tcPr>
          <w:p>
            <w:pPr>
              <w:jc w:val="right"/>
              <w:ind w:right="357"/>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$ 154,056.89</w:t>
            </w:r>
          </w:p>
        </w:tc>
      </w:tr>
      <w:tr>
        <w:trPr>
          <w:trHeight w:val="218"/>
        </w:trPr>
        <w:tc>
          <w:tcPr>
            <w:tcW w:w="2160" w:type="dxa"/>
            <w:vAlign w:val="bottom"/>
          </w:tcPr>
          <w:p>
            <w:pPr>
              <w:spacing w:after="0"/>
              <w:rPr>
                <w:sz w:val="18"/>
                <w:szCs w:val="18"/>
                <w:color w:val="auto"/>
              </w:rPr>
            </w:pPr>
          </w:p>
        </w:tc>
        <w:tc>
          <w:tcPr>
            <w:tcW w:w="2180" w:type="dxa"/>
            <w:vAlign w:val="bottom"/>
          </w:tcPr>
          <w:p>
            <w:pPr>
              <w:jc w:val="right"/>
              <w:ind w:right="357"/>
              <w:spacing w:after="0"/>
              <w:rPr>
                <w:sz w:val="20"/>
                <w:szCs w:val="20"/>
                <w:color w:val="auto"/>
              </w:rPr>
            </w:pPr>
            <w:r>
              <w:rPr>
                <w:rFonts w:ascii="Arial" w:cs="Arial" w:eastAsia="Arial" w:hAnsi="Arial"/>
                <w:sz w:val="17"/>
                <w:szCs w:val="17"/>
                <w:color w:val="auto"/>
              </w:rPr>
              <w:t>1,006,250,080.00</w:t>
            </w:r>
          </w:p>
        </w:tc>
        <w:tc>
          <w:tcPr>
            <w:tcW w:w="14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Filing Fee</w:t>
      </w:r>
    </w:p>
    <w:p>
      <w:pPr>
        <w:ind w:left="760"/>
        <w:spacing w:after="0"/>
        <w:rPr>
          <w:sz w:val="20"/>
          <w:szCs w:val="20"/>
          <w:color w:val="auto"/>
        </w:rPr>
      </w:pPr>
      <w:r>
        <w:rPr>
          <w:rFonts w:ascii="Arial" w:cs="Arial" w:eastAsia="Arial" w:hAnsi="Arial"/>
          <w:sz w:val="17"/>
          <w:szCs w:val="17"/>
          <w:b w:val="1"/>
          <w:bCs w:val="1"/>
          <w:color w:val="auto"/>
        </w:rPr>
        <w:t>Previously</w:t>
      </w:r>
    </w:p>
    <w:p>
      <w:pPr>
        <w:ind w:left="20" w:firstLine="111"/>
        <w:spacing w:after="0" w:line="216"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60" w:firstLine="129"/>
        <w:spacing w:after="0" w:line="185" w:lineRule="auto"/>
        <w:rPr>
          <w:sz w:val="20"/>
          <w:szCs w:val="20"/>
          <w:color w:val="auto"/>
        </w:rPr>
      </w:pPr>
      <w:r>
        <w:rPr>
          <w:rFonts w:ascii="Arial" w:cs="Arial" w:eastAsia="Arial" w:hAnsi="Arial"/>
          <w:sz w:val="12"/>
          <w:szCs w:val="12"/>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2"/>
          <w:szCs w:val="12"/>
          <w:b w:val="1"/>
          <w:bCs w:val="1"/>
          <w:color w:val="auto"/>
        </w:rPr>
        <w:t xml:space="preserve"> Effective </w:t>
      </w:r>
      <w:r>
        <w:rPr>
          <w:rFonts w:ascii="Arial" w:cs="Arial" w:eastAsia="Arial" w:hAnsi="Arial"/>
          <w:sz w:val="21"/>
          <w:szCs w:val="21"/>
          <w:b w:val="1"/>
          <w:bCs w:val="1"/>
          <w:color w:val="auto"/>
          <w:vertAlign w:val="superscript"/>
        </w:rPr>
        <w:t>Unsold</w:t>
      </w:r>
    </w:p>
    <w:p>
      <w:pPr>
        <w:ind w:left="160"/>
        <w:spacing w:after="0" w:line="187" w:lineRule="auto"/>
        <w:tabs>
          <w:tab w:leader="none" w:pos="780" w:val="left"/>
        </w:tabs>
        <w:rPr>
          <w:sz w:val="20"/>
          <w:szCs w:val="20"/>
          <w:color w:val="auto"/>
        </w:rPr>
      </w:pPr>
      <w:r>
        <w:rPr>
          <w:rFonts w:ascii="Arial" w:cs="Arial" w:eastAsia="Arial" w:hAnsi="Arial"/>
          <w:sz w:val="21"/>
          <w:szCs w:val="21"/>
          <w:b w:val="1"/>
          <w:bCs w:val="1"/>
          <w:color w:val="auto"/>
          <w:vertAlign w:val="subscript"/>
        </w:rPr>
        <w:t>Date</w:t>
      </w:r>
      <w:r>
        <w:rPr>
          <w:sz w:val="20"/>
          <w:szCs w:val="20"/>
          <w:color w:val="auto"/>
        </w:rPr>
        <w:tab/>
      </w:r>
      <w:r>
        <w:rPr>
          <w:rFonts w:ascii="Arial" w:cs="Arial" w:eastAsia="Arial" w:hAnsi="Arial"/>
          <w:sz w:val="12"/>
          <w:szCs w:val="12"/>
          <w:b w:val="1"/>
          <w:bCs w:val="1"/>
          <w:color w:val="auto"/>
        </w:rPr>
        <w:t>Securities</w:t>
      </w:r>
    </w:p>
    <w:p>
      <w:pPr>
        <w:ind w:left="1000"/>
        <w:spacing w:after="0" w:line="230" w:lineRule="auto"/>
        <w:rPr>
          <w:sz w:val="20"/>
          <w:szCs w:val="20"/>
          <w:color w:val="auto"/>
        </w:rPr>
      </w:pPr>
      <w:r>
        <w:rPr>
          <w:rFonts w:ascii="Arial" w:cs="Arial" w:eastAsia="Arial" w:hAnsi="Arial"/>
          <w:sz w:val="17"/>
          <w:szCs w:val="17"/>
          <w:b w:val="1"/>
          <w:bCs w:val="1"/>
          <w:color w:val="auto"/>
        </w:rPr>
        <w:t>to be</w:t>
      </w:r>
    </w:p>
    <w:p>
      <w:pPr>
        <w:ind w:left="900"/>
        <w:spacing w:after="0" w:line="229"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Forward</w:t>
      </w:r>
    </w:p>
    <w:p>
      <w:pPr>
        <w:spacing w:after="0" w:line="3445" w:lineRule="exact"/>
        <w:rPr>
          <w:sz w:val="20"/>
          <w:szCs w:val="20"/>
          <w:color w:val="auto"/>
        </w:rPr>
      </w:pPr>
    </w:p>
    <w:p>
      <w:pPr>
        <w:sectPr>
          <w:pgSz w:w="11900" w:h="16838" w:orient="portrait"/>
          <w:cols w:equalWidth="0" w:num="2">
            <w:col w:w="9600" w:space="40"/>
            <w:col w:w="1640"/>
          </w:cols>
          <w:pgMar w:left="340" w:top="141" w:right="279" w:bottom="1440" w:gutter="0" w:footer="0" w:header="0"/>
          <w:type w:val="continuous"/>
        </w:sectPr>
      </w:pPr>
    </w:p>
    <w:tbl>
      <w:tblPr>
        <w:tblLayout w:type="fixed"/>
        <w:tblInd w:w="2180" w:type="dxa"/>
        <w:tblCellMar>
          <w:top w:w="0" w:type="dxa"/>
          <w:left w:w="0" w:type="dxa"/>
          <w:bottom w:w="0" w:type="dxa"/>
          <w:right w:w="0" w:type="dxa"/>
        </w:tblCellMar>
      </w:tblPr>
      <w:tr>
        <w:trPr>
          <w:trHeight w:val="218"/>
        </w:trPr>
        <w:tc>
          <w:tcPr>
            <w:tcW w:w="3520" w:type="dxa"/>
            <w:vAlign w:val="bottom"/>
          </w:tcPr>
          <w:p>
            <w:pPr>
              <w:jc w:val="right"/>
              <w:ind w:right="1437"/>
              <w:spacing w:after="0"/>
              <w:rPr>
                <w:sz w:val="20"/>
                <w:szCs w:val="20"/>
                <w:color w:val="auto"/>
              </w:rPr>
            </w:pPr>
            <w:r>
              <w:rPr>
                <w:rFonts w:ascii="Arial" w:cs="Arial" w:eastAsia="Arial" w:hAnsi="Arial"/>
                <w:sz w:val="17"/>
                <w:szCs w:val="17"/>
                <w:color w:val="auto"/>
                <w:w w:val="95"/>
              </w:rPr>
              <w:t>Total Fees Previously Paid:</w:t>
            </w:r>
          </w:p>
        </w:tc>
        <w:tc>
          <w:tcPr>
            <w:tcW w:w="24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29"/>
        </w:trPr>
        <w:tc>
          <w:tcPr>
            <w:tcW w:w="3520" w:type="dxa"/>
            <w:vAlign w:val="bottom"/>
          </w:tcPr>
          <w:p>
            <w:pPr>
              <w:jc w:val="right"/>
              <w:ind w:right="1437"/>
              <w:spacing w:after="0"/>
              <w:rPr>
                <w:sz w:val="20"/>
                <w:szCs w:val="20"/>
                <w:color w:val="auto"/>
              </w:rPr>
            </w:pPr>
            <w:r>
              <w:rPr>
                <w:rFonts w:ascii="Arial" w:cs="Arial" w:eastAsia="Arial" w:hAnsi="Arial"/>
                <w:sz w:val="17"/>
                <w:szCs w:val="17"/>
                <w:color w:val="auto"/>
              </w:rPr>
              <w:t>Total Fee Offsets:</w:t>
            </w:r>
          </w:p>
        </w:tc>
        <w:tc>
          <w:tcPr>
            <w:tcW w:w="24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29"/>
        </w:trPr>
        <w:tc>
          <w:tcPr>
            <w:tcW w:w="3520" w:type="dxa"/>
            <w:vAlign w:val="bottom"/>
          </w:tcPr>
          <w:p>
            <w:pPr>
              <w:jc w:val="right"/>
              <w:ind w:right="1437"/>
              <w:spacing w:after="0"/>
              <w:rPr>
                <w:sz w:val="20"/>
                <w:szCs w:val="20"/>
                <w:color w:val="auto"/>
              </w:rPr>
            </w:pPr>
            <w:r>
              <w:rPr>
                <w:rFonts w:ascii="Arial" w:cs="Arial" w:eastAsia="Arial" w:hAnsi="Arial"/>
                <w:sz w:val="17"/>
                <w:szCs w:val="17"/>
                <w:color w:val="auto"/>
              </w:rPr>
              <w:t>Net Fee Due:</w:t>
            </w:r>
          </w:p>
        </w:tc>
        <w:tc>
          <w:tcPr>
            <w:tcW w:w="2480" w:type="dxa"/>
            <w:vAlign w:val="bottom"/>
          </w:tcPr>
          <w:p>
            <w:pPr>
              <w:jc w:val="right"/>
              <w:spacing w:after="0"/>
              <w:rPr>
                <w:sz w:val="20"/>
                <w:szCs w:val="20"/>
                <w:color w:val="auto"/>
              </w:rPr>
            </w:pPr>
            <w:r>
              <w:rPr>
                <w:rFonts w:ascii="Arial" w:cs="Arial" w:eastAsia="Arial" w:hAnsi="Arial"/>
                <w:sz w:val="17"/>
                <w:szCs w:val="17"/>
                <w:color w:val="auto"/>
              </w:rPr>
              <w:t>$ 154,056.89</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180" w:right="120" w:hanging="9"/>
        <w:spacing w:after="0" w:line="254" w:lineRule="auto"/>
        <w:tabs>
          <w:tab w:leader="none" w:pos="4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registration fee table shall be deemed to update the "Calculation of Filing Fee Tables" in the registration statement on Form S-3 (File No. 333-288424) of AeroVironment, Inc. filed on June 30, 2025 in accordance with Rules 456(b) and 457(r) under the Securities Act of 1933, as amended.</w:t>
      </w:r>
    </w:p>
    <w:p>
      <w:pPr>
        <w:ind w:left="180" w:right="140" w:hanging="9"/>
        <w:spacing w:after="0" w:line="239" w:lineRule="auto"/>
        <w:tabs>
          <w:tab w:leader="none" w:pos="429"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up to 529,234 shares of common stock that may be offered and sold pursuant to the underwriters' option to purchase additional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178435</wp:posOffset>
            </wp:positionV>
            <wp:extent cx="705104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05104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Narrative Disclosure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maximum aggregate amount of the securities to which the prospectus relates is 1,006,250,080. The prospectus is a final prospectus for the related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offering.</w:t>
      </w:r>
    </w:p>
    <w:sectPr>
      <w:pgSz w:w="11900" w:h="16838" w:orient="portrait"/>
      <w:cols w:equalWidth="0" w:num="1">
        <w:col w:w="11280"/>
      </w:cols>
      <w:pgMar w:left="340" w:top="14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lowerRoman"/>
      <w:start w:val="3"/>
    </w:lvl>
  </w:abstractNum>
  <w:abstractNum w:abstractNumId="10">
    <w:nsid w:val="189A769B"/>
    <w:multiLevelType w:val="hybridMultilevel"/>
    <w:lvl w:ilvl="0">
      <w:lvlJc w:val="left"/>
      <w:lvlText w:val="(%1)"/>
      <w:numFmt w:val="lowerRoman"/>
      <w:start w:val="3"/>
    </w:lvl>
  </w:abstractNum>
  <w:abstractNum w:abstractNumId="11">
    <w:nsid w:val="54E49EB4"/>
    <w:multiLevelType w:val="hybridMultilevel"/>
    <w:lvl w:ilvl="0">
      <w:lvlJc w:val="left"/>
      <w:lvlText w:val="(%1)"/>
      <w:numFmt w:val="lowerRoman"/>
      <w:start w:val="8"/>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2"/>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2"/>
    </w:lvl>
    <w:lvl w:ilvl="1">
      <w:lvlJc w:val="left"/>
      <w:lvlText w:val="%2."/>
      <w:numFmt w:val="lowerRoman"/>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jpe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jpe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73" Type="http://schemas.openxmlformats.org/officeDocument/2006/relationships/hyperlink" Target="http://www.sec.gov/ix?doc=/Archives/edgar/data/1368622/000155837025008838/avav-20250430x10k.htm" TargetMode="External"/><Relationship Id="rId74" Type="http://schemas.openxmlformats.org/officeDocument/2006/relationships/hyperlink" Target="https://www.sec.gov/ix?doc=/Archives/edgar/data/1368622/000110465925063631/tm2518865d1_8ka.htm" TargetMode="External"/><Relationship Id="rId76" Type="http://schemas.openxmlformats.org/officeDocument/2006/relationships/hyperlink" Target="https://www.sec.gov/ix?doc=/Archives/edgar/data/1368622/000110465924088332/tm2417032-d5_def14a.htm" TargetMode="External"/><Relationship Id="rId77" Type="http://schemas.openxmlformats.org/officeDocument/2006/relationships/hyperlink" Target="http://www.sec.gov/ix?doc=/Archives/edgar/data/1368622/000110465925043118/tm2513632d1_8k.htm" TargetMode="External"/><Relationship Id="rId78" Type="http://schemas.openxmlformats.org/officeDocument/2006/relationships/hyperlink" Target="https://www.sec.gov/Archives/edgar/data/1368622/000095013407000783/a26457e8va12b.htm" TargetMode="External"/><Relationship Id="rId92" Type="http://schemas.openxmlformats.org/officeDocument/2006/relationships/hyperlink" Target="https://www.sec.gov/ix?doc=/Archives/edgar/data/1368622/000155837025008838/avav-20250430x10k.htm" TargetMode="External"/><Relationship Id="rId93" Type="http://schemas.openxmlformats.org/officeDocument/2006/relationships/hyperlink" Target="https://www.sec.gov/ix?doc=/Archives/edgar/data/1368622/000155837024009515/avav-20240430x10k.htm" TargetMode="External"/><Relationship Id="rId94" Type="http://schemas.openxmlformats.org/officeDocument/2006/relationships/hyperlink" Target="https://www.sec.gov/ix?doc=/Archives/edgar/data/1368622/000110465925043118/tm2513632d1_8k.htm" TargetMode="External"/><Relationship Id="rId95" Type="http://schemas.openxmlformats.org/officeDocument/2006/relationships/hyperlink" Target="https://www.sec.gov/Archives/edgar/data/1368622/000155837025008838/avav-20250430x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2025-07-03T05:22:58Z</dcterms:created>
  <dcterms:modified xsi:type="dcterms:W3CDTF">2025-07-03T05:22:58Z</dcterms:modified>
</cp:coreProperties>
</file>