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194945</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263525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142240</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177165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640" w:hanging="317"/>
        <w:spacing w:after="0"/>
        <w:tabs>
          <w:tab w:leader="none" w:pos="6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January 25, 2020</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1" w:lineRule="exact"/>
        <w:rPr>
          <w:sz w:val="24"/>
          <w:szCs w:val="24"/>
          <w:color w:val="auto"/>
        </w:rPr>
      </w:pPr>
    </w:p>
    <w:p>
      <w:pPr>
        <w:ind w:left="640" w:hanging="317"/>
        <w:spacing w:after="0"/>
        <w:tabs>
          <w:tab w:leader="none" w:pos="6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640"/>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160655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620" w:type="dxa"/>
            <w:vAlign w:val="bottom"/>
          </w:tcPr>
          <w:p>
            <w:pPr>
              <w:jc w:val="center"/>
              <w:ind w:right="1108"/>
              <w:spacing w:after="0"/>
              <w:rPr>
                <w:sz w:val="20"/>
                <w:szCs w:val="20"/>
                <w:color w:val="auto"/>
              </w:rPr>
            </w:pPr>
            <w:r>
              <w:rPr>
                <w:rFonts w:ascii="Arial" w:cs="Arial" w:eastAsia="Arial" w:hAnsi="Arial"/>
                <w:sz w:val="14"/>
                <w:szCs w:val="14"/>
                <w:b w:val="1"/>
                <w:bCs w:val="1"/>
                <w:color w:val="auto"/>
                <w:w w:val="94"/>
              </w:rPr>
              <w:t>900 Innovators Way</w:t>
            </w:r>
          </w:p>
        </w:tc>
        <w:tc>
          <w:tcPr>
            <w:tcW w:w="3260" w:type="dxa"/>
            <w:vAlign w:val="bottom"/>
          </w:tcPr>
          <w:p>
            <w:pPr>
              <w:spacing w:after="0"/>
              <w:rPr>
                <w:sz w:val="24"/>
                <w:szCs w:val="24"/>
                <w:color w:val="auto"/>
              </w:rPr>
            </w:pPr>
          </w:p>
        </w:tc>
      </w:tr>
      <w:tr>
        <w:trPr>
          <w:trHeight w:val="166"/>
        </w:trPr>
        <w:tc>
          <w:tcPr>
            <w:tcW w:w="4620" w:type="dxa"/>
            <w:vAlign w:val="bottom"/>
          </w:tcPr>
          <w:p>
            <w:pPr>
              <w:jc w:val="center"/>
              <w:ind w:right="1108"/>
              <w:spacing w:after="0"/>
              <w:rPr>
                <w:sz w:val="20"/>
                <w:szCs w:val="20"/>
                <w:color w:val="auto"/>
              </w:rPr>
            </w:pPr>
            <w:r>
              <w:rPr>
                <w:rFonts w:ascii="Arial" w:cs="Arial" w:eastAsia="Arial" w:hAnsi="Arial"/>
                <w:sz w:val="14"/>
                <w:szCs w:val="14"/>
                <w:b w:val="1"/>
                <w:bCs w:val="1"/>
                <w:color w:val="auto"/>
                <w:w w:val="95"/>
              </w:rPr>
              <w:t>Simi Valley, California</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93065</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Title of each class</w:t>
            </w:r>
          </w:p>
        </w:tc>
        <w:tc>
          <w:tcPr>
            <w:tcW w:w="3020" w:type="dxa"/>
            <w:vAlign w:val="bottom"/>
          </w:tcPr>
          <w:p>
            <w:pPr>
              <w:jc w:val="center"/>
              <w:ind w:left="261"/>
              <w:spacing w:after="0"/>
              <w:rPr>
                <w:sz w:val="20"/>
                <w:szCs w:val="20"/>
                <w:color w:val="auto"/>
              </w:rPr>
            </w:pPr>
            <w:r>
              <w:rPr>
                <w:rFonts w:ascii="Arial" w:cs="Arial" w:eastAsia="Arial" w:hAnsi="Arial"/>
                <w:sz w:val="11"/>
                <w:szCs w:val="11"/>
                <w:b w:val="1"/>
                <w:bCs w:val="1"/>
                <w:color w:val="auto"/>
                <w:w w:val="89"/>
              </w:rPr>
              <w:t>Trading Symbol(s)</w:t>
            </w:r>
          </w:p>
        </w:tc>
        <w:tc>
          <w:tcPr>
            <w:tcW w:w="3600" w:type="dxa"/>
            <w:vAlign w:val="bottom"/>
          </w:tcPr>
          <w:p>
            <w:pPr>
              <w:jc w:val="center"/>
              <w:ind w:left="241"/>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3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3020" w:type="dxa"/>
            <w:vAlign w:val="bottom"/>
            <w:tcBorders>
              <w:top w:val="single" w:sz="8" w:color="auto"/>
            </w:tcBorders>
          </w:tcPr>
          <w:p>
            <w:pPr>
              <w:jc w:val="center"/>
              <w:ind w:left="241"/>
              <w:spacing w:after="0"/>
              <w:rPr>
                <w:sz w:val="20"/>
                <w:szCs w:val="20"/>
                <w:color w:val="auto"/>
              </w:rPr>
            </w:pPr>
            <w:r>
              <w:rPr>
                <w:rFonts w:ascii="Arial" w:cs="Arial" w:eastAsia="Arial" w:hAnsi="Arial"/>
                <w:sz w:val="13"/>
                <w:szCs w:val="13"/>
                <w:b w:val="1"/>
                <w:bCs w:val="1"/>
                <w:color w:val="auto"/>
                <w:w w:val="88"/>
              </w:rPr>
              <w:t>AVAV</w:t>
            </w:r>
          </w:p>
        </w:tc>
        <w:tc>
          <w:tcPr>
            <w:tcW w:w="3600" w:type="dxa"/>
            <w:vAlign w:val="bottom"/>
            <w:tcBorders>
              <w:top w:val="single" w:sz="8" w:color="auto"/>
            </w:tcBorders>
          </w:tcPr>
          <w:p>
            <w:pPr>
              <w:jc w:val="center"/>
              <w:ind w:left="241"/>
              <w:spacing w:after="0"/>
              <w:rPr>
                <w:sz w:val="20"/>
                <w:szCs w:val="20"/>
                <w:color w:val="auto"/>
              </w:rPr>
            </w:pPr>
            <w:r>
              <w:rPr>
                <w:rFonts w:ascii="Arial" w:cs="Arial" w:eastAsia="Arial" w:hAnsi="Arial"/>
                <w:sz w:val="13"/>
                <w:szCs w:val="13"/>
                <w:b w:val="1"/>
                <w:bCs w:val="1"/>
                <w:color w:val="auto"/>
                <w:w w:val="92"/>
              </w:rPr>
              <w:t>The NASDAQ Stock Market LLC</w:t>
            </w:r>
          </w:p>
        </w:tc>
      </w:tr>
    </w:tbl>
    <w:p>
      <w:pPr>
        <w:spacing w:after="0" w:line="168" w:lineRule="exact"/>
        <w:rPr>
          <w:sz w:val="24"/>
          <w:szCs w:val="24"/>
          <w:color w:val="auto"/>
        </w:rPr>
      </w:pPr>
    </w:p>
    <w:p>
      <w:pPr>
        <w:ind w:right="80" w:firstLine="324"/>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10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jc w:val="both"/>
        <w:ind w:right="36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60"/>
          </w:cols>
          <w:pgMar w:left="920" w:top="665" w:right="919" w:bottom="1440" w:gutter="0" w:footer="0" w:header="0"/>
        </w:sectPr>
      </w:pPr>
    </w:p>
    <w:p>
      <w:pPr>
        <w:ind w:left="17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7" w:lineRule="exact"/>
        <w:rPr>
          <w:sz w:val="24"/>
          <w:szCs w:val="24"/>
          <w:color w:val="auto"/>
        </w:rPr>
      </w:pPr>
    </w:p>
    <w:p>
      <w:pPr>
        <w:sectPr>
          <w:pgSz w:w="11900" w:h="16838" w:orient="portrait"/>
          <w:cols w:equalWidth="0" w:num="2">
            <w:col w:w="6320" w:space="720"/>
            <w:col w:w="3020"/>
          </w:cols>
          <w:pgMar w:left="920" w:top="665" w:right="919" w:bottom="1440" w:gutter="0" w:footer="0" w:header="0"/>
          <w:type w:val="continuous"/>
        </w:sectPr>
      </w:pPr>
    </w:p>
    <w:p>
      <w:pPr>
        <w:ind w:left="17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000" w:space="720"/>
            <w:col w:w="3340"/>
          </w:cols>
          <w:pgMar w:left="920" w:top="665" w:right="919" w:bottom="1440" w:gutter="0" w:footer="0" w:header="0"/>
          <w:type w:val="continuous"/>
        </w:sectPr>
      </w:pPr>
    </w:p>
    <w:p>
      <w:pPr>
        <w:ind w:left="67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060"/>
          </w:cols>
          <w:pgMar w:left="920" w:top="665" w:right="919" w:bottom="1440" w:gutter="0" w:footer="0" w:header="0"/>
          <w:type w:val="continuous"/>
        </w:sectPr>
      </w:pPr>
    </w:p>
    <w:p>
      <w:pPr>
        <w:spacing w:after="0" w:line="256" w:lineRule="exact"/>
        <w:rPr>
          <w:sz w:val="24"/>
          <w:szCs w:val="24"/>
          <w:color w:val="auto"/>
        </w:rPr>
      </w:pPr>
    </w:p>
    <w:p>
      <w:pPr>
        <w:ind w:right="28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20" w:right="2300"/>
        <w:spacing w:after="0" w:line="260"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February 25, 2020, the number of shares outstanding of the registrant’s common stock, $0.0001 par value, was 23,995,109.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427990</wp:posOffset>
            </wp:positionV>
            <wp:extent cx="63887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41910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60" w:type="dxa"/>
            <w:vAlign w:val="bottom"/>
            <w:gridSpan w:val="11"/>
          </w:tcPr>
          <w:p>
            <w:pPr>
              <w:jc w:val="center"/>
              <w:ind w:right="3160"/>
              <w:spacing w:after="0"/>
              <w:rPr>
                <w:sz w:val="20"/>
                <w:szCs w:val="20"/>
                <w:color w:val="auto"/>
              </w:rPr>
            </w:pPr>
            <w:r>
              <w:rPr>
                <w:rFonts w:ascii="Arial" w:cs="Arial" w:eastAsia="Arial" w:hAnsi="Arial"/>
                <w:sz w:val="18"/>
                <w:szCs w:val="18"/>
                <w:b w:val="1"/>
                <w:bCs w:val="1"/>
                <w:color w:val="auto"/>
                <w:w w:val="92"/>
              </w:rPr>
              <w:t>AeroVironment, Inc.</w:t>
            </w:r>
          </w:p>
        </w:tc>
        <w:tc>
          <w:tcPr>
            <w:tcW w:w="3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gridSpan w:val="11"/>
          </w:tcPr>
          <w:p>
            <w:pPr>
              <w:jc w:val="center"/>
              <w:ind w:right="3140"/>
              <w:spacing w:after="0"/>
              <w:rPr>
                <w:sz w:val="20"/>
                <w:szCs w:val="20"/>
                <w:color w:val="auto"/>
              </w:rPr>
            </w:pPr>
            <w:r>
              <w:rPr>
                <w:rFonts w:ascii="Arial" w:cs="Arial" w:eastAsia="Arial" w:hAnsi="Arial"/>
                <w:sz w:val="18"/>
                <w:szCs w:val="18"/>
                <w:b w:val="1"/>
                <w:bCs w:val="1"/>
                <w:color w:val="auto"/>
                <w:w w:val="89"/>
              </w:rPr>
              <w:t>Table of Contents</w:t>
            </w:r>
          </w:p>
        </w:tc>
        <w:tc>
          <w:tcPr>
            <w:tcW w:w="320" w:type="dxa"/>
            <w:vAlign w:val="bottom"/>
          </w:tcPr>
          <w:p>
            <w:pPr>
              <w:spacing w:after="0"/>
              <w:rPr>
                <w:sz w:val="24"/>
                <w:szCs w:val="24"/>
                <w:color w:val="auto"/>
              </w:rPr>
            </w:pPr>
          </w:p>
        </w:tc>
      </w:tr>
      <w:tr>
        <w:trPr>
          <w:trHeight w:val="405"/>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7780" w:type="dxa"/>
            <w:vAlign w:val="bottom"/>
            <w:gridSpan w:val="22"/>
          </w:tcPr>
          <w:p>
            <w:pPr>
              <w:spacing w:after="0"/>
              <w:rPr>
                <w:sz w:val="20"/>
                <w:szCs w:val="20"/>
                <w:color w:val="auto"/>
              </w:rPr>
            </w:pPr>
            <w:r>
              <w:rPr>
                <w:rFonts w:ascii="Arial" w:cs="Arial" w:eastAsia="Arial" w:hAnsi="Arial"/>
                <w:sz w:val="18"/>
                <w:szCs w:val="18"/>
                <w:color w:val="0000EE"/>
              </w:rPr>
              <w:t>Financial Statements</w:t>
            </w:r>
            <w:r>
              <w:rPr>
                <w:rFonts w:ascii="Arial" w:cs="Arial" w:eastAsia="Arial" w:hAnsi="Arial"/>
                <w:sz w:val="18"/>
                <w:szCs w:val="18"/>
                <w:color w:val="000000"/>
              </w:rPr>
              <w:t>:</w:t>
            </w:r>
          </w:p>
        </w:tc>
        <w:tc>
          <w:tcPr>
            <w:tcW w:w="32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January 25, 2020 (Unaudited) and April 30, 2019</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nine months ended January 25, 2020</w:t>
              </w:r>
            </w:hyperlink>
          </w:p>
        </w:tc>
        <w:tc>
          <w:tcPr>
            <w:tcW w:w="860" w:type="dxa"/>
            <w:vAlign w:val="bottom"/>
            <w:gridSpan w:val="4"/>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and January 26, 2019 (Unaudited)</w:t>
              </w:r>
            </w:hyperlink>
          </w:p>
        </w:tc>
        <w:tc>
          <w:tcPr>
            <w:tcW w:w="4040" w:type="dxa"/>
            <w:vAlign w:val="bottom"/>
            <w:gridSpan w:val="10"/>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0" w:type="dxa"/>
            <w:vAlign w:val="bottom"/>
            <w:gridSpan w:val="20"/>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Statements of Comprehensive (Loss) Income for the three and nine months ended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6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January 25, 2020 (Unaudited) and January 26, 2019 (Unaudited)</w:t>
              </w:r>
            </w:hyperlink>
          </w:p>
        </w:tc>
        <w:tc>
          <w:tcPr>
            <w:tcW w:w="2040" w:type="dxa"/>
            <w:vAlign w:val="bottom"/>
            <w:tcBorders>
              <w:top w:val="single" w:sz="8" w:color="0000EE"/>
            </w:tcBorders>
            <w:gridSpan w:val="4"/>
          </w:tcPr>
          <w:p>
            <w:pPr>
              <w:spacing w:after="0"/>
              <w:rPr>
                <w:sz w:val="19"/>
                <w:szCs w:val="19"/>
                <w:color w:val="auto"/>
              </w:rPr>
            </w:pPr>
          </w:p>
        </w:tc>
        <w:tc>
          <w:tcPr>
            <w:tcW w:w="72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0" w:type="dxa"/>
            <w:vAlign w:val="bottom"/>
            <w:gridSpan w:val="2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Consolidated Statements of Stockholders’ Equity for the three and nine months ended January 25, 2020</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3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and January 26, 2019 (Unaudited)</w:t>
              </w:r>
            </w:hyperlink>
          </w:p>
        </w:tc>
        <w:tc>
          <w:tcPr>
            <w:tcW w:w="3900" w:type="dxa"/>
            <w:vAlign w:val="bottom"/>
            <w:tcBorders>
              <w:top w:val="single" w:sz="8" w:color="0000EE"/>
            </w:tcBorders>
            <w:gridSpan w:val="9"/>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for the nine months ended January 25, 2020 (Unaudited) and</w:t>
              </w:r>
            </w:hyperlink>
          </w:p>
        </w:tc>
        <w:tc>
          <w:tcPr>
            <w:tcW w:w="300" w:type="dxa"/>
            <w:vAlign w:val="bottom"/>
            <w:gridSpan w:val="2"/>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January 26, 2019 (Unaudited)</w:t>
              </w:r>
            </w:hyperlink>
          </w:p>
        </w:tc>
        <w:tc>
          <w:tcPr>
            <w:tcW w:w="5260" w:type="dxa"/>
            <w:vAlign w:val="bottom"/>
            <w:gridSpan w:val="11"/>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420" w:type="dxa"/>
            <w:vAlign w:val="bottom"/>
            <w:tcBorders>
              <w:left w:val="single" w:sz="8" w:color="0000EE"/>
            </w:tcBorders>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66"/>
        </w:trPr>
        <w:tc>
          <w:tcPr>
            <w:tcW w:w="8740" w:type="dxa"/>
            <w:vAlign w:val="bottom"/>
            <w:gridSpan w:val="26"/>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320" w:type="dxa"/>
            <w:vAlign w:val="bottom"/>
          </w:tcPr>
          <w:p>
            <w:pPr>
              <w:spacing w:after="0"/>
              <w:rPr>
                <w:sz w:val="24"/>
                <w:szCs w:val="24"/>
                <w:color w:val="auto"/>
              </w:rPr>
            </w:pPr>
          </w:p>
        </w:tc>
      </w:tr>
      <w:tr>
        <w:trPr>
          <w:trHeight w:val="466"/>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1.</w:t>
              </w:r>
            </w:hyperlink>
          </w:p>
        </w:tc>
        <w:tc>
          <w:tcPr>
            <w:tcW w:w="440" w:type="dxa"/>
            <w:vAlign w:val="bottom"/>
            <w:tcBorders>
              <w:top w:val="single" w:sz="8" w:color="0000EE"/>
            </w:tcBorders>
            <w:gridSpan w:val="3"/>
          </w:tcPr>
          <w:p>
            <w:pPr>
              <w:spacing w:after="0"/>
              <w:rPr>
                <w:sz w:val="24"/>
                <w:szCs w:val="24"/>
                <w:color w:val="auto"/>
              </w:rPr>
            </w:pPr>
          </w:p>
        </w:tc>
        <w:tc>
          <w:tcPr>
            <w:tcW w:w="1800" w:type="dxa"/>
            <w:vAlign w:val="bottom"/>
            <w:tcBorders>
              <w:top w:val="single" w:sz="8" w:color="0000EE"/>
            </w:tcBorders>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598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778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2.</w:t>
              </w:r>
            </w:hyperlink>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46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000" w:type="dxa"/>
            <w:vAlign w:val="bottom"/>
            <w:gridSpan w:val="1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5.</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46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6.</w:t>
              </w:r>
            </w:hyperlink>
          </w:p>
        </w:tc>
        <w:tc>
          <w:tcPr>
            <w:tcW w:w="440" w:type="dxa"/>
            <w:vAlign w:val="bottom"/>
            <w:gridSpan w:val="3"/>
          </w:tcPr>
          <w:p>
            <w:pPr>
              <w:spacing w:after="0"/>
              <w:rPr>
                <w:sz w:val="19"/>
                <w:szCs w:val="19"/>
                <w:color w:val="auto"/>
              </w:rPr>
            </w:pPr>
          </w:p>
        </w:tc>
        <w:tc>
          <w:tcPr>
            <w:tcW w:w="778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January 25,</w:t>
            </w: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9"/>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131,496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172,708</w:t>
            </w: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148,502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150,487</w:t>
            </w:r>
          </w:p>
        </w:tc>
        <w:tc>
          <w:tcPr>
            <w:tcW w:w="120" w:type="dxa"/>
            <w:vAlign w:val="bottom"/>
          </w:tcPr>
          <w:p>
            <w:pPr>
              <w:spacing w:after="0"/>
              <w:rPr>
                <w:sz w:val="17"/>
                <w:szCs w:val="17"/>
                <w:color w:val="auto"/>
              </w:rPr>
            </w:pPr>
          </w:p>
        </w:tc>
      </w:tr>
      <w:tr>
        <w:trPr>
          <w:trHeight w:val="19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Accounts receivable, net of allowance for doubtful accounts of $1,039 at January 25, 2020 and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$1,041 at April 30, 2019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31,051</w:t>
            </w:r>
          </w:p>
        </w:tc>
        <w:tc>
          <w:tcPr>
            <w:tcW w:w="120" w:type="dxa"/>
            <w:vAlign w:val="bottom"/>
            <w:shd w:val="clear" w:color="auto" w:fill="CCEEFF"/>
          </w:tcPr>
          <w:p>
            <w:pPr>
              <w:spacing w:after="0"/>
              <w:rPr>
                <w:sz w:val="18"/>
                <w:szCs w:val="18"/>
                <w:color w:val="auto"/>
              </w:rPr>
            </w:pPr>
          </w:p>
        </w:tc>
      </w:tr>
      <w:tr>
        <w:trPr>
          <w:trHeight w:val="193"/>
        </w:trPr>
        <w:tc>
          <w:tcPr>
            <w:tcW w:w="6720" w:type="dxa"/>
            <w:vAlign w:val="bottom"/>
          </w:tcPr>
          <w:p>
            <w:pPr>
              <w:ind w:left="220"/>
              <w:spacing w:after="0"/>
              <w:rPr>
                <w:sz w:val="20"/>
                <w:szCs w:val="20"/>
                <w:color w:val="auto"/>
              </w:rPr>
            </w:pPr>
            <w:r>
              <w:rPr>
                <w:rFonts w:ascii="Arial" w:cs="Arial" w:eastAsia="Arial" w:hAnsi="Arial"/>
                <w:sz w:val="16"/>
                <w:szCs w:val="16"/>
                <w:color w:val="auto"/>
                <w:w w:val="96"/>
              </w:rPr>
              <w:t>Unbilled receivables and retentions (inclusive of related party unbilled receivables of $28,849 at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6720" w:type="dxa"/>
            <w:vAlign w:val="bottom"/>
          </w:tcPr>
          <w:p>
            <w:pPr>
              <w:ind w:left="220"/>
              <w:spacing w:after="0"/>
              <w:rPr>
                <w:sz w:val="20"/>
                <w:szCs w:val="20"/>
                <w:color w:val="auto"/>
              </w:rPr>
            </w:pPr>
            <w:r>
              <w:rPr>
                <w:rFonts w:ascii="Arial" w:cs="Arial" w:eastAsia="Arial" w:hAnsi="Arial"/>
                <w:sz w:val="16"/>
                <w:szCs w:val="16"/>
                <w:color w:val="auto"/>
              </w:rPr>
              <w:t>January 25, 2020 and $9,028 at April 30, 2019)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77,411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53,047</w:t>
            </w:r>
          </w:p>
        </w:tc>
        <w:tc>
          <w:tcPr>
            <w:tcW w:w="120" w:type="dxa"/>
            <w:vAlign w:val="bottom"/>
          </w:tcPr>
          <w:p>
            <w:pPr>
              <w:spacing w:after="0"/>
              <w:rPr>
                <w:sz w:val="18"/>
                <w:szCs w:val="18"/>
                <w:color w:val="auto"/>
              </w:rPr>
            </w:pPr>
          </w:p>
        </w:tc>
      </w:tr>
      <w:tr>
        <w:trPr>
          <w:trHeight w:val="206"/>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65,156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54,056</w:t>
            </w: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6,833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7,418</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receivable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457,334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469,588</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9,386</w:t>
            </w: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19,877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16,905</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9,472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8,296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6,685</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Intangibles,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6,340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16,995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120" w:type="dxa"/>
            <w:vAlign w:val="bottom"/>
            <w:shd w:val="clear" w:color="auto" w:fill="CCEEFF"/>
          </w:tcPr>
          <w:p>
            <w:pPr>
              <w:spacing w:after="0"/>
              <w:rPr>
                <w:sz w:val="17"/>
                <w:szCs w:val="17"/>
                <w:color w:val="auto"/>
              </w:rPr>
            </w:pPr>
          </w:p>
        </w:tc>
      </w:tr>
      <w:tr>
        <w:trPr>
          <w:trHeight w:val="236"/>
        </w:trPr>
        <w:tc>
          <w:tcPr>
            <w:tcW w:w="6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559,080</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508,844</w:t>
            </w:r>
          </w:p>
        </w:tc>
        <w:tc>
          <w:tcPr>
            <w:tcW w:w="120" w:type="dxa"/>
            <w:vAlign w:val="bottom"/>
            <w:tcBorders>
              <w:bottom w:val="single" w:sz="8" w:color="CCEEFF"/>
            </w:tcBorders>
          </w:tcPr>
          <w:p>
            <w:pPr>
              <w:spacing w:after="0"/>
              <w:rPr>
                <w:sz w:val="20"/>
                <w:szCs w:val="20"/>
                <w:color w:val="auto"/>
              </w:rPr>
            </w:pPr>
          </w:p>
        </w:tc>
      </w:tr>
      <w:tr>
        <w:trPr>
          <w:trHeight w:val="183"/>
        </w:trPr>
        <w:tc>
          <w:tcPr>
            <w:tcW w:w="672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14,269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15,972</w:t>
            </w: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Wages and related accruals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17,636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18,507</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10,633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w:t>
            </w: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2,083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13,046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w:t>
            </w:r>
          </w:p>
        </w:tc>
        <w:tc>
          <w:tcPr>
            <w:tcW w:w="120" w:type="dxa"/>
            <w:vAlign w:val="bottom"/>
            <w:tcBorders>
              <w:bottom w:val="single" w:sz="8" w:color="CCEEFF"/>
            </w:tcBorders>
          </w:tcPr>
          <w:p>
            <w:pPr>
              <w:spacing w:after="0"/>
              <w:rPr>
                <w:sz w:val="17"/>
                <w:szCs w:val="17"/>
                <w:color w:val="auto"/>
              </w:rPr>
            </w:pPr>
          </w:p>
        </w:tc>
      </w:tr>
      <w:tr>
        <w:trPr>
          <w:trHeight w:val="196"/>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60,476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44,866</w:t>
            </w: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Deferred rent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1,173</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7,556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3"/>
        </w:trPr>
        <w:tc>
          <w:tcPr>
            <w:tcW w:w="6720" w:type="dxa"/>
            <w:vAlign w:val="bottom"/>
          </w:tcPr>
          <w:p>
            <w:pPr>
              <w:ind w:left="320"/>
              <w:spacing w:after="0"/>
              <w:rPr>
                <w:sz w:val="20"/>
                <w:szCs w:val="20"/>
                <w:color w:val="auto"/>
              </w:rPr>
            </w:pPr>
            <w:r>
              <w:rPr>
                <w:rFonts w:ascii="Arial" w:cs="Arial" w:eastAsia="Arial" w:hAnsi="Arial"/>
                <w:sz w:val="16"/>
                <w:szCs w:val="16"/>
                <w:color w:val="auto"/>
              </w:rPr>
              <w:t>Authorized shares—10,000,000; none issued or outstanding at January 25, 2020 and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6720" w:type="dxa"/>
            <w:vAlign w:val="bottom"/>
          </w:tcPr>
          <w:p>
            <w:pPr>
              <w:ind w:left="320"/>
              <w:spacing w:after="0"/>
              <w:rPr>
                <w:sz w:val="20"/>
                <w:szCs w:val="20"/>
                <w:color w:val="auto"/>
              </w:rPr>
            </w:pPr>
            <w:r>
              <w:rPr>
                <w:rFonts w:ascii="Arial" w:cs="Arial" w:eastAsia="Arial" w:hAnsi="Arial"/>
                <w:sz w:val="16"/>
                <w:szCs w:val="16"/>
                <w:color w:val="auto"/>
              </w:rPr>
              <w:t>April 30, 2019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6"/>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$0.0001 par value: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Pr>
          <w:p>
            <w:pPr>
              <w:ind w:left="320"/>
              <w:spacing w:after="0"/>
              <w:rPr>
                <w:sz w:val="20"/>
                <w:szCs w:val="20"/>
                <w:color w:val="auto"/>
              </w:rPr>
            </w:pPr>
            <w:r>
              <w:rPr>
                <w:rFonts w:ascii="Arial" w:cs="Arial" w:eastAsia="Arial" w:hAnsi="Arial"/>
                <w:sz w:val="16"/>
                <w:szCs w:val="16"/>
                <w:color w:val="auto"/>
              </w:rPr>
              <w:t>Authorized shares—100,000,000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3"/>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1"/>
              </w:rPr>
              <w:t>Issued and outstanding shares—23,995,109 shares at January 25, 2020 and 23,946,293 shares at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6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April 30, 2019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r>
      <w:tr>
        <w:trPr>
          <w:trHeight w:val="203"/>
        </w:trPr>
        <w:tc>
          <w:tcPr>
            <w:tcW w:w="67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180,051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176,216</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r>
      <w:tr>
        <w:trPr>
          <w:trHeight w:val="203"/>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310,619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286,351</w:t>
            </w:r>
          </w:p>
        </w:tc>
        <w:tc>
          <w:tcPr>
            <w:tcW w:w="120" w:type="dxa"/>
            <w:vAlign w:val="bottom"/>
            <w:tcBorders>
              <w:bottom w:val="single" w:sz="8" w:color="CCEEFF"/>
            </w:tcBorders>
          </w:tcPr>
          <w:p>
            <w:pPr>
              <w:spacing w:after="0"/>
              <w:rPr>
                <w:sz w:val="17"/>
                <w:szCs w:val="17"/>
                <w:color w:val="auto"/>
              </w:rPr>
            </w:pPr>
          </w:p>
        </w:tc>
      </w:tr>
      <w:tr>
        <w:trPr>
          <w:trHeight w:val="196"/>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AeroVironment stockholders’ equity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490,741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462,571</w:t>
            </w:r>
          </w:p>
        </w:tc>
        <w:tc>
          <w:tcPr>
            <w:tcW w:w="120" w:type="dxa"/>
            <w:vAlign w:val="bottom"/>
            <w:shd w:val="clear" w:color="auto" w:fill="CCEEFF"/>
          </w:tcPr>
          <w:p>
            <w:pPr>
              <w:spacing w:after="0"/>
              <w:rPr>
                <w:sz w:val="17"/>
                <w:szCs w:val="17"/>
                <w:color w:val="auto"/>
              </w:rPr>
            </w:pPr>
          </w:p>
        </w:tc>
      </w:tr>
      <w:tr>
        <w:trPr>
          <w:trHeight w:val="196"/>
        </w:trPr>
        <w:tc>
          <w:tcPr>
            <w:tcW w:w="6720" w:type="dxa"/>
            <w:vAlign w:val="bottom"/>
          </w:tcPr>
          <w:p>
            <w:pPr>
              <w:ind w:left="22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490,718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462,575</w:t>
            </w:r>
          </w:p>
        </w:tc>
        <w:tc>
          <w:tcPr>
            <w:tcW w:w="120" w:type="dxa"/>
            <w:vAlign w:val="bottom"/>
            <w:shd w:val="clear" w:color="auto" w:fill="CCEEFF"/>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559,080</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508,844</w:t>
            </w:r>
          </w:p>
        </w:tc>
        <w:tc>
          <w:tcPr>
            <w:tcW w:w="12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January 25,</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January 26,</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25,</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January 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36,432</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50,024</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159,657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152,393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Contract services (inclusive of related party revenue of $11,762 and</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$13,586 for the three months ended January 25, 2020 and January</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26, 2019, respectively; and $37,491 and $37,981 for the nine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months ended January 25, 2020 and January 26, 2019, respectively)</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72,416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61,891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75,322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232,073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226,344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21,034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82,244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83,158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44,930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132,139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134,964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77,413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69,235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99,934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91,380</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22,631</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continuing operations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net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10,641</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(Benefit from) provision for income taxes</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(3,410)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20"/>
                <w:szCs w:val="20"/>
                <w:color w:val="auto"/>
              </w:rPr>
            </w:pPr>
            <w:r>
              <w:rPr>
                <w:rFonts w:ascii="Arial" w:cs="Arial" w:eastAsia="Arial" w:hAnsi="Arial"/>
                <w:sz w:val="16"/>
                <w:szCs w:val="16"/>
                <w:color w:val="auto"/>
              </w:rPr>
              <w:t>Net (loss) income from continuing operations</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8,412</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23,576</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rPr>
                <w:sz w:val="20"/>
                <w:szCs w:val="20"/>
                <w:color w:val="auto"/>
              </w:rPr>
            </w:pPr>
            <w:r>
              <w:rPr>
                <w:rFonts w:ascii="Arial" w:cs="Arial" w:eastAsia="Arial" w:hAnsi="Arial"/>
                <w:sz w:val="16"/>
                <w:szCs w:val="16"/>
                <w:color w:val="auto"/>
              </w:rPr>
              <w:t>Gain on sale of business, net of tax expense of $2,463</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 net of tax</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income from discontinued operations</w:t>
            </w: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5,941</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 attributable to AeroVironment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23,603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41,756</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6"/>
                <w:szCs w:val="16"/>
                <w:color w:val="auto"/>
              </w:rPr>
              <w:t>Net (loss) income per share attributable to AeroVironment—Basic</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6"/>
              </w:rPr>
              <w:t>Net (loss) income per share attributable to AeroVironment—Basic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6"/>
                <w:szCs w:val="16"/>
                <w:color w:val="auto"/>
              </w:rPr>
              <w:t>Net (loss) income per share attributable to AeroVironment—Diluted</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Discontinued operations</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800" w:type="dxa"/>
            <w:vAlign w:val="bottom"/>
            <w:shd w:val="clear" w:color="auto" w:fill="CCEEFF"/>
          </w:tcPr>
          <w:p>
            <w:pPr>
              <w:ind w:left="320"/>
              <w:spacing w:after="0" w:line="173" w:lineRule="exact"/>
              <w:rPr>
                <w:sz w:val="20"/>
                <w:szCs w:val="20"/>
                <w:color w:val="auto"/>
              </w:rPr>
            </w:pPr>
            <w:r>
              <w:rPr>
                <w:rFonts w:ascii="Arial" w:cs="Arial" w:eastAsia="Arial" w:hAnsi="Arial"/>
                <w:sz w:val="16"/>
                <w:szCs w:val="16"/>
                <w:color w:val="auto"/>
              </w:rPr>
              <w:t>Net (loss) income per share attributable to AeroVironment—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(0.04)</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00" w:type="dxa"/>
            <w:vAlign w:val="bottom"/>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23,821,145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23,687,672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23,790,788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23,643,866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00" w:type="dxa"/>
            <w:vAlign w:val="bottom"/>
          </w:tcPr>
          <w:p>
            <w:pPr>
              <w:ind w:left="32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23,821,145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24,081,819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24,076,195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24,064,008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25,</w:t>
            </w: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January 25,</w:t>
            </w:r>
          </w:p>
        </w:tc>
        <w:tc>
          <w:tcPr>
            <w:tcW w:w="7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26,</w:t>
            </w:r>
          </w:p>
        </w:tc>
        <w:tc>
          <w:tcPr>
            <w:tcW w:w="100" w:type="dxa"/>
            <w:vAlign w:val="bottom"/>
          </w:tcPr>
          <w:p>
            <w:pPr>
              <w:spacing w:after="0"/>
              <w:rPr>
                <w:sz w:val="10"/>
                <w:szCs w:val="10"/>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41,716</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180" w:type="dxa"/>
            <w:vAlign w:val="bottom"/>
          </w:tcPr>
          <w:p>
            <w:pPr>
              <w:ind w:left="220"/>
              <w:spacing w:after="0"/>
              <w:rPr>
                <w:sz w:val="20"/>
                <w:szCs w:val="20"/>
                <w:color w:val="auto"/>
              </w:rPr>
            </w:pPr>
            <w:r>
              <w:rPr>
                <w:rFonts w:ascii="Arial" w:cs="Arial" w:eastAsia="Arial" w:hAnsi="Arial"/>
                <w:sz w:val="18"/>
                <w:szCs w:val="18"/>
                <w:color w:val="auto"/>
                <w:w w:val="92"/>
              </w:rPr>
              <w:t>Unrealized gain on investments, net of deferred tax expense of $51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8"/>
                <w:szCs w:val="18"/>
                <w:color w:val="auto"/>
              </w:rPr>
            </w:pPr>
          </w:p>
        </w:tc>
      </w:tr>
      <w:tr>
        <w:trPr>
          <w:trHeight w:val="210"/>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 attributable to AeroVironment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41,781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January 25, 2020 and January 26, 2019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2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2"/>
                <w:szCs w:val="12"/>
                <w:color w:val="auto"/>
              </w:rPr>
            </w:pPr>
          </w:p>
        </w:tc>
        <w:tc>
          <w:tcPr>
            <w:tcW w:w="700" w:type="dxa"/>
            <w:vAlign w:val="bottom"/>
          </w:tcPr>
          <w:p>
            <w:pPr>
              <w:jc w:val="center"/>
              <w:ind w:right="11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2780" w:type="dxa"/>
            <w:vAlign w:val="bottom"/>
          </w:tcPr>
          <w:p>
            <w:pPr>
              <w:spacing w:after="0"/>
              <w:rPr>
                <w:sz w:val="13"/>
                <w:szCs w:val="13"/>
                <w:color w:val="auto"/>
              </w:rPr>
            </w:pPr>
          </w:p>
        </w:tc>
        <w:tc>
          <w:tcPr>
            <w:tcW w:w="112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30"/>
              <w:spacing w:after="0"/>
              <w:rPr>
                <w:sz w:val="20"/>
                <w:szCs w:val="20"/>
                <w:color w:val="auto"/>
              </w:rPr>
            </w:pPr>
            <w:r>
              <w:rPr>
                <w:rFonts w:ascii="Arial" w:cs="Arial" w:eastAsia="Arial" w:hAnsi="Arial"/>
                <w:sz w:val="13"/>
                <w:szCs w:val="13"/>
                <w:b w:val="1"/>
                <w:bCs w:val="1"/>
                <w:color w:val="auto"/>
                <w:w w:val="83"/>
              </w:rPr>
              <w:t>Retained</w:t>
            </w:r>
          </w:p>
        </w:tc>
        <w:tc>
          <w:tcPr>
            <w:tcW w:w="140" w:type="dxa"/>
            <w:vAlign w:val="bottom"/>
          </w:tcPr>
          <w:p>
            <w:pPr>
              <w:spacing w:after="0"/>
              <w:rPr>
                <w:sz w:val="13"/>
                <w:szCs w:val="13"/>
                <w:color w:val="auto"/>
              </w:rPr>
            </w:pPr>
          </w:p>
        </w:tc>
        <w:tc>
          <w:tcPr>
            <w:tcW w:w="2520" w:type="dxa"/>
            <w:vAlign w:val="bottom"/>
            <w:gridSpan w:val="7"/>
          </w:tcPr>
          <w:p>
            <w:pPr>
              <w:ind w:left="20"/>
              <w:spacing w:after="0"/>
              <w:rPr>
                <w:sz w:val="20"/>
                <w:szCs w:val="20"/>
                <w:color w:val="auto"/>
              </w:rPr>
            </w:pPr>
            <w:r>
              <w:rPr>
                <w:rFonts w:ascii="Arial" w:cs="Arial" w:eastAsia="Arial" w:hAnsi="Arial"/>
                <w:sz w:val="13"/>
                <w:szCs w:val="13"/>
                <w:b w:val="1"/>
                <w:bCs w:val="1"/>
                <w:color w:val="auto"/>
                <w:w w:val="92"/>
              </w:rPr>
              <w:t>Comprehensive AeroVironment Controlling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9"/>
        </w:trPr>
        <w:tc>
          <w:tcPr>
            <w:tcW w:w="2780" w:type="dxa"/>
            <w:vAlign w:val="bottom"/>
          </w:tcPr>
          <w:p>
            <w:pPr>
              <w:spacing w:after="0"/>
              <w:rPr>
                <w:sz w:val="11"/>
                <w:szCs w:val="11"/>
                <w:color w:val="auto"/>
              </w:rPr>
            </w:pPr>
          </w:p>
        </w:tc>
        <w:tc>
          <w:tcPr>
            <w:tcW w:w="76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0"/>
              <w:spacing w:after="0" w:line="129" w:lineRule="exact"/>
              <w:rPr>
                <w:sz w:val="20"/>
                <w:szCs w:val="20"/>
                <w:color w:val="auto"/>
              </w:rPr>
            </w:pPr>
            <w:r>
              <w:rPr>
                <w:rFonts w:ascii="Arial" w:cs="Arial" w:eastAsia="Arial" w:hAnsi="Arial"/>
                <w:sz w:val="13"/>
                <w:szCs w:val="13"/>
                <w:b w:val="1"/>
                <w:bCs w:val="1"/>
                <w:color w:val="auto"/>
                <w:w w:val="82"/>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5"/>
              </w:rPr>
              <w:t>Loss</w:t>
            </w:r>
          </w:p>
        </w:tc>
        <w:tc>
          <w:tcPr>
            <w:tcW w:w="180" w:type="dxa"/>
            <w:vAlign w:val="bottom"/>
          </w:tcPr>
          <w:p>
            <w:pPr>
              <w:spacing w:after="0"/>
              <w:rPr>
                <w:sz w:val="11"/>
                <w:szCs w:val="11"/>
                <w:color w:val="auto"/>
              </w:rPr>
            </w:pPr>
          </w:p>
        </w:tc>
        <w:tc>
          <w:tcPr>
            <w:tcW w:w="700" w:type="dxa"/>
            <w:vAlign w:val="bottom"/>
          </w:tcPr>
          <w:p>
            <w:pPr>
              <w:jc w:val="center"/>
              <w:ind w:right="110"/>
              <w:spacing w:after="0" w:line="129"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23,946,293</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$ 176,216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286,351</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462,571</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462,575</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780" w:type="dxa"/>
            <w:vAlign w:val="bottom"/>
          </w:tcPr>
          <w:p>
            <w:pPr>
              <w:ind w:left="220"/>
              <w:spacing w:after="0" w:line="149" w:lineRule="exact"/>
              <w:rPr>
                <w:sz w:val="20"/>
                <w:szCs w:val="20"/>
                <w:color w:val="auto"/>
              </w:rPr>
            </w:pPr>
            <w:r>
              <w:rPr>
                <w:rFonts w:ascii="Arial" w:cs="Arial" w:eastAsia="Arial" w:hAnsi="Arial"/>
                <w:sz w:val="14"/>
                <w:szCs w:val="14"/>
                <w:color w:val="auto"/>
              </w:rPr>
              <w:t>Adoption of ASU 2018-09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665</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665</w:t>
            </w:r>
          </w:p>
        </w:tc>
        <w:tc>
          <w:tcPr>
            <w:tcW w:w="40" w:type="dxa"/>
            <w:vAlign w:val="bottom"/>
          </w:tcPr>
          <w:p>
            <w:pPr>
              <w:spacing w:after="0"/>
              <w:rPr>
                <w:sz w:val="12"/>
                <w:szCs w:val="12"/>
                <w:color w:val="auto"/>
              </w:rPr>
            </w:pPr>
          </w:p>
        </w:tc>
      </w:tr>
      <w:tr>
        <w:trPr>
          <w:trHeight w:val="149"/>
        </w:trPr>
        <w:tc>
          <w:tcPr>
            <w:tcW w:w="2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23,576</w:t>
            </w:r>
          </w:p>
        </w:tc>
        <w:tc>
          <w:tcPr>
            <w:tcW w:w="40" w:type="dxa"/>
            <w:vAlign w:val="bottom"/>
            <w:shd w:val="clear" w:color="auto" w:fill="CCEEFF"/>
          </w:tcPr>
          <w:p>
            <w:pPr>
              <w:spacing w:after="0"/>
              <w:rPr>
                <w:sz w:val="12"/>
                <w:szCs w:val="12"/>
                <w:color w:val="auto"/>
              </w:rPr>
            </w:pPr>
          </w:p>
        </w:tc>
      </w:tr>
      <w:tr>
        <w:trPr>
          <w:trHeight w:val="149"/>
        </w:trPr>
        <w:tc>
          <w:tcPr>
            <w:tcW w:w="278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40" w:type="dxa"/>
            <w:vAlign w:val="bottom"/>
          </w:tcPr>
          <w:p>
            <w:pPr>
              <w:spacing w:after="0"/>
              <w:rPr>
                <w:sz w:val="12"/>
                <w:szCs w:val="12"/>
                <w:color w:val="auto"/>
              </w:rPr>
            </w:pPr>
          </w:p>
        </w:tc>
      </w:tr>
      <w:tr>
        <w:trPr>
          <w:trHeight w:val="149"/>
        </w:trPr>
        <w:tc>
          <w:tcPr>
            <w:tcW w:w="2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40" w:type="dxa"/>
            <w:vAlign w:val="bottom"/>
            <w:shd w:val="clear" w:color="auto" w:fill="CCEEFF"/>
          </w:tcPr>
          <w:p>
            <w:pPr>
              <w:spacing w:after="0"/>
              <w:rPr>
                <w:sz w:val="12"/>
                <w:szCs w:val="12"/>
                <w:color w:val="auto"/>
              </w:rPr>
            </w:pPr>
          </w:p>
        </w:tc>
      </w:tr>
      <w:tr>
        <w:trPr>
          <w:trHeight w:val="149"/>
        </w:trPr>
        <w:tc>
          <w:tcPr>
            <w:tcW w:w="278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74,892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(11,769)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78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278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60" w:type="dxa"/>
            <w:vAlign w:val="bottom"/>
          </w:tcPr>
          <w:p>
            <w:pPr>
              <w:jc w:val="right"/>
              <w:spacing w:after="0"/>
              <w:rPr>
                <w:sz w:val="20"/>
                <w:szCs w:val="20"/>
                <w:color w:val="auto"/>
              </w:rPr>
            </w:pPr>
            <w:r>
              <w:rPr>
                <w:rFonts w:ascii="Arial" w:cs="Arial" w:eastAsia="Arial" w:hAnsi="Arial"/>
                <w:sz w:val="14"/>
                <w:szCs w:val="14"/>
                <w:color w:val="auto"/>
              </w:rPr>
              <w:t>(17,307)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(1,009)</w:t>
            </w:r>
          </w:p>
        </w:tc>
        <w:tc>
          <w:tcPr>
            <w:tcW w:w="40" w:type="dxa"/>
            <w:vAlign w:val="bottom"/>
          </w:tcPr>
          <w:p>
            <w:pPr>
              <w:spacing w:after="0"/>
              <w:rPr>
                <w:sz w:val="14"/>
                <w:szCs w:val="14"/>
                <w:color w:val="auto"/>
              </w:rPr>
            </w:pPr>
          </w:p>
        </w:tc>
      </w:tr>
      <w:tr>
        <w:trPr>
          <w:trHeight w:val="149"/>
        </w:trPr>
        <w:tc>
          <w:tcPr>
            <w:tcW w:w="2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4,751</w:t>
            </w:r>
          </w:p>
        </w:tc>
        <w:tc>
          <w:tcPr>
            <w:tcW w:w="40" w:type="dxa"/>
            <w:vAlign w:val="bottom"/>
            <w:shd w:val="clear" w:color="auto" w:fill="CCEEFF"/>
          </w:tcPr>
          <w:p>
            <w:pPr>
              <w:spacing w:after="0"/>
              <w:rPr>
                <w:sz w:val="12"/>
                <w:szCs w:val="12"/>
                <w:color w:val="auto"/>
              </w:rPr>
            </w:pPr>
          </w:p>
        </w:tc>
      </w:tr>
      <w:tr>
        <w:trPr>
          <w:trHeight w:val="142"/>
        </w:trPr>
        <w:tc>
          <w:tcPr>
            <w:tcW w:w="2780" w:type="dxa"/>
            <w:vAlign w:val="bottom"/>
          </w:tcPr>
          <w:p>
            <w:pPr>
              <w:spacing w:after="0" w:line="142" w:lineRule="exact"/>
              <w:rPr>
                <w:sz w:val="20"/>
                <w:szCs w:val="20"/>
                <w:color w:val="auto"/>
              </w:rPr>
            </w:pPr>
            <w:r>
              <w:rPr>
                <w:rFonts w:ascii="Arial" w:cs="Arial" w:eastAsia="Arial" w:hAnsi="Arial"/>
                <w:sz w:val="14"/>
                <w:szCs w:val="14"/>
                <w:color w:val="auto"/>
              </w:rPr>
              <w:t>Balance at January 25, 2020</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23,995,109</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$ 180,051</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310,619</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w:t>
            </w: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490,741</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490,718</w:t>
            </w:r>
          </w:p>
        </w:tc>
        <w:tc>
          <w:tcPr>
            <w:tcW w:w="40" w:type="dxa"/>
            <w:vAlign w:val="bottom"/>
          </w:tcPr>
          <w:p>
            <w:pPr>
              <w:spacing w:after="0"/>
              <w:rPr>
                <w:sz w:val="12"/>
                <w:szCs w:val="12"/>
                <w:color w:val="auto"/>
              </w:rPr>
            </w:pPr>
          </w:p>
        </w:tc>
      </w:tr>
      <w:tr>
        <w:trPr>
          <w:trHeight w:val="20"/>
        </w:trPr>
        <w:tc>
          <w:tcPr>
            <w:tcW w:w="2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4"/>
        </w:trPr>
        <w:tc>
          <w:tcPr>
            <w:tcW w:w="2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8"/>
                <w:szCs w:val="18"/>
                <w:color w:val="auto"/>
              </w:rPr>
            </w:pPr>
          </w:p>
        </w:tc>
        <w:tc>
          <w:tcPr>
            <w:tcW w:w="700" w:type="dxa"/>
            <w:vAlign w:val="bottom"/>
          </w:tcPr>
          <w:p>
            <w:pPr>
              <w:jc w:val="center"/>
              <w:ind w:right="11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5"/>
        </w:trPr>
        <w:tc>
          <w:tcPr>
            <w:tcW w:w="2780" w:type="dxa"/>
            <w:vAlign w:val="bottom"/>
          </w:tcPr>
          <w:p>
            <w:pPr>
              <w:spacing w:after="0"/>
              <w:rPr>
                <w:sz w:val="17"/>
                <w:szCs w:val="17"/>
                <w:color w:val="auto"/>
              </w:rPr>
            </w:pPr>
          </w:p>
        </w:tc>
        <w:tc>
          <w:tcPr>
            <w:tcW w:w="112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30"/>
              <w:spacing w:after="0"/>
              <w:rPr>
                <w:sz w:val="20"/>
                <w:szCs w:val="20"/>
                <w:color w:val="auto"/>
              </w:rPr>
            </w:pPr>
            <w:r>
              <w:rPr>
                <w:rFonts w:ascii="Arial" w:cs="Arial" w:eastAsia="Arial" w:hAnsi="Arial"/>
                <w:sz w:val="13"/>
                <w:szCs w:val="13"/>
                <w:b w:val="1"/>
                <w:bCs w:val="1"/>
                <w:color w:val="auto"/>
                <w:w w:val="83"/>
              </w:rPr>
              <w:t>Retained</w:t>
            </w:r>
          </w:p>
        </w:tc>
        <w:tc>
          <w:tcPr>
            <w:tcW w:w="140" w:type="dxa"/>
            <w:vAlign w:val="bottom"/>
          </w:tcPr>
          <w:p>
            <w:pPr>
              <w:spacing w:after="0"/>
              <w:rPr>
                <w:sz w:val="17"/>
                <w:szCs w:val="17"/>
                <w:color w:val="auto"/>
              </w:rPr>
            </w:pPr>
          </w:p>
        </w:tc>
        <w:tc>
          <w:tcPr>
            <w:tcW w:w="2520" w:type="dxa"/>
            <w:vAlign w:val="bottom"/>
            <w:gridSpan w:val="7"/>
          </w:tcPr>
          <w:p>
            <w:pPr>
              <w:ind w:left="20"/>
              <w:spacing w:after="0"/>
              <w:rPr>
                <w:sz w:val="20"/>
                <w:szCs w:val="20"/>
                <w:color w:val="auto"/>
              </w:rPr>
            </w:pPr>
            <w:r>
              <w:rPr>
                <w:rFonts w:ascii="Arial" w:cs="Arial" w:eastAsia="Arial" w:hAnsi="Arial"/>
                <w:sz w:val="13"/>
                <w:szCs w:val="13"/>
                <w:b w:val="1"/>
                <w:bCs w:val="1"/>
                <w:color w:val="auto"/>
                <w:w w:val="92"/>
              </w:rPr>
              <w:t>Comprehensive AeroVironment Controlling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7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5"/>
              </w:rPr>
              <w:t>Amount</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82"/>
              </w:rPr>
              <w:t>Earnings</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Loss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CCEEFF"/>
            </w:tcBorders>
          </w:tcPr>
          <w:p>
            <w:pPr>
              <w:spacing w:after="0"/>
              <w:rPr>
                <w:sz w:val="17"/>
                <w:szCs w:val="17"/>
                <w:color w:val="auto"/>
              </w:rPr>
            </w:pPr>
          </w:p>
        </w:tc>
      </w:tr>
      <w:tr>
        <w:trPr>
          <w:trHeight w:val="196"/>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Balance at April 30, 2018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23,908,736</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$ 170,139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238,913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409,033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409,056</w:t>
            </w:r>
          </w:p>
        </w:tc>
        <w:tc>
          <w:tcPr>
            <w:tcW w:w="40" w:type="dxa"/>
            <w:vAlign w:val="bottom"/>
            <w:shd w:val="clear" w:color="auto" w:fill="CCEEFF"/>
          </w:tcPr>
          <w:p>
            <w:pPr>
              <w:spacing w:after="0"/>
              <w:rPr>
                <w:sz w:val="17"/>
                <w:szCs w:val="17"/>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41,756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41,756</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41,716</w:t>
            </w:r>
          </w:p>
        </w:tc>
        <w:tc>
          <w:tcPr>
            <w:tcW w:w="40" w:type="dxa"/>
            <w:vAlign w:val="bottom"/>
          </w:tcPr>
          <w:p>
            <w:pPr>
              <w:spacing w:after="0"/>
              <w:rPr>
                <w:sz w:val="18"/>
                <w:szCs w:val="18"/>
                <w:color w:val="auto"/>
              </w:rPr>
            </w:pP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on 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8"/>
                <w:szCs w:val="18"/>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4"/>
                <w:szCs w:val="14"/>
                <w:color w:val="auto"/>
              </w:rPr>
              <w:t>Foreign currency translation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c>
          <w:tcPr>
            <w:tcW w:w="40" w:type="dxa"/>
            <w:vAlign w:val="bottom"/>
          </w:tcPr>
          <w:p>
            <w:pPr>
              <w:spacing w:after="0"/>
              <w:rPr>
                <w:sz w:val="18"/>
                <w:szCs w:val="18"/>
                <w:color w:val="auto"/>
              </w:rPr>
            </w:pP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 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0" w:type="dxa"/>
            <w:vAlign w:val="bottom"/>
            <w:shd w:val="clear" w:color="auto" w:fill="CCEEFF"/>
          </w:tcPr>
          <w:p>
            <w:pPr>
              <w:spacing w:after="0"/>
              <w:rPr>
                <w:sz w:val="18"/>
                <w:szCs w:val="18"/>
                <w:color w:val="auto"/>
              </w:rPr>
            </w:pPr>
          </w:p>
        </w:tc>
      </w:tr>
      <w:tr>
        <w:trPr>
          <w:trHeight w:val="216"/>
        </w:trPr>
        <w:tc>
          <w:tcPr>
            <w:tcW w:w="2780" w:type="dxa"/>
            <w:vAlign w:val="bottom"/>
          </w:tcPr>
          <w:p>
            <w:pPr>
              <w:ind w:left="220"/>
              <w:spacing w:after="0"/>
              <w:rPr>
                <w:sz w:val="20"/>
                <w:szCs w:val="20"/>
                <w:color w:val="auto"/>
              </w:rPr>
            </w:pPr>
            <w:r>
              <w:rPr>
                <w:rFonts w:ascii="Arial" w:cs="Arial" w:eastAsia="Arial" w:hAnsi="Arial"/>
                <w:sz w:val="14"/>
                <w:szCs w:val="14"/>
                <w:color w:val="auto"/>
              </w:rPr>
              <w:t>Restricted stock awards</w:t>
            </w:r>
          </w:p>
        </w:tc>
        <w:tc>
          <w:tcPr>
            <w:tcW w:w="760" w:type="dxa"/>
            <w:vAlign w:val="bottom"/>
          </w:tcPr>
          <w:p>
            <w:pPr>
              <w:jc w:val="right"/>
              <w:spacing w:after="0"/>
              <w:rPr>
                <w:sz w:val="20"/>
                <w:szCs w:val="20"/>
                <w:color w:val="auto"/>
              </w:rPr>
            </w:pPr>
            <w:r>
              <w:rPr>
                <w:rFonts w:ascii="Arial" w:cs="Arial" w:eastAsia="Arial" w:hAnsi="Arial"/>
                <w:sz w:val="14"/>
                <w:szCs w:val="14"/>
                <w:color w:val="auto"/>
              </w:rPr>
              <w:t>39,823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 forfeited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78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278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60" w:type="dxa"/>
            <w:vAlign w:val="bottom"/>
          </w:tcPr>
          <w:p>
            <w:pPr>
              <w:jc w:val="right"/>
              <w:spacing w:after="0"/>
              <w:rPr>
                <w:sz w:val="20"/>
                <w:szCs w:val="20"/>
                <w:color w:val="auto"/>
              </w:rPr>
            </w:pPr>
            <w:r>
              <w:rPr>
                <w:rFonts w:ascii="Arial" w:cs="Arial" w:eastAsia="Arial" w:hAnsi="Arial"/>
                <w:sz w:val="14"/>
                <w:szCs w:val="14"/>
                <w:color w:val="auto"/>
              </w:rPr>
              <w:t>(13,724)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(1,033)</w:t>
            </w:r>
          </w:p>
        </w:tc>
        <w:tc>
          <w:tcPr>
            <w:tcW w:w="40" w:type="dxa"/>
            <w:vAlign w:val="bottom"/>
          </w:tcPr>
          <w:p>
            <w:pPr>
              <w:spacing w:after="0"/>
              <w:rPr>
                <w:sz w:val="14"/>
                <w:szCs w:val="14"/>
                <w:color w:val="auto"/>
              </w:rPr>
            </w:pPr>
          </w:p>
        </w:tc>
      </w:tr>
      <w:tr>
        <w:trPr>
          <w:trHeight w:val="216"/>
        </w:trPr>
        <w:tc>
          <w:tcPr>
            <w:tcW w:w="2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5,714</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5,714</w:t>
            </w:r>
          </w:p>
        </w:tc>
        <w:tc>
          <w:tcPr>
            <w:tcW w:w="40" w:type="dxa"/>
            <w:vAlign w:val="bottom"/>
            <w:shd w:val="clear" w:color="auto" w:fill="CCEEFF"/>
          </w:tcPr>
          <w:p>
            <w:pPr>
              <w:spacing w:after="0"/>
              <w:rPr>
                <w:sz w:val="18"/>
                <w:szCs w:val="18"/>
                <w:color w:val="auto"/>
              </w:rPr>
            </w:pPr>
          </w:p>
        </w:tc>
      </w:tr>
      <w:tr>
        <w:trPr>
          <w:trHeight w:val="183"/>
        </w:trPr>
        <w:tc>
          <w:tcPr>
            <w:tcW w:w="2780" w:type="dxa"/>
            <w:vAlign w:val="bottom"/>
          </w:tcPr>
          <w:p>
            <w:pPr>
              <w:spacing w:after="0"/>
              <w:rPr>
                <w:sz w:val="20"/>
                <w:szCs w:val="20"/>
                <w:color w:val="auto"/>
              </w:rPr>
            </w:pPr>
            <w:r>
              <w:rPr>
                <w:rFonts w:ascii="Arial" w:cs="Arial" w:eastAsia="Arial" w:hAnsi="Arial"/>
                <w:sz w:val="14"/>
                <w:szCs w:val="14"/>
                <w:color w:val="auto"/>
              </w:rPr>
              <w:t>Balance at January 26, 2019</w:t>
            </w:r>
          </w:p>
        </w:tc>
        <w:tc>
          <w:tcPr>
            <w:tcW w:w="760" w:type="dxa"/>
            <w:vAlign w:val="bottom"/>
          </w:tcPr>
          <w:p>
            <w:pPr>
              <w:jc w:val="right"/>
              <w:spacing w:after="0"/>
              <w:rPr>
                <w:sz w:val="20"/>
                <w:szCs w:val="20"/>
                <w:color w:val="auto"/>
              </w:rPr>
            </w:pPr>
            <w:r>
              <w:rPr>
                <w:rFonts w:ascii="Arial" w:cs="Arial" w:eastAsia="Arial" w:hAnsi="Arial"/>
                <w:sz w:val="14"/>
                <w:szCs w:val="14"/>
                <w:color w:val="auto"/>
                <w:w w:val="96"/>
              </w:rPr>
              <w:t>23,932,460</w:t>
            </w: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$ 174,891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280,669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455,566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5"/>
                <w:szCs w:val="15"/>
                <w:color w:val="auto"/>
              </w:rPr>
            </w:pP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455,549</w:t>
            </w:r>
          </w:p>
        </w:tc>
        <w:tc>
          <w:tcPr>
            <w:tcW w:w="40" w:type="dxa"/>
            <w:vAlign w:val="bottom"/>
          </w:tcPr>
          <w:p>
            <w:pPr>
              <w:spacing w:after="0"/>
              <w:rPr>
                <w:sz w:val="15"/>
                <w:szCs w:val="15"/>
                <w:color w:val="auto"/>
              </w:rPr>
            </w:pPr>
          </w:p>
        </w:tc>
      </w:tr>
      <w:tr>
        <w:trPr>
          <w:trHeight w:val="20"/>
        </w:trPr>
        <w:tc>
          <w:tcPr>
            <w:tcW w:w="2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517"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January 25, 2020 and January 26, 2019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9"/>
        </w:trPr>
        <w:tc>
          <w:tcPr>
            <w:tcW w:w="2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720" w:type="dxa"/>
            <w:vAlign w:val="bottom"/>
          </w:tcPr>
          <w:p>
            <w:pPr>
              <w:jc w:val="center"/>
              <w:ind w:right="9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3"/>
        </w:trPr>
        <w:tc>
          <w:tcPr>
            <w:tcW w:w="2740" w:type="dxa"/>
            <w:vAlign w:val="bottom"/>
          </w:tcPr>
          <w:p>
            <w:pPr>
              <w:spacing w:after="0"/>
              <w:rPr>
                <w:sz w:val="13"/>
                <w:szCs w:val="13"/>
                <w:color w:val="auto"/>
              </w:rPr>
            </w:pPr>
          </w:p>
        </w:tc>
        <w:tc>
          <w:tcPr>
            <w:tcW w:w="112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30"/>
              <w:spacing w:after="0"/>
              <w:rPr>
                <w:sz w:val="20"/>
                <w:szCs w:val="20"/>
                <w:color w:val="auto"/>
              </w:rPr>
            </w:pPr>
            <w:r>
              <w:rPr>
                <w:rFonts w:ascii="Arial" w:cs="Arial" w:eastAsia="Arial" w:hAnsi="Arial"/>
                <w:sz w:val="13"/>
                <w:szCs w:val="13"/>
                <w:b w:val="1"/>
                <w:bCs w:val="1"/>
                <w:color w:val="auto"/>
                <w:w w:val="83"/>
              </w:rPr>
              <w:t>Retained</w:t>
            </w:r>
          </w:p>
        </w:tc>
        <w:tc>
          <w:tcPr>
            <w:tcW w:w="140" w:type="dxa"/>
            <w:vAlign w:val="bottom"/>
          </w:tcPr>
          <w:p>
            <w:pPr>
              <w:spacing w:after="0"/>
              <w:rPr>
                <w:sz w:val="13"/>
                <w:szCs w:val="13"/>
                <w:color w:val="auto"/>
              </w:rPr>
            </w:pPr>
          </w:p>
        </w:tc>
        <w:tc>
          <w:tcPr>
            <w:tcW w:w="2560" w:type="dxa"/>
            <w:vAlign w:val="bottom"/>
            <w:gridSpan w:val="7"/>
          </w:tcPr>
          <w:p>
            <w:pPr>
              <w:spacing w:after="0"/>
              <w:rPr>
                <w:sz w:val="20"/>
                <w:szCs w:val="20"/>
                <w:color w:val="auto"/>
              </w:rPr>
            </w:pPr>
            <w:r>
              <w:rPr>
                <w:rFonts w:ascii="Arial" w:cs="Arial" w:eastAsia="Arial" w:hAnsi="Arial"/>
                <w:sz w:val="13"/>
                <w:szCs w:val="13"/>
                <w:b w:val="1"/>
                <w:bCs w:val="1"/>
                <w:color w:val="auto"/>
                <w:w w:val="94"/>
              </w:rPr>
              <w:t>Comprehensive AeroVironment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9"/>
        </w:trPr>
        <w:tc>
          <w:tcPr>
            <w:tcW w:w="2740" w:type="dxa"/>
            <w:vAlign w:val="bottom"/>
          </w:tcPr>
          <w:p>
            <w:pPr>
              <w:spacing w:after="0"/>
              <w:rPr>
                <w:sz w:val="11"/>
                <w:szCs w:val="11"/>
                <w:color w:val="auto"/>
              </w:rPr>
            </w:pPr>
          </w:p>
        </w:tc>
        <w:tc>
          <w:tcPr>
            <w:tcW w:w="76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0"/>
              <w:spacing w:after="0" w:line="129" w:lineRule="exact"/>
              <w:rPr>
                <w:sz w:val="20"/>
                <w:szCs w:val="20"/>
                <w:color w:val="auto"/>
              </w:rPr>
            </w:pPr>
            <w:r>
              <w:rPr>
                <w:rFonts w:ascii="Arial" w:cs="Arial" w:eastAsia="Arial" w:hAnsi="Arial"/>
                <w:sz w:val="13"/>
                <w:szCs w:val="13"/>
                <w:b w:val="1"/>
                <w:bCs w:val="1"/>
                <w:color w:val="auto"/>
                <w:w w:val="82"/>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0"/>
              <w:spacing w:after="0" w:line="129" w:lineRule="exact"/>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1"/>
                <w:szCs w:val="11"/>
                <w:color w:val="auto"/>
              </w:rPr>
            </w:pPr>
          </w:p>
        </w:tc>
        <w:tc>
          <w:tcPr>
            <w:tcW w:w="720" w:type="dxa"/>
            <w:vAlign w:val="bottom"/>
          </w:tcPr>
          <w:p>
            <w:pPr>
              <w:jc w:val="center"/>
              <w:ind w:right="90"/>
              <w:spacing w:after="0" w:line="129" w:lineRule="exact"/>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26,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23,990,616</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$ 178,550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311,627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w:t>
            </w: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490,360</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490,357</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(1,028)</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9,200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74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7"/>
        </w:trPr>
        <w:tc>
          <w:tcPr>
            <w:tcW w:w="274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60" w:type="dxa"/>
            <w:vAlign w:val="bottom"/>
          </w:tcPr>
          <w:p>
            <w:pPr>
              <w:jc w:val="right"/>
              <w:spacing w:after="0"/>
              <w:rPr>
                <w:sz w:val="20"/>
                <w:szCs w:val="20"/>
                <w:color w:val="auto"/>
              </w:rPr>
            </w:pPr>
            <w:r>
              <w:rPr>
                <w:rFonts w:ascii="Arial" w:cs="Arial" w:eastAsia="Arial" w:hAnsi="Arial"/>
                <w:sz w:val="14"/>
                <w:szCs w:val="14"/>
                <w:color w:val="auto"/>
              </w:rPr>
              <w:t>(3,943)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w:t>
            </w:r>
          </w:p>
        </w:tc>
      </w:tr>
      <w:tr>
        <w:trPr>
          <w:trHeight w:val="142"/>
        </w:trPr>
        <w:tc>
          <w:tcPr>
            <w:tcW w:w="2740" w:type="dxa"/>
            <w:vAlign w:val="bottom"/>
          </w:tcPr>
          <w:p>
            <w:pPr>
              <w:spacing w:after="0" w:line="142" w:lineRule="exact"/>
              <w:rPr>
                <w:sz w:val="20"/>
                <w:szCs w:val="20"/>
                <w:color w:val="auto"/>
              </w:rPr>
            </w:pPr>
            <w:r>
              <w:rPr>
                <w:rFonts w:ascii="Arial" w:cs="Arial" w:eastAsia="Arial" w:hAnsi="Arial"/>
                <w:sz w:val="14"/>
                <w:szCs w:val="14"/>
                <w:color w:val="auto"/>
              </w:rPr>
              <w:t>Balance at January 25, 2020</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23,995,109</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$ 180,051</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310,619</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w:t>
            </w: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490,741</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490,718</w:t>
            </w:r>
          </w:p>
        </w:tc>
      </w:tr>
      <w:tr>
        <w:trPr>
          <w:trHeight w:val="20"/>
        </w:trPr>
        <w:tc>
          <w:tcPr>
            <w:tcW w:w="2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54"/>
        </w:trPr>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49"/>
        </w:trPr>
        <w:tc>
          <w:tcPr>
            <w:tcW w:w="2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720" w:type="dxa"/>
            <w:vAlign w:val="bottom"/>
          </w:tcPr>
          <w:p>
            <w:pPr>
              <w:jc w:val="center"/>
              <w:ind w:right="9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3"/>
        </w:trPr>
        <w:tc>
          <w:tcPr>
            <w:tcW w:w="2740" w:type="dxa"/>
            <w:vAlign w:val="bottom"/>
          </w:tcPr>
          <w:p>
            <w:pPr>
              <w:spacing w:after="0"/>
              <w:rPr>
                <w:sz w:val="13"/>
                <w:szCs w:val="13"/>
                <w:color w:val="auto"/>
              </w:rPr>
            </w:pPr>
          </w:p>
        </w:tc>
        <w:tc>
          <w:tcPr>
            <w:tcW w:w="112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30"/>
              <w:spacing w:after="0"/>
              <w:rPr>
                <w:sz w:val="20"/>
                <w:szCs w:val="20"/>
                <w:color w:val="auto"/>
              </w:rPr>
            </w:pPr>
            <w:r>
              <w:rPr>
                <w:rFonts w:ascii="Arial" w:cs="Arial" w:eastAsia="Arial" w:hAnsi="Arial"/>
                <w:sz w:val="13"/>
                <w:szCs w:val="13"/>
                <w:b w:val="1"/>
                <w:bCs w:val="1"/>
                <w:color w:val="auto"/>
                <w:w w:val="83"/>
              </w:rPr>
              <w:t>Retained</w:t>
            </w:r>
          </w:p>
        </w:tc>
        <w:tc>
          <w:tcPr>
            <w:tcW w:w="140" w:type="dxa"/>
            <w:vAlign w:val="bottom"/>
          </w:tcPr>
          <w:p>
            <w:pPr>
              <w:spacing w:after="0"/>
              <w:rPr>
                <w:sz w:val="13"/>
                <w:szCs w:val="13"/>
                <w:color w:val="auto"/>
              </w:rPr>
            </w:pPr>
          </w:p>
        </w:tc>
        <w:tc>
          <w:tcPr>
            <w:tcW w:w="2560" w:type="dxa"/>
            <w:vAlign w:val="bottom"/>
            <w:gridSpan w:val="7"/>
          </w:tcPr>
          <w:p>
            <w:pPr>
              <w:spacing w:after="0"/>
              <w:rPr>
                <w:sz w:val="20"/>
                <w:szCs w:val="20"/>
                <w:color w:val="auto"/>
              </w:rPr>
            </w:pPr>
            <w:r>
              <w:rPr>
                <w:rFonts w:ascii="Arial" w:cs="Arial" w:eastAsia="Arial" w:hAnsi="Arial"/>
                <w:sz w:val="13"/>
                <w:szCs w:val="13"/>
                <w:b w:val="1"/>
                <w:bCs w:val="1"/>
                <w:color w:val="auto"/>
                <w:w w:val="94"/>
              </w:rPr>
              <w:t>Comprehensive AeroVironment Controlling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9"/>
        </w:trPr>
        <w:tc>
          <w:tcPr>
            <w:tcW w:w="2740" w:type="dxa"/>
            <w:vAlign w:val="bottom"/>
          </w:tcPr>
          <w:p>
            <w:pPr>
              <w:spacing w:after="0"/>
              <w:rPr>
                <w:sz w:val="11"/>
                <w:szCs w:val="11"/>
                <w:color w:val="auto"/>
              </w:rPr>
            </w:pPr>
          </w:p>
        </w:tc>
        <w:tc>
          <w:tcPr>
            <w:tcW w:w="76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30"/>
              <w:spacing w:after="0" w:line="129" w:lineRule="exact"/>
              <w:rPr>
                <w:sz w:val="20"/>
                <w:szCs w:val="20"/>
                <w:color w:val="auto"/>
              </w:rPr>
            </w:pPr>
            <w:r>
              <w:rPr>
                <w:rFonts w:ascii="Arial" w:cs="Arial" w:eastAsia="Arial" w:hAnsi="Arial"/>
                <w:sz w:val="13"/>
                <w:szCs w:val="13"/>
                <w:b w:val="1"/>
                <w:bCs w:val="1"/>
                <w:color w:val="auto"/>
                <w:w w:val="82"/>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0"/>
              <w:spacing w:after="0" w:line="129" w:lineRule="exact"/>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1"/>
                <w:szCs w:val="11"/>
                <w:color w:val="auto"/>
              </w:rPr>
            </w:pPr>
          </w:p>
        </w:tc>
        <w:tc>
          <w:tcPr>
            <w:tcW w:w="720" w:type="dxa"/>
            <w:vAlign w:val="bottom"/>
          </w:tcPr>
          <w:p>
            <w:pPr>
              <w:jc w:val="center"/>
              <w:ind w:right="90"/>
              <w:spacing w:after="0" w:line="129" w:lineRule="exact"/>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27,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23,928,373</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$ 171,867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272,300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444,174</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444,176</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8,369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8,369</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8,350</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274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5,377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74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7"/>
        </w:trPr>
        <w:tc>
          <w:tcPr>
            <w:tcW w:w="274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60" w:type="dxa"/>
            <w:vAlign w:val="bottom"/>
          </w:tcPr>
          <w:p>
            <w:pPr>
              <w:jc w:val="right"/>
              <w:spacing w:after="0"/>
              <w:rPr>
                <w:sz w:val="20"/>
                <w:szCs w:val="20"/>
                <w:color w:val="auto"/>
              </w:rPr>
            </w:pPr>
            <w:r>
              <w:rPr>
                <w:rFonts w:ascii="Arial" w:cs="Arial" w:eastAsia="Arial" w:hAnsi="Arial"/>
                <w:sz w:val="14"/>
                <w:szCs w:val="14"/>
                <w:color w:val="auto"/>
              </w:rPr>
              <w:t>(845)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49"/>
        </w:trPr>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3,082</w:t>
            </w:r>
          </w:p>
        </w:tc>
      </w:tr>
      <w:tr>
        <w:trPr>
          <w:trHeight w:val="142"/>
        </w:trPr>
        <w:tc>
          <w:tcPr>
            <w:tcW w:w="2740" w:type="dxa"/>
            <w:vAlign w:val="bottom"/>
          </w:tcPr>
          <w:p>
            <w:pPr>
              <w:spacing w:after="0" w:line="142" w:lineRule="exact"/>
              <w:rPr>
                <w:sz w:val="20"/>
                <w:szCs w:val="20"/>
                <w:color w:val="auto"/>
              </w:rPr>
            </w:pPr>
            <w:r>
              <w:rPr>
                <w:rFonts w:ascii="Arial" w:cs="Arial" w:eastAsia="Arial" w:hAnsi="Arial"/>
                <w:sz w:val="14"/>
                <w:szCs w:val="14"/>
                <w:color w:val="auto"/>
              </w:rPr>
              <w:t>Balance at January 26, 2019</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23,932,460</w:t>
            </w:r>
          </w:p>
        </w:tc>
        <w:tc>
          <w:tcPr>
            <w:tcW w:w="1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$ 174,891</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280,669</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455,566</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455,549</w:t>
            </w:r>
          </w:p>
        </w:tc>
      </w:tr>
      <w:tr>
        <w:trPr>
          <w:trHeight w:val="20"/>
        </w:trPr>
        <w:tc>
          <w:tcPr>
            <w:tcW w:w="2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517" w:right="1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January 25,</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8"/>
              <w:spacing w:after="0" w:line="119" w:lineRule="exact"/>
              <w:rPr>
                <w:sz w:val="20"/>
                <w:szCs w:val="20"/>
                <w:color w:val="auto"/>
              </w:rPr>
            </w:pPr>
            <w:r>
              <w:rPr>
                <w:rFonts w:ascii="Arial" w:cs="Arial" w:eastAsia="Arial" w:hAnsi="Arial"/>
                <w:sz w:val="13"/>
                <w:szCs w:val="13"/>
                <w:b w:val="1"/>
                <w:bCs w:val="1"/>
                <w:color w:val="auto"/>
              </w:rPr>
              <w:t>January 26,</w:t>
            </w:r>
          </w:p>
        </w:tc>
        <w:tc>
          <w:tcPr>
            <w:tcW w:w="140" w:type="dxa"/>
            <w:vAlign w:val="bottom"/>
          </w:tcPr>
          <w:p>
            <w:pPr>
              <w:spacing w:after="0"/>
              <w:rPr>
                <w:sz w:val="10"/>
                <w:szCs w:val="10"/>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r>
      <w:tr>
        <w:trPr>
          <w:trHeight w:val="142"/>
        </w:trPr>
        <w:tc>
          <w:tcPr>
            <w:tcW w:w="66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23,576</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41,716</w:t>
            </w: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business, net of tax</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(8,452)</w:t>
            </w: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2,511</w:t>
            </w:r>
          </w:p>
        </w:tc>
        <w:tc>
          <w:tcPr>
            <w:tcW w:w="140" w:type="dxa"/>
            <w:vAlign w:val="bottom"/>
          </w:tcPr>
          <w:p>
            <w:pPr>
              <w:spacing w:after="0"/>
              <w:rPr>
                <w:sz w:val="12"/>
                <w:szCs w:val="12"/>
                <w:color w:val="auto"/>
              </w:rPr>
            </w:pPr>
          </w:p>
        </w:tc>
      </w:tr>
      <w:tr>
        <w:trPr>
          <w:trHeight w:val="142"/>
        </w:trPr>
        <w:tc>
          <w:tcPr>
            <w:tcW w:w="6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from continuing operations</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23,576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35,775</w:t>
            </w:r>
          </w:p>
        </w:tc>
        <w:tc>
          <w:tcPr>
            <w:tcW w:w="140" w:type="dxa"/>
            <w:vAlign w:val="bottom"/>
            <w:tcBorders>
              <w:top w:val="single" w:sz="8" w:color="CCEEFF"/>
            </w:tcBorders>
            <w:shd w:val="clear" w:color="auto" w:fill="CCEEFF"/>
          </w:tcPr>
          <w:p>
            <w:pPr>
              <w:spacing w:after="0"/>
              <w:rPr>
                <w:sz w:val="12"/>
                <w:szCs w:val="12"/>
                <w:color w:val="auto"/>
              </w:rPr>
            </w:pPr>
          </w:p>
        </w:tc>
      </w:tr>
      <w:tr>
        <w:trPr>
          <w:trHeight w:val="130"/>
        </w:trPr>
        <w:tc>
          <w:tcPr>
            <w:tcW w:w="6600" w:type="dxa"/>
            <w:vAlign w:val="bottom"/>
          </w:tcPr>
          <w:p>
            <w:pPr>
              <w:spacing w:after="0" w:line="130" w:lineRule="exact"/>
              <w:rPr>
                <w:sz w:val="20"/>
                <w:szCs w:val="20"/>
                <w:color w:val="auto"/>
              </w:rPr>
            </w:pPr>
            <w:r>
              <w:rPr>
                <w:rFonts w:ascii="Arial" w:cs="Arial" w:eastAsia="Arial" w:hAnsi="Arial"/>
                <w:sz w:val="14"/>
                <w:szCs w:val="14"/>
                <w:color w:val="auto"/>
                <w:w w:val="98"/>
              </w:rPr>
              <w:t>Adjustments to reconcile net income from continuing operations to cash provided by operating activities from</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7"/>
        </w:trPr>
        <w:tc>
          <w:tcPr>
            <w:tcW w:w="6600" w:type="dxa"/>
            <w:vAlign w:val="bottom"/>
          </w:tcPr>
          <w:p>
            <w:pPr>
              <w:spacing w:after="0"/>
              <w:rPr>
                <w:sz w:val="20"/>
                <w:szCs w:val="20"/>
                <w:color w:val="auto"/>
              </w:rPr>
            </w:pPr>
            <w:r>
              <w:rPr>
                <w:rFonts w:ascii="Arial" w:cs="Arial" w:eastAsia="Arial" w:hAnsi="Arial"/>
                <w:sz w:val="14"/>
                <w:szCs w:val="14"/>
                <w:color w:val="auto"/>
              </w:rPr>
              <w:t>continuing operations: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5,530</w:t>
            </w:r>
          </w:p>
        </w:tc>
        <w:tc>
          <w:tcPr>
            <w:tcW w:w="140" w:type="dxa"/>
            <w:vAlign w:val="bottom"/>
            <w:shd w:val="clear" w:color="auto" w:fill="CCEEFF"/>
          </w:tcPr>
          <w:p>
            <w:pPr>
              <w:spacing w:after="0"/>
              <w:rPr>
                <w:sz w:val="12"/>
                <w:szCs w:val="12"/>
                <w:color w:val="auto"/>
              </w:rPr>
            </w:pPr>
          </w:p>
        </w:tc>
      </w:tr>
      <w:tr>
        <w:trPr>
          <w:trHeight w:val="149"/>
        </w:trPr>
        <w:tc>
          <w:tcPr>
            <w:tcW w:w="6600" w:type="dxa"/>
            <w:vAlign w:val="bottom"/>
          </w:tcPr>
          <w:p>
            <w:pPr>
              <w:ind w:left="220"/>
              <w:spacing w:after="0" w:line="149" w:lineRule="exact"/>
              <w:rPr>
                <w:sz w:val="20"/>
                <w:szCs w:val="20"/>
                <w:color w:val="auto"/>
              </w:rPr>
            </w:pPr>
            <w:r>
              <w:rPr>
                <w:rFonts w:ascii="Arial" w:cs="Arial" w:eastAsia="Arial" w:hAnsi="Arial"/>
                <w:sz w:val="14"/>
                <w:szCs w:val="14"/>
                <w:color w:val="auto"/>
              </w:rPr>
              <w:t>Loss from equity method investment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2,071</w:t>
            </w: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w:t>
            </w:r>
          </w:p>
        </w:tc>
      </w:tr>
      <w:tr>
        <w:trPr>
          <w:trHeight w:val="149"/>
        </w:trPr>
        <w:tc>
          <w:tcPr>
            <w:tcW w:w="6600" w:type="dxa"/>
            <w:vAlign w:val="bottom"/>
          </w:tcPr>
          <w:p>
            <w:pPr>
              <w:ind w:left="220"/>
              <w:spacing w:after="0" w:line="149" w:lineRule="exact"/>
              <w:rPr>
                <w:sz w:val="20"/>
                <w:szCs w:val="20"/>
                <w:color w:val="auto"/>
              </w:rPr>
            </w:pPr>
            <w:r>
              <w:rPr>
                <w:rFonts w:ascii="Arial" w:cs="Arial" w:eastAsia="Arial" w:hAnsi="Arial"/>
                <w:sz w:val="14"/>
                <w:szCs w:val="14"/>
                <w:color w:val="auto"/>
              </w:rPr>
              <w:t>Other non-cash gain, net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600" w:type="dxa"/>
            <w:vAlign w:val="bottom"/>
          </w:tcPr>
          <w:p>
            <w:pPr>
              <w:ind w:left="220"/>
              <w:spacing w:after="0" w:line="149" w:lineRule="exact"/>
              <w:rPr>
                <w:sz w:val="20"/>
                <w:szCs w:val="20"/>
                <w:color w:val="auto"/>
              </w:rPr>
            </w:pPr>
            <w:r>
              <w:rPr>
                <w:rFonts w:ascii="Arial" w:cs="Arial" w:eastAsia="Arial" w:hAnsi="Arial"/>
                <w:sz w:val="14"/>
                <w:szCs w:val="14"/>
                <w:color w:val="auto"/>
              </w:rPr>
              <w:t>Gains on foreign currency transactions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(1,214)</w:t>
            </w:r>
          </w:p>
        </w:tc>
      </w:tr>
      <w:tr>
        <w:trPr>
          <w:trHeight w:val="149"/>
        </w:trPr>
        <w:tc>
          <w:tcPr>
            <w:tcW w:w="66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4,751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5,599</w:t>
            </w: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loss on sale of property and equipment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2"/>
                <w:szCs w:val="12"/>
                <w:color w:val="auto"/>
              </w:rPr>
            </w:pPr>
          </w:p>
        </w:tc>
      </w:tr>
      <w:tr>
        <w:trPr>
          <w:trHeight w:val="149"/>
        </w:trPr>
        <w:tc>
          <w:tcPr>
            <w:tcW w:w="660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securities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(941)</w:t>
            </w: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60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22,817</w:t>
            </w: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Unbilled receivables and retentions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(24,364)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(34,760)</w:t>
            </w:r>
          </w:p>
        </w:tc>
      </w:tr>
      <w:tr>
        <w:trPr>
          <w:trHeight w:val="149"/>
        </w:trPr>
        <w:tc>
          <w:tcPr>
            <w:tcW w:w="660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(12,954)</w:t>
            </w:r>
          </w:p>
        </w:tc>
      </w:tr>
      <w:tr>
        <w:trPr>
          <w:trHeight w:val="149"/>
        </w:trPr>
        <w:tc>
          <w:tcPr>
            <w:tcW w:w="6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 receivable</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60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(1,791)</w:t>
            </w:r>
          </w:p>
        </w:tc>
      </w:tr>
      <w:tr>
        <w:trPr>
          <w:trHeight w:val="149"/>
        </w:trPr>
        <w:tc>
          <w:tcPr>
            <w:tcW w:w="6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(10,645)</w:t>
            </w:r>
          </w:p>
        </w:tc>
      </w:tr>
      <w:tr>
        <w:trPr>
          <w:trHeight w:val="149"/>
        </w:trPr>
        <w:tc>
          <w:tcPr>
            <w:tcW w:w="660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7,947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(2,598)</w:t>
            </w:r>
          </w:p>
        </w:tc>
      </w:tr>
      <w:tr>
        <w:trPr>
          <w:trHeight w:val="142"/>
        </w:trPr>
        <w:tc>
          <w:tcPr>
            <w:tcW w:w="6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operating activities of continuing operations</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15,066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6,897</w:t>
            </w: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(6,806)</w:t>
            </w: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Equity method investments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acquisition, net of cash acquired</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Proceeds from sale of business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31,994</w:t>
            </w: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166,917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191,455</w:t>
            </w: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(162,517)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(211,120)</w:t>
            </w: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41,150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2,250</w:t>
            </w: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(59,297)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2"/>
        </w:trPr>
        <w:tc>
          <w:tcPr>
            <w:tcW w:w="6600" w:type="dxa"/>
            <w:vAlign w:val="bottom"/>
          </w:tcPr>
          <w:p>
            <w:pPr>
              <w:spacing w:after="0" w:line="142" w:lineRule="exact"/>
              <w:rPr>
                <w:sz w:val="20"/>
                <w:szCs w:val="20"/>
                <w:color w:val="auto"/>
              </w:rPr>
            </w:pPr>
            <w:r>
              <w:rPr>
                <w:rFonts w:ascii="Arial" w:cs="Arial" w:eastAsia="Arial" w:hAnsi="Arial"/>
                <w:sz w:val="14"/>
                <w:szCs w:val="14"/>
                <w:color w:val="auto"/>
              </w:rPr>
              <w:t>Net cash (used in) provided by investing activities from continuing operations</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(50,362)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7,773</w:t>
            </w: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w:t>
            </w: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(1,033)</w:t>
            </w:r>
          </w:p>
        </w:tc>
      </w:tr>
      <w:tr>
        <w:trPr>
          <w:trHeight w:val="149"/>
        </w:trPr>
        <w:tc>
          <w:tcPr>
            <w:tcW w:w="6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Exercise of stock options</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w:t>
            </w:r>
          </w:p>
        </w:tc>
        <w:tc>
          <w:tcPr>
            <w:tcW w:w="140" w:type="dxa"/>
            <w:vAlign w:val="bottom"/>
            <w:tcBorders>
              <w:bottom w:val="single" w:sz="8" w:color="CCEEFF"/>
            </w:tcBorders>
          </w:tcPr>
          <w:p>
            <w:pPr>
              <w:spacing w:after="0"/>
              <w:rPr>
                <w:sz w:val="12"/>
                <w:szCs w:val="12"/>
                <w:color w:val="auto"/>
              </w:rPr>
            </w:pPr>
          </w:p>
        </w:tc>
      </w:tr>
      <w:tr>
        <w:trPr>
          <w:trHeight w:val="142"/>
        </w:trPr>
        <w:tc>
          <w:tcPr>
            <w:tcW w:w="6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used in financing activities from continuing operations</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(1,116)</w:t>
            </w:r>
          </w:p>
        </w:tc>
        <w:tc>
          <w:tcPr>
            <w:tcW w:w="140" w:type="dxa"/>
            <w:vAlign w:val="bottom"/>
            <w:shd w:val="clear" w:color="auto" w:fill="CCEEFF"/>
          </w:tcPr>
          <w:p>
            <w:pPr>
              <w:spacing w:after="0"/>
              <w:rPr>
                <w:sz w:val="12"/>
                <w:szCs w:val="12"/>
                <w:color w:val="auto"/>
              </w:rPr>
            </w:pPr>
          </w:p>
        </w:tc>
      </w:tr>
      <w:tr>
        <w:trPr>
          <w:trHeight w:val="142"/>
        </w:trPr>
        <w:tc>
          <w:tcPr>
            <w:tcW w:w="6600" w:type="dxa"/>
            <w:vAlign w:val="bottom"/>
          </w:tcPr>
          <w:p>
            <w:pPr>
              <w:spacing w:after="0" w:line="142" w:lineRule="exact"/>
              <w:rPr>
                <w:sz w:val="20"/>
                <w:szCs w:val="20"/>
                <w:color w:val="auto"/>
              </w:rPr>
            </w:pPr>
            <w:r>
              <w:rPr>
                <w:rFonts w:ascii="Arial" w:cs="Arial" w:eastAsia="Arial" w:hAnsi="Arial"/>
                <w:sz w:val="14"/>
                <w:szCs w:val="14"/>
                <w:b w:val="1"/>
                <w:bCs w:val="1"/>
                <w:color w:val="auto"/>
              </w:rPr>
              <w:t>Discontinued operations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 of discontinued operations</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(7,250)</w:t>
            </w: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Investing activities of discontinued operations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(452)</w:t>
            </w:r>
          </w:p>
        </w:tc>
      </w:tr>
      <w:tr>
        <w:trPr>
          <w:trHeight w:val="142"/>
        </w:trPr>
        <w:tc>
          <w:tcPr>
            <w:tcW w:w="6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discontinued operations</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(7,702)</w:t>
            </w:r>
          </w:p>
        </w:tc>
        <w:tc>
          <w:tcPr>
            <w:tcW w:w="140" w:type="dxa"/>
            <w:vAlign w:val="bottom"/>
            <w:tcBorders>
              <w:top w:val="single" w:sz="8" w:color="CCEEFF"/>
            </w:tcBorders>
            <w:shd w:val="clear" w:color="auto" w:fill="CCEEFF"/>
          </w:tcPr>
          <w:p>
            <w:pPr>
              <w:spacing w:after="0"/>
              <w:rPr>
                <w:sz w:val="12"/>
                <w:szCs w:val="12"/>
                <w:color w:val="auto"/>
              </w:rPr>
            </w:pPr>
          </w:p>
        </w:tc>
      </w:tr>
      <w:tr>
        <w:trPr>
          <w:trHeight w:val="142"/>
        </w:trPr>
        <w:tc>
          <w:tcPr>
            <w:tcW w:w="6600" w:type="dxa"/>
            <w:vAlign w:val="bottom"/>
          </w:tcPr>
          <w:p>
            <w:pPr>
              <w:spacing w:after="0" w:line="142" w:lineRule="exact"/>
              <w:rPr>
                <w:sz w:val="20"/>
                <w:szCs w:val="20"/>
                <w:color w:val="auto"/>
              </w:rPr>
            </w:pPr>
            <w:r>
              <w:rPr>
                <w:rFonts w:ascii="Arial" w:cs="Arial" w:eastAsia="Arial" w:hAnsi="Arial"/>
                <w:sz w:val="14"/>
                <w:szCs w:val="14"/>
                <w:color w:val="auto"/>
              </w:rPr>
              <w:t>Net (decrease) increase in cash, cash equivalents, and restricted cash</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(36,212)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5,852</w:t>
            </w: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172,708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143,517</w:t>
            </w:r>
          </w:p>
        </w:tc>
        <w:tc>
          <w:tcPr>
            <w:tcW w:w="140" w:type="dxa"/>
            <w:vAlign w:val="bottom"/>
            <w:shd w:val="clear" w:color="auto" w:fill="CCEEFF"/>
          </w:tcPr>
          <w:p>
            <w:pPr>
              <w:spacing w:after="0"/>
              <w:rPr>
                <w:sz w:val="12"/>
                <w:szCs w:val="12"/>
                <w:color w:val="auto"/>
              </w:rPr>
            </w:pPr>
          </w:p>
        </w:tc>
      </w:tr>
      <w:tr>
        <w:trPr>
          <w:trHeight w:val="182"/>
        </w:trPr>
        <w:tc>
          <w:tcPr>
            <w:tcW w:w="6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136,496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149,369</w:t>
            </w:r>
          </w:p>
        </w:tc>
        <w:tc>
          <w:tcPr>
            <w:tcW w:w="140" w:type="dxa"/>
            <w:vAlign w:val="bottom"/>
            <w:tcBorders>
              <w:bottom w:val="single" w:sz="8" w:color="CCEEFF"/>
            </w:tcBorders>
          </w:tcPr>
          <w:p>
            <w:pPr>
              <w:spacing w:after="0"/>
              <w:rPr>
                <w:sz w:val="15"/>
                <w:szCs w:val="15"/>
                <w:color w:val="auto"/>
              </w:rPr>
            </w:pPr>
          </w:p>
        </w:tc>
      </w:tr>
      <w:tr>
        <w:trPr>
          <w:trHeight w:val="129"/>
        </w:trPr>
        <w:tc>
          <w:tcPr>
            <w:tcW w:w="66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6,777</w:t>
            </w:r>
          </w:p>
        </w:tc>
        <w:tc>
          <w:tcPr>
            <w:tcW w:w="140" w:type="dxa"/>
            <w:vAlign w:val="bottom"/>
            <w:shd w:val="clear" w:color="auto" w:fill="CCEEFF"/>
          </w:tcPr>
          <w:p>
            <w:pPr>
              <w:spacing w:after="0"/>
              <w:rPr>
                <w:sz w:val="12"/>
                <w:szCs w:val="12"/>
                <w:color w:val="auto"/>
              </w:rPr>
            </w:pP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investments, net of deferred tax expense of $51</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2"/>
                <w:szCs w:val="12"/>
                <w:color w:val="auto"/>
              </w:rPr>
            </w:pPr>
          </w:p>
        </w:tc>
      </w:tr>
      <w:tr>
        <w:trPr>
          <w:trHeight w:val="149"/>
        </w:trPr>
        <w:tc>
          <w:tcPr>
            <w:tcW w:w="660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r>
      <w:tr>
        <w:trPr>
          <w:trHeight w:val="149"/>
        </w:trPr>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property and equipment included in accounts payable</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AeroVironment, Inc., a Delaware corporation (the “Company”), is engaged in the design, development, production, support and operation of unmanned aircraft systems (“UAS”) for various industries and governmental agencies.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25, 2020 are not necessarily indicative of the results for the full year ending April 30, 2020. For further information, refer to the consolidated financial statements and footnotes thereto for the year ended April 30, 2019, included in the Company’s Annual Report on Form 10-K.</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December 2017, the Company and SoftBank Corp. (“SoftBank”) formed a joint venture, HAPSMobile, Inc. (“HAPSMobile”). As the Company has the ability to exercise significant influence over the operating and financial policies of HAPSMobile, the Company’s investment has been accounted for as an equity method investment. The Company has presented its proportion of HAPSMobile’s net loss in equity method investment activity, net of tax in the consolidated statements of operations. The carrying value of the investment in HAPSMobile was recorded in other assets. Refer to Note 6 —Equity Method Investments for further details.</w:t>
      </w:r>
    </w:p>
    <w:p>
      <w:pPr>
        <w:spacing w:after="0" w:line="19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represents a strategic shift in the Company’s operations. Therefore, the assets and liabilities and the results of operations of the EES Business are reported as discontinued operations for all periods presented. Refer to Note 2—Discontinued Operations for further details.</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June 10, 2019, the Company purchased 100% of the issued and outstanding member units of Pulse Aerospace, LLC (“Pulse”) pursuant to the terms of a Unit Purchase Agreement (the “Pulse Purchase Agreement”). The assets, liabilities and operating results of Pulse have been included in the Company’s consolidated financial statements. Refer to Note 18— Business Acquisitions for further details.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months ended October 27, 2019, the Company dissolved its wholly-owned subsidiary, Skytower, Inc., the results of which were not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Effective May 1, 2019, the Company adopted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along with several additional clarification ASU’s issued during 2018, collectively the “New Lease Standard”. This New Lease Standard requires the lessee to recognize the assets and liabilities for the rights and obligations created by leases. The Company elected to adopt the New Lease Standard using the modified retrospective transition approach through a cumulative-effect adjustment to the opening balance of retained earnings in the period of adoption. As such the Company did not recast comparative consolidated financial statements. The Company also elected the package of practical expedients which allows the Company to not reassess existing or expired contracts for existence of a lease, lease classification, or amortization of previously capitalized initial direct leasing cost. Additionally, the Company elected the short-term lease exception to not record right-of-use assets and lease liabilities for leases with a term less than 12 months and the practical expedient to not separate lease and non-lease components. Adoption of the New Lease Standard resulted in the recording of lease assets and lease liabilities on the consolidated balance sheet with no cumulative impact to retained earnings and did not have a material impact on the consolidated statement of cash flows. Refer to Note 10—Leases for additional information required as part of the adoption of the New Lease Standard.</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July 2018, the FASB issued ASU 2018-09, “Codification Improvements” (“ASU 2018-09”). ASU 2018-09 provides technical corrections, clarifications and other improvements across a variety of accounting topics. Among the clarifications, ASU 2018-09 clarifies that an entity should recognize excess tax benefits in the period in which the amount of the deduction is determined. This includes deductions that are taken on the entity’s return in a different period from when the event that gives rise to the tax deduction occurs and the uncertainty about whether the entity will receive a tax deduction and the amount of the tax deduction is resolved. Certain amendments were applicable immediately while others provide transition guidance and are effective in the Company’s first quarter of fiscal year 2020. The Company adopted ASU 2018-09 on May 1, 2019 using the modified retrospective method. The adoption of ASU 2018-09 resulted in a cumulative adjustment to increase retained earnings by $665,000 at May 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Certain prior year amounts have been reclassified to conform to the current year presentation. Specifically, the Company’s existing intangible assets have been reclassified from other assets to intangibles, net on the consolidated balance sheet for all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classifies cash accounts which are not available for general use as restricted cash. Pursuant to the terms of the Pulse Purchase Agreement, the Company maintains an escrow account to satisfy the payment of contingent consideration due to the sellers if certain objectives are met. The restricted funds in the escrow account are recorded in other assets on the consolidated balance sheet. As of January 25, 2020 restricted cash was $5,000,000. During the three months ended January 25, 2020, one of the research and development milestones was achieved, and the requirements for the remaining contingent consideration were concluded to not have been met. On February 26, 2020, $2,500,000 of contingent consideration was paid to the sellers for the achieved milestone, and the remaining $2,500,000 is no longer restricted. The Company had no restricted cash as of April 30,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Topic 606. A contract’s transaction price is allocated to each distinct performance obligation and</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tactical missile systems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25, 2020, the Company had approximately $125,958,000 of remaining performance obligations under fully funded contracts with its customers, which the Company also refers to as funded backlog. The Company currently expects to recognize approximately 75% of the remaining performance obligations as revenue in fiscal 2020, an additional 24% in fiscal 2021, and the balance thereafter.</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ectPr>
          <w:pgSz w:w="11900" w:h="16838" w:orient="portrait"/>
          <w:cols w:equalWidth="0" w:num="1">
            <w:col w:w="9040"/>
          </w:cols>
          <w:pgMar w:left="1420" w:top="517" w:right="14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costs and expenses or revenue. The aggregate net favorable impact of adjustments in contract estimates on revenue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obligations satisfied or partially satisfied in previous periods was approximately $1,152,000 and $1,169,000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and nine month periods ended January 25, 2020, respectively. No adjustment on any one contract was material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unaudited consolidated financial statements for the three month period ended January 25, 2020.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nine month period ended January 25, 2020, the Company revised its estimates of the total expected costs to complete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contract associated with a design and development agreement. The impact of the revised estimate on this contract on revenue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performance obligations satisfied or partially satisfied in previous periods was an increase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$1,036,000. The aggregate net unfavorable impact of adjustments in contract estimates on revenue related to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obligations satisfied or partially satisfied in previous periods was approximately $1,705,000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26, 2019. For the three months ended January 26, 2019, the Company revised its estimates of the total expected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complete a TMS contract due to ongoing test and evaluation resulting from some systems not passing the customer’s final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lot acceptance tests which the Company anticipates to be resolved in a future period. The impact of the revised estimate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contract on revenue related to performance obligations satisfied or partially satisfied in previous periods was a reduction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$1,519,000. The aggregate impact of adjustments in contract estimates on revenue related to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satisfied or partially satisfied in previous periods was not significant for the nine month period ended January 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No adjustment on any one contract was material to the Company’s unaudited consolidated financial statements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nine month period ended January 26,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8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180" w:type="dxa"/>
            <w:vAlign w:val="bottom"/>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25,</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January 26,</w:t>
            </w:r>
          </w:p>
        </w:tc>
        <w:tc>
          <w:tcPr>
            <w:tcW w:w="16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January 25,</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January 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0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36,965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47,704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$ 162,868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131,119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TMS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11,270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21,419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HAPS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61,891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75,322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$ 232,073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226,344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8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70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1760" w:type="dxa"/>
            <w:vAlign w:val="bottom"/>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25,</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26,</w:t>
            </w:r>
          </w:p>
        </w:tc>
        <w:tc>
          <w:tcPr>
            <w:tcW w:w="140" w:type="dxa"/>
            <w:vAlign w:val="bottom"/>
          </w:tcPr>
          <w:p>
            <w:pPr>
              <w:spacing w:after="0"/>
              <w:rPr>
                <w:sz w:val="15"/>
                <w:szCs w:val="15"/>
                <w:color w:val="auto"/>
              </w:rPr>
            </w:pPr>
          </w:p>
        </w:tc>
        <w:tc>
          <w:tcPr>
            <w:tcW w:w="9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January 25,</w:t>
            </w: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January 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9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82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1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40,145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52,833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$ 168,607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$ 160,890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CPFF</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20,863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22,370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60,384</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color w:val="auto"/>
              </w:rPr>
              <w:t>Total revenue</w:t>
            </w:r>
          </w:p>
        </w:tc>
        <w:tc>
          <w:tcPr>
            <w:tcW w:w="17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61,891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75,322</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$ 232,073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$ 226,344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7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540" w:type="dxa"/>
            <w:vAlign w:val="bottom"/>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25,</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26,</w:t>
            </w:r>
          </w:p>
        </w:tc>
        <w:tc>
          <w:tcPr>
            <w:tcW w:w="14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January 25,</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January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0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25,535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52,383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$ 124,971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$ 135,232</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Non-U.S. government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36,356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22,939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107,102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61,891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$ 232,073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$ 226,344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24"/>
                <w:szCs w:val="24"/>
                <w:color w:val="auto"/>
              </w:rPr>
            </w:pPr>
          </w:p>
        </w:tc>
        <w:tc>
          <w:tcPr>
            <w:tcW w:w="17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1540" w:type="dxa"/>
            <w:vAlign w:val="bottom"/>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25,</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26,</w:t>
            </w:r>
          </w:p>
        </w:tc>
        <w:tc>
          <w:tcPr>
            <w:tcW w:w="14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January 25,</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January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0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94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2020</w:t>
            </w:r>
          </w:p>
        </w:tc>
        <w:tc>
          <w:tcPr>
            <w:tcW w:w="9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34,436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$ 116,399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$ 116,514</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International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34,265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40,886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115,674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61,891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$ 232,073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$ 226,344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nine month period ended January 25, 2020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 recognized for the three and nine month periods ended January 25, 2020 that was included in contract liability balances at April 30, 2019 were $12,000 and $1,670,000, respectively; and revenue recognized for the three and nine month periods ended January 26, 2019 that was included in contract liability balances at April 30, 2018 were $10,000 and $1,587,000, respectively.</w:t>
      </w:r>
    </w:p>
    <w:p>
      <w:pPr>
        <w:sectPr>
          <w:pgSz w:w="11900" w:h="16838" w:orient="portrait"/>
          <w:cols w:equalWidth="0" w:num="1">
            <w:col w:w="9100"/>
          </w:cols>
          <w:pgMar w:left="1420" w:top="51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517" w:right="13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on a consolidated basis for the Company’s continuing operations. Accordingly, the Company operates its business as a single reportable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investments are accounted for as held-to-maturity reported at amortized cost, available-for-sale reported at cost less impairment, and available-for-sale reported at fair value, which approximates book value. The Company has elected to measure available-for-sale investments that do not have readily determinable fair values at cost minus impairment, if any, adjusted for changes resulting from observable price changes in orderly transactions for the identical or a similar investment of the same issuer.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revenue recognition policy calls for revenue recognized on all CPFF or T&amp;M government contracts to be recorded at actual rates to the extent it is probable that a significant reversal in the amount of cumulative revenue recognized will not occur. During the fiscal year ended April 30, 2019, the Company settled rates for its incurred cost claims with the DCAA for fiscal years 2016 and 2017 without payment of any consideration. At January 25, 2020 and April 30, 2019, the Company had $275,000 and $93,000 reserved for incurred cost claim audits,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 Assets — Acquired in Business Combinations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in-process research and development, customer relationships, trademarks and tradenames, and non-compete agreements. The Company determines the appropriate useful life by performing an analysis of expected cash flows based on historical experience of the acquired businesses and the Company’s comparable businesses. Intangible assets are amortized over their estimated useful lives using the straight-line method which approximates the pattern in which the economic benefits are consumed.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Goodwill represents the excess of the cost of an acquired entity over the fair value of the acquired net assets. Goodwill is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tested for impairment annually during the fourth quarter of the Company’s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Earnings Per Share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Basic (loss) earnings per share is computed using the weighted-average number of common shares outstanding, excluding shares of unvested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basic to diluted shares is as follows (in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8"/>
                <w:szCs w:val="18"/>
                <w:color w:val="auto"/>
              </w:rPr>
              <w:t>(Loss) income from</w:t>
            </w: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25, 2020</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26, 2019</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25, 2020</w:t>
            </w: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January 26, 2019</w:t>
            </w:r>
          </w:p>
        </w:tc>
        <w:tc>
          <w:tcPr>
            <w:tcW w:w="0" w:type="dxa"/>
            <w:vAlign w:val="bottom"/>
          </w:tcPr>
          <w:p>
            <w:pPr>
              <w:spacing w:after="0"/>
              <w:rPr>
                <w:sz w:val="1"/>
                <w:szCs w:val="1"/>
                <w:color w:val="auto"/>
              </w:rPr>
            </w:pPr>
          </w:p>
        </w:tc>
      </w:tr>
      <w:tr>
        <w:trPr>
          <w:trHeight w:val="182"/>
        </w:trPr>
        <w:tc>
          <w:tcPr>
            <w:tcW w:w="4140" w:type="dxa"/>
            <w:vAlign w:val="bottom"/>
            <w:tcBorders>
              <w:top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Continuing operations attributable to</w:t>
            </w: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AeroVironment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Discontinued operations, net of tax</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attributable to AeroVironment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Denominator for basic (loss) earnings per share:</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23,821,145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23,687,672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23,790,788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23,643,866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40" w:type="dxa"/>
            <w:vAlign w:val="bottom"/>
          </w:tcPr>
          <w:p>
            <w:pPr>
              <w:ind w:left="220"/>
              <w:spacing w:after="0" w:line="201" w:lineRule="exact"/>
              <w:rPr>
                <w:sz w:val="20"/>
                <w:szCs w:val="20"/>
                <w:color w:val="auto"/>
              </w:rPr>
            </w:pPr>
            <w:r>
              <w:rPr>
                <w:rFonts w:ascii="Arial" w:cs="Arial" w:eastAsia="Arial" w:hAnsi="Arial"/>
                <w:sz w:val="18"/>
                <w:szCs w:val="18"/>
                <w:color w:val="auto"/>
                <w:w w:val="96"/>
              </w:rPr>
              <w:t>Dilutive effect of employee stock options, restricted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stock and restricted stock units</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394,147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285,407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420,142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(loss) earnings per share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23,821,145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24,081,819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24,076,195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24,064,008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Due to the net loss for the three months ended January 25, 2020,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287,408 and 3,076 for the three and nine months ended January 25, 2020, respectively. Potentially dilutive shares not included in the computation of diluted weighted-average common shares because their effect would have been anti-dilutive were 1,705 and 5,519 for the three and nine months ended January 26, 2019,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(Topic 326). This ASU, and several related amendments the FASB has issued to provide additional supplemental guidance on certain aspects of the original pronouncement, is intended to replace the incurred loss impairment methodology under GAAP with a methodology that reflects using a forward-looking expected credit loss model for accounts receivables, loans, and other financial instruments, and requires consideration of a broader range of reasonable and supportable information to determine credit loss estimates. The guidance is effective for fiscal years beginning after December 15, 2019 and the interim periods therein, with early adoption permitted. The Company plans to adopt the guidance May 1, 2020 using the modified retrospective approach. The Company does not believe the guidance will have a material impact the Company’s allowance for doubtful accounts for accounts receivable. The Company is still evaluating the potential impact on its consolidated financial statements for remaining financial instruments within the scope of this guidance, primarily the debt securities in the Company’s investment portfolio.</w:t>
      </w:r>
    </w:p>
    <w:p>
      <w:pPr>
        <w:spacing w:after="0" w:line="1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Measurement </w:t>
      </w:r>
      <w:r>
        <w:rPr>
          <w:rFonts w:ascii="Arial" w:cs="Arial" w:eastAsia="Arial" w:hAnsi="Arial"/>
          <w:sz w:val="17"/>
          <w:szCs w:val="17"/>
          <w:color w:val="auto"/>
        </w:rPr>
        <w:t>(Topic 820)</w:t>
      </w:r>
      <w:r>
        <w:rPr>
          <w:rFonts w:ascii="Arial" w:cs="Arial" w:eastAsia="Arial" w:hAnsi="Arial"/>
          <w:sz w:val="17"/>
          <w:szCs w:val="17"/>
          <w:i w:val="1"/>
          <w:iCs w:val="1"/>
          <w:color w:val="auto"/>
        </w:rPr>
        <w:t xml:space="preserve">. </w:t>
      </w:r>
      <w:r>
        <w:rPr>
          <w:rFonts w:ascii="Arial" w:cs="Arial" w:eastAsia="Arial" w:hAnsi="Arial"/>
          <w:sz w:val="17"/>
          <w:szCs w:val="17"/>
          <w:color w:val="auto"/>
        </w:rPr>
        <w:t>This ASU removes or modifies current disclosures while adding certain new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The guidance is effective for fiscal years beginning after December 15, 2019 and interim periods therein, with early adoption permitted for the removed or modified disclosures. The removed and modified disclosures can be adopted retrospectively, and the added disclosures should be adopted prospectively. The Company is evaluating the potential impact of this adoption on its consolidated financial statements.</w:t>
      </w:r>
    </w:p>
    <w:p>
      <w:pPr>
        <w:sectPr>
          <w:pgSz w:w="11900" w:h="16838" w:orient="portrait"/>
          <w:cols w:equalWidth="0" w:num="1">
            <w:col w:w="9060"/>
          </w:cols>
          <w:pgMar w:left="1420" w:top="517" w:right="141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Computing Arrangement That Is a Service Contract </w:t>
      </w:r>
      <w:r>
        <w:rPr>
          <w:rFonts w:ascii="Arial" w:cs="Arial" w:eastAsia="Arial" w:hAnsi="Arial"/>
          <w:sz w:val="18"/>
          <w:szCs w:val="18"/>
          <w:color w:val="auto"/>
        </w:rPr>
        <w:t>(Topic 350-40)</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allows for capitalization of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certain cloud computing arrangements. The guidance is effective for fiscal years beginning after December 15, 2019 and interim periods therein, with early adoption permitted. The Company is evaluating the potential impact of this adoption on its consolidated financial statements.</w:t>
      </w:r>
    </w:p>
    <w:p>
      <w:pPr>
        <w:spacing w:after="0" w:line="18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(Topic 740)</w:t>
      </w:r>
      <w:r>
        <w:rPr>
          <w:rFonts w:ascii="Arial" w:cs="Arial" w:eastAsia="Arial" w:hAnsi="Arial"/>
          <w:sz w:val="18"/>
          <w:szCs w:val="18"/>
          <w:i w:val="1"/>
          <w:iCs w:val="1"/>
          <w:color w:val="auto"/>
        </w:rPr>
        <w:t>.</w:t>
      </w:r>
      <w:r>
        <w:rPr>
          <w:rFonts w:ascii="Arial" w:cs="Arial" w:eastAsia="Arial" w:hAnsi="Arial"/>
          <w:sz w:val="18"/>
          <w:szCs w:val="18"/>
          <w:color w:val="auto"/>
        </w:rPr>
        <w:t xml:space="preserve"> This ASU simplifies the accounting for income taxes by removing certain exceptions to the general principles in Topic 740. The guidance is effective for fiscal years beginning after December 15, 2020 and interim periods therein, with early adoption permitted. The adoption method is dependent on the specific amendment included in this update as certain amendments require retrospective adoption, modified retrospective adoption, an option of retrospective or modified retrospective, and prospective adoption. The Company is evaluating the potential impact of this adoption on its consolidated financial statements.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January 2020, the FASB issued ASU 2020-01, </w:t>
      </w:r>
      <w:r>
        <w:rPr>
          <w:rFonts w:ascii="Arial" w:cs="Arial" w:eastAsia="Arial" w:hAnsi="Arial"/>
          <w:sz w:val="18"/>
          <w:szCs w:val="18"/>
          <w:i w:val="1"/>
          <w:iCs w:val="1"/>
          <w:color w:val="auto"/>
        </w:rPr>
        <w:t>Clarifying the Interactions between Topic 321, Topic 323, and Topic 815</w:t>
      </w:r>
      <w:r>
        <w:rPr>
          <w:rFonts w:ascii="Arial" w:cs="Arial" w:eastAsia="Arial" w:hAnsi="Arial"/>
          <w:sz w:val="18"/>
          <w:szCs w:val="18"/>
          <w:color w:val="auto"/>
        </w:rPr>
        <w:t xml:space="preserve"> (Topic 321, Topic 323, and Topic 815)</w:t>
      </w:r>
      <w:r>
        <w:rPr>
          <w:rFonts w:ascii="Arial" w:cs="Arial" w:eastAsia="Arial" w:hAnsi="Arial"/>
          <w:sz w:val="18"/>
          <w:szCs w:val="18"/>
          <w:i w:val="1"/>
          <w:iCs w:val="1"/>
          <w:color w:val="auto"/>
        </w:rPr>
        <w:t>.</w:t>
      </w:r>
      <w:r>
        <w:rPr>
          <w:rFonts w:ascii="Arial" w:cs="Arial" w:eastAsia="Arial" w:hAnsi="Arial"/>
          <w:sz w:val="18"/>
          <w:szCs w:val="18"/>
          <w:color w:val="auto"/>
        </w:rPr>
        <w:t xml:space="preserve"> This ASU clarifies accounting certain topics impacted by Topic 321 Investments— Equity Securities. These topics include measuring equity securities using the measurement alternative, how the measurement alternative should be applied to equity method accounting, and certain forward contracts and purchased options which would be accounted for under the equity method of accounting upon settlement or exercise. The guidance is effective for fiscal years beginning after December 15, 2020 and interim periods therein, with early adoption permitted. The amendments should be adopted prospectively. The Company is evaluating the potential impact of this adoption on its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June 29, 2018, the Company completed the sale of the EES Business to Webasto.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operations. During the nine months ended January 26, 2019, the Company recorded a reduction to the gain resulting from a working capital adjustment of $505,000. In addition, the Company and Webasto have engaged an independent accounting firm to resolve a working capital dispute in the amount of $922,000 pursuant to the terms of the Purchase Agreement. No amounts have been recorded in the consolidated financial statements related to the additional working capital dispute as the Company has assessed the likelihood of a loss to be less than probable.</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January 25, 2020. The Company’s satisfaction of the requirements for the payment of the Holdback is currently in dispute.</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22, 2019, Webasto filed a lawsuit alleging several claims against the Company for breach of contract, indemnity, and bad faith, including allegations regarding inaccuracy of certain diligence disclosures,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The Company believes that the allegations are generally meritless and is mounting a vigorous defense.</w:t>
      </w:r>
    </w:p>
    <w:p>
      <w:pPr>
        <w:spacing w:after="0" w:line="17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October 29, 2019, P.B.M S.r.l. (“PBM”), filed a Notice of Arbitration naming Webasto and the Company as defendants, alleging over $1,700,000, plus attorneys’ fees, for unpaid invoices and reliance damages stemming from a 2017 agreement that the Company assigned to Webasto in the sale of the EES Business. In December 2019, the Company reached a settlement with PBM, and PBM settled its claims against Webasto, concurrently. PBM has</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withdrawn its Notice of Arbitration, and the Company considers this matter closed. Parties to the Webasto lawsuit will amend their pleadings to reflect that any claims associated with PBM are no longer in dispute.</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 The recall remains a significant part of the Webasto lawsuit.</w:t>
      </w:r>
    </w:p>
    <w:p>
      <w:pPr>
        <w:spacing w:after="0" w:line="16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$57,000 and $545,000 has been recorded in other income, net in the consolidated statements of operations for three and nine months ended January 25, 2020, respectively, and $657,000 and $2,013,000 for three and nine months ended January 26, 2019, respectively.</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determined that the EES Business met the criteria for classification as an asset held for sale as of April 30, 2018 and represents a strategic shift in the Company’s operations. Therefore, the assets and liabilities and the results of operations of the EES Business are reported as discontinued operations for all periods presented. The table below presents the statements of operations data for the EES Business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January 26,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January 26,</w:t>
            </w:r>
          </w:p>
        </w:tc>
        <w:tc>
          <w:tcPr>
            <w:tcW w:w="0" w:type="dxa"/>
            <w:vAlign w:val="bottom"/>
          </w:tcPr>
          <w:p>
            <w:pPr>
              <w:spacing w:after="0"/>
              <w:rPr>
                <w:sz w:val="1"/>
                <w:szCs w:val="1"/>
                <w:color w:val="auto"/>
              </w:rPr>
            </w:pPr>
          </w:p>
        </w:tc>
      </w:tr>
      <w:tr>
        <w:trPr>
          <w:trHeight w:val="171"/>
        </w:trPr>
        <w:tc>
          <w:tcPr>
            <w:tcW w:w="42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5"/>
              </w:rPr>
              <w:t>Loss from discontinued operations before income taxes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2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Gain on sale of business, net of tax expense of $2,463</w:t>
            </w:r>
          </w:p>
        </w:tc>
        <w:tc>
          <w:tcPr>
            <w:tcW w:w="2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2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20" w:type="dxa"/>
            <w:vAlign w:val="bottom"/>
            <w:vMerge w:val="restart"/>
          </w:tcPr>
          <w:p>
            <w:pPr>
              <w:jc w:val="right"/>
              <w:ind w:right="19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January 25,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63,205</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81,950</w:t>
            </w:r>
          </w:p>
        </w:tc>
        <w:tc>
          <w:tcPr>
            <w:tcW w:w="120" w:type="dxa"/>
            <w:vAlign w:val="bottom"/>
            <w:shd w:val="clear" w:color="auto" w:fill="CCEEFF"/>
          </w:tcPr>
          <w:p>
            <w:pPr>
              <w:spacing w:after="0"/>
              <w:rPr>
                <w:sz w:val="18"/>
                <w:szCs w:val="18"/>
                <w:color w:val="auto"/>
              </w:rPr>
            </w:pPr>
          </w:p>
        </w:tc>
      </w:tr>
      <w:tr>
        <w:trPr>
          <w:trHeight w:val="210"/>
        </w:trPr>
        <w:tc>
          <w:tcPr>
            <w:tcW w:w="5020" w:type="dxa"/>
            <w:vAlign w:val="bottom"/>
          </w:tcPr>
          <w:p>
            <w:pPr>
              <w:ind w:left="440"/>
              <w:spacing w:after="0"/>
              <w:rPr>
                <w:sz w:val="20"/>
                <w:szCs w:val="20"/>
                <w:color w:val="auto"/>
              </w:rPr>
            </w:pPr>
            <w:r>
              <w:rPr>
                <w:rFonts w:ascii="Arial" w:cs="Arial" w:eastAsia="Arial" w:hAnsi="Arial"/>
                <w:sz w:val="18"/>
                <w:szCs w:val="18"/>
                <w:color w:val="auto"/>
              </w:rPr>
              <w:t>Total held-to-maturity investments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135,302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150,487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Variable rate demand notes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50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available-for-sale investments</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50"/>
        </w:trPr>
        <w:tc>
          <w:tcPr>
            <w:tcW w:w="50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short-term investments</w:t>
            </w:r>
          </w:p>
        </w:tc>
        <w:tc>
          <w:tcPr>
            <w:tcW w:w="19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148,502</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150,487</w:t>
            </w:r>
          </w:p>
        </w:tc>
        <w:tc>
          <w:tcPr>
            <w:tcW w:w="120" w:type="dxa"/>
            <w:vAlign w:val="bottom"/>
            <w:tcBorders>
              <w:bottom w:val="single" w:sz="8" w:color="CCEEFF"/>
            </w:tcBorders>
          </w:tcPr>
          <w:p>
            <w:pPr>
              <w:spacing w:after="0"/>
              <w:rPr>
                <w:sz w:val="21"/>
                <w:szCs w:val="21"/>
                <w:color w:val="auto"/>
              </w:rPr>
            </w:pPr>
          </w:p>
        </w:tc>
      </w:tr>
      <w:tr>
        <w:trPr>
          <w:trHeight w:val="197"/>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7,404</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Certificates of deposit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50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held-to-maturity investments</w:t>
            </w:r>
          </w:p>
        </w:tc>
        <w:tc>
          <w:tcPr>
            <w:tcW w:w="1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 limited partnership fund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50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available-for-sale investments</w:t>
            </w:r>
          </w:p>
        </w:tc>
        <w:tc>
          <w:tcPr>
            <w:tcW w:w="19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4,947</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r>
      <w:tr>
        <w:trPr>
          <w:trHeight w:val="210"/>
        </w:trPr>
        <w:tc>
          <w:tcPr>
            <w:tcW w:w="5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January 25, 2020 and April 30, 2019, the balance of held-to-maturity securities consisted of state and local government municipal securities, U.S. government securities, U.S. government agency securities, highly rated corporate bonds, and certificates of deposit. Interest earned from these investments is recorded in interest income.</w:t>
      </w:r>
    </w:p>
    <w:p>
      <w:pPr>
        <w:spacing w:after="0" w:line="16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January 25, 2020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January 25, 2020</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86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w w:val="90"/>
              </w:rPr>
              <w:t>Gross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4"/>
                <w:szCs w:val="14"/>
                <w:b w:val="1"/>
                <w:bCs w:val="1"/>
                <w:color w:val="auto"/>
              </w:rPr>
              <w:t>April 30, 2019</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86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0"/>
              </w:rPr>
              <w:t>Gross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159,873</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amortized cost and fair value of the held-to-maturity securities by contractual maturity at January 25, 2020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135,302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Borders>
              <w:bottom w:val="single" w:sz="8" w:color="CCEEFF"/>
            </w:tcBorders>
          </w:tcPr>
          <w:p>
            <w:pPr>
              <w:spacing w:after="0"/>
              <w:rPr>
                <w:sz w:val="18"/>
                <w:szCs w:val="18"/>
                <w:color w:val="auto"/>
              </w:rPr>
            </w:pPr>
          </w:p>
        </w:tc>
      </w:tr>
      <w:tr>
        <w:trPr>
          <w:trHeight w:val="210"/>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156,764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Variable Rate Demand Notes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Variable rate demand notes (“VRDNs”) are floating rate municipal instruments usually with long maturities (commonly 20 or 30 years), and carry a coupon that resets periodically. VRDNs are classified as short-term based on their highly liquid nature and because they represent the investment of cash that is available for current operations. Despite the long-term nature of their stated contractual maturities, VRDNs typically have either a one- or seven-day put option which allows investors to put the security back to the remarketing agent at par value plus accrued interest in the event the Company decides to liquidate its investment in a particular VRDN.</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amortized cost and fair value of the available-for-sale debt securities by contractual maturity at January 25, 2020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20 years</w:t>
            </w:r>
          </w:p>
        </w:tc>
        <w:tc>
          <w:tcPr>
            <w:tcW w:w="4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4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13,200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340" w:type="dxa"/>
            <w:vAlign w:val="bottom"/>
            <w:vMerge w:val="restart"/>
          </w:tcPr>
          <w:p>
            <w:pPr>
              <w:jc w:val="right"/>
              <w:ind w:right="251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8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8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three months ended July 27, 2019, the Company made its initial capital contribution to a limited partnership fund focusing on highly relevant technologies and start-up companies serving defense and industrial markets. This investment does not have readily determinable fair values. The Company has elected to measure equity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is a summary of the activity related to the available-for-sale investments recorded in short-term and long-term investments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5"/>
              </w:rPr>
              <w:t>April 30, 2019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Changes in</w:t>
            </w:r>
          </w:p>
        </w:tc>
        <w:tc>
          <w:tcPr>
            <w:tcW w:w="140" w:type="dxa"/>
            <w:vAlign w:val="bottom"/>
          </w:tcPr>
          <w:p>
            <w:pPr>
              <w:spacing w:after="0"/>
              <w:rPr>
                <w:sz w:val="14"/>
                <w:szCs w:val="14"/>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Sales or</w:t>
            </w:r>
          </w:p>
        </w:tc>
        <w:tc>
          <w:tcPr>
            <w:tcW w:w="1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January 25, 2020</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Reflected in Net Income</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Purchases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Variable rate demand notes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$ 13,200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Investment in limited partnership</w:t>
            </w: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investments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$ 18,147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Auction Rate Securities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April 30, 2018, the balance of available-for-sale auction rate securities consisted of two investment grade auction rate municipal bonds with maturities ranging from 1 to 16 years. These investments have characteristics similar to short term investments. During the three months ended July 28, 2018, the remaining investment grade auction rate municipal bonds were redeemed at par value.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1" w:lineRule="exact"/>
        <w:rPr>
          <w:sz w:val="20"/>
          <w:szCs w:val="20"/>
          <w:color w:val="auto"/>
        </w:rPr>
      </w:pPr>
    </w:p>
    <w:p>
      <w:pPr>
        <w:ind w:left="320" w:right="40" w:hanging="318"/>
        <w:spacing w:after="0" w:line="277"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20" w:right="320" w:hanging="318"/>
        <w:spacing w:after="0" w:line="264" w:lineRule="auto"/>
        <w:tabs>
          <w:tab w:leader="none" w:pos="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1" w:lineRule="exact"/>
        <w:rPr>
          <w:rFonts w:ascii="Arial" w:cs="Arial" w:eastAsia="Arial" w:hAnsi="Arial"/>
          <w:sz w:val="18"/>
          <w:szCs w:val="18"/>
          <w:color w:val="auto"/>
        </w:rPr>
      </w:pPr>
    </w:p>
    <w:p>
      <w:pPr>
        <w:ind w:left="300" w:hanging="298"/>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January 25, 2020,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ind w:left="860"/>
              <w:spacing w:after="0"/>
              <w:rPr>
                <w:sz w:val="20"/>
                <w:szCs w:val="20"/>
                <w:color w:val="auto"/>
              </w:rPr>
            </w:pPr>
            <w:r>
              <w:rPr>
                <w:rFonts w:ascii="Arial" w:cs="Arial" w:eastAsia="Arial" w:hAnsi="Arial"/>
                <w:sz w:val="14"/>
                <w:szCs w:val="14"/>
                <w:b w:val="1"/>
                <w:bCs w:val="1"/>
                <w:color w:val="auto"/>
                <w:w w:val="98"/>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6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Variable rate demand notes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$ 13,200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Measurements Using</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2019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Business acquisition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Total (gains) losses (realized or unrealized)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inventories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Included in product cost of sales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selling, general and administrative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Included in research and development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25, 2020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The amount of total (gains) or losses for the period included in earnings attributable to the change in</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2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unrealized gains or losses relating to assets or liabilities still held at January 25, 2020</w:t>
            </w:r>
          </w:p>
        </w:tc>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Pursuant to the Pulse Purchase Agreement, the sellers may receive up to a maximum of $5,000,000 in additional cash consideration (“contingent consideration”), if specific research and development milestones are achieved by December 10, 2021 and the continued employment of specific key employees. The contingent consideration was valued using a probability weighted discounted cash flow model. The analysis considered, among other items, contractual terms of the Pulse Purchase Agreement, the Company’s discount rate, the timing of expected future cash flows and the probability that the milestones required for payment of the contingent consideration will be achieved. See Note 18—Business Acquisitions. During the three months ended January 25, 2020, one of the research and development milestones was achieved, and the requirements for the payout of remaining contingent consideration were concluded to not have been met. As a result, the Company recorded a gain of $832,000, which was recorded in selling, general, and administrative expense in the consolidated statements of operations. On February 26, 2020, $2,500,000 of contingent consideration was paid to the sellers for the achieved milestone, and the remaining $2,500,000 is no longer restricted.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January 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19,162</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25,926</w:t>
            </w:r>
          </w:p>
        </w:tc>
        <w:tc>
          <w:tcPr>
            <w:tcW w:w="12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Inventories, gross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61,880</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(7,824)</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Inventories,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54,056</w:t>
            </w:r>
          </w:p>
        </w:tc>
        <w:tc>
          <w:tcPr>
            <w:tcW w:w="12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January 25, 2020, the Company recorded inventory reserve charges of approximately</w:t>
      </w:r>
    </w:p>
    <w:p>
      <w:pPr>
        <w:spacing w:after="0" w:line="3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$2,600,000 to impair the remaining net book value of the Company’s Quantix commercial UAS solution. For the three and nine months ended January 25, 2020, the Company recorded inventory reserve charges of $617,000 and $3,807,000, respectively. For the three and nine months end January 26, 2019 the Company recorded inventory impairment charges of $1,889,000 and $3,079,000, respectively.</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Method Investments</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of 2017, the Company and SoftBank formed a joint venture, HAPSMobile, which is a Japanese corporation. As of January 25, 2020, the Company’s ownership stake in HAPSMobile was approximately 7%, with the remaining 93% held by SoftBank. In connection with the formation of the joint venture on December 27, 2017, the Company initially purchased shares of HAPSMobile representing a 5% ownership interest in exchange for an investment of 210,000,000 yen ($1,860,000). The Company subsequently purchased additional shares of HAPSMobile in order to maintain a 5% ownership stake in the joint venture. The first such purchase occurred on April 17, 2018, at which time the Company invested 150,000,000 yen ($1,407,000) for the purchase of additional shares of HAPSMobile. On January 29, 2019, the Company invested an additional 209,500,000 yen ($1,926,000) to maintain its 5% ownership stake. On February 9, 2019, the Company elected to purchase 632,800,000 yen ($5,671,000) of additional shares of HAPSMobile to increase the Company’s ownership in the joint venture from 5% to 10%, and on May 10, 2019, the Company purchased 500,000,000 yen ($4,569,000) of additional shares of HAPSMobile to maintain its 10% ownership stake. The Company’s ownership percentage was subsequently diluted from 10% to approximately 5%. On December 4, 2019, the Company purchased 540,050,000 yen ($4,982,000) of additional shares of HAPSMobile to increase its ownership stake to approximately 7%.</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the Company has the ability to exercise significant influence over the operating and financial policies of HAPSMobile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applicable Joint Venture Agreement and related organizational documents, the Company’s investment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accounted for as an equity method investment. For the three and nine months ended January 25, 2020,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ownership percentage of the net loss of HAPSMobile, or $1,200,000 and $3,410,000, respectively, in equity method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investment loss, net of tax in the unaudited consolidated statement of operations. For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January 26, 2019, the Company recorded its ownership percentage of the net loss of HAPSMobile, or $717,000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$2,071,000, respectively, in equity method investment loss, net of tax in the unaudited consolidated statement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January 25, 2020 and April 30, 2019, the carrying value of the investment in HAPSMobile of $11,819,000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$5,612,000, respectively, was recorded in other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nine months ended January 25, 2020 and January 26, 2019, respectively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5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Nine Months Ended</w:t>
            </w:r>
          </w:p>
        </w:tc>
      </w:tr>
      <w:tr>
        <w:trPr>
          <w:trHeight w:val="119"/>
        </w:trPr>
        <w:tc>
          <w:tcPr>
            <w:tcW w:w="5440" w:type="dxa"/>
            <w:vAlign w:val="bottom"/>
          </w:tcPr>
          <w:p>
            <w:pPr>
              <w:spacing w:after="0"/>
              <w:rPr>
                <w:sz w:val="10"/>
                <w:szCs w:val="10"/>
                <w:color w:val="auto"/>
              </w:rPr>
            </w:pPr>
          </w:p>
        </w:tc>
        <w:tc>
          <w:tcPr>
            <w:tcW w:w="9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25,</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26,</w:t>
            </w:r>
          </w:p>
        </w:tc>
        <w:tc>
          <w:tcPr>
            <w:tcW w:w="160" w:type="dxa"/>
            <w:vAlign w:val="bottom"/>
          </w:tcPr>
          <w:p>
            <w:pPr>
              <w:spacing w:after="0"/>
              <w:rPr>
                <w:sz w:val="10"/>
                <w:szCs w:val="10"/>
                <w:color w:val="auto"/>
              </w:rPr>
            </w:pPr>
          </w:p>
        </w:tc>
        <w:tc>
          <w:tcPr>
            <w:tcW w:w="8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25,</w:t>
            </w: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26,</w:t>
            </w:r>
          </w:p>
        </w:tc>
        <w:tc>
          <w:tcPr>
            <w:tcW w:w="80" w:type="dxa"/>
            <w:vAlign w:val="bottom"/>
          </w:tcPr>
          <w:p>
            <w:pPr>
              <w:spacing w:after="0"/>
              <w:rPr>
                <w:sz w:val="10"/>
                <w:szCs w:val="10"/>
                <w:color w:val="auto"/>
              </w:rPr>
            </w:pPr>
          </w:p>
        </w:tc>
      </w:tr>
      <w:tr>
        <w:trPr>
          <w:trHeight w:val="171"/>
        </w:trPr>
        <w:tc>
          <w:tcPr>
            <w:tcW w:w="5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Warranty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Warranty costs settled</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(893)</w:t>
            </w: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48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Licenses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Intangibles, gross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8"/>
                <w:szCs w:val="18"/>
                <w:color w:val="auto"/>
              </w:rPr>
              <w:t>Intangibles, net</w:t>
            </w:r>
          </w:p>
        </w:tc>
        <w:tc>
          <w:tcPr>
            <w:tcW w:w="214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amortization period at January 25, 2020 and April 30, 2019 was five years and one year,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the three and nine months ended January 25, 2020 was $775,000 and $2,102,000,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and nine months ended January 26, 2019 was $104,000 and $253,000, respectively.</w:t>
      </w:r>
    </w:p>
    <w:p>
      <w:pPr>
        <w:spacing w:after="0" w:line="22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Technology, in-process research and development, customer relationships, trademarks and tradenames, and non-compete agreements were recognized in conjunction with the Company’s acquisition of Pulse on June 10, 2019. Refer to Note 18— Business Acquisitions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30"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Year ending</w:t>
      </w:r>
    </w:p>
    <w:p>
      <w:pPr>
        <w:spacing w:after="0" w:line="4"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Company’s goodwill balance (in thousands):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Balance at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75437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Additions to 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25, 2020</w:t>
      </w:r>
    </w:p>
    <w:p>
      <w:pPr>
        <w:spacing w:after="0" w:line="20" w:lineRule="exact"/>
        <w:rPr>
          <w:sz w:val="20"/>
          <w:szCs w:val="20"/>
          <w:color w:val="auto"/>
        </w:rPr>
      </w:pPr>
      <w:r>
        <w:rPr>
          <w:sz w:val="20"/>
          <w:szCs w:val="20"/>
          <w:color w:val="auto"/>
        </w:rPr>
        <w:br w:type="column"/>
      </w:r>
    </w:p>
    <w:p>
      <w:pPr>
        <w:ind w:left="731" w:hanging="731"/>
        <w:spacing w:after="0"/>
        <w:tabs>
          <w:tab w:leader="none" w:pos="731" w:val="left"/>
        </w:tabs>
        <w:numPr>
          <w:ilvl w:val="0"/>
          <w:numId w:val="4"/>
        </w:numPr>
        <w:rPr>
          <w:rFonts w:ascii="Arial" w:cs="Arial" w:eastAsia="Arial" w:hAnsi="Arial"/>
          <w:sz w:val="18"/>
          <w:szCs w:val="18"/>
          <w:color w:val="auto"/>
        </w:rPr>
      </w:pPr>
      <w:r>
        <w:rPr>
          <w:rFonts w:ascii="Arial" w:cs="Arial" w:eastAsia="Arial" w:hAnsi="Arial"/>
          <w:sz w:val="18"/>
          <w:szCs w:val="18"/>
          <w:color w:val="auto"/>
        </w:rPr>
        <w:t>720</w:t>
      </w:r>
    </w:p>
    <w:p>
      <w:pPr>
        <w:spacing w:after="0" w:line="7" w:lineRule="exact"/>
        <w:rPr>
          <w:rFonts w:ascii="Arial" w:cs="Arial" w:eastAsia="Arial" w:hAnsi="Arial"/>
          <w:sz w:val="18"/>
          <w:szCs w:val="18"/>
          <w:color w:val="auto"/>
        </w:rPr>
      </w:pPr>
    </w:p>
    <w:p>
      <w:pPr>
        <w:ind w:left="591"/>
        <w:spacing w:after="0"/>
        <w:rPr>
          <w:rFonts w:ascii="Arial" w:cs="Arial" w:eastAsia="Arial" w:hAnsi="Arial"/>
          <w:sz w:val="18"/>
          <w:szCs w:val="18"/>
          <w:color w:val="auto"/>
        </w:rPr>
      </w:pPr>
      <w:r>
        <w:rPr>
          <w:rFonts w:ascii="Arial" w:cs="Arial" w:eastAsia="Arial" w:hAnsi="Arial"/>
          <w:sz w:val="18"/>
          <w:szCs w:val="18"/>
          <w:color w:val="auto"/>
        </w:rPr>
        <w:t>2,792</w:t>
      </w:r>
    </w:p>
    <w:p>
      <w:pPr>
        <w:spacing w:after="0" w:line="9" w:lineRule="exact"/>
        <w:rPr>
          <w:rFonts w:ascii="Arial" w:cs="Arial" w:eastAsia="Arial" w:hAnsi="Arial"/>
          <w:sz w:val="18"/>
          <w:szCs w:val="18"/>
          <w:color w:val="auto"/>
        </w:rPr>
      </w:pPr>
    </w:p>
    <w:p>
      <w:pPr>
        <w:ind w:left="591"/>
        <w:spacing w:after="0"/>
        <w:rPr>
          <w:rFonts w:ascii="Arial" w:cs="Arial" w:eastAsia="Arial" w:hAnsi="Arial"/>
          <w:sz w:val="18"/>
          <w:szCs w:val="18"/>
          <w:color w:val="auto"/>
        </w:rPr>
      </w:pPr>
      <w:r>
        <w:rPr>
          <w:rFonts w:ascii="Arial" w:cs="Arial" w:eastAsia="Arial" w:hAnsi="Arial"/>
          <w:sz w:val="18"/>
          <w:szCs w:val="18"/>
          <w:color w:val="auto"/>
        </w:rPr>
        <w:t>2,829</w:t>
      </w:r>
    </w:p>
    <w:p>
      <w:pPr>
        <w:spacing w:after="0" w:line="9" w:lineRule="exact"/>
        <w:rPr>
          <w:rFonts w:ascii="Arial" w:cs="Arial" w:eastAsia="Arial" w:hAnsi="Arial"/>
          <w:sz w:val="18"/>
          <w:szCs w:val="18"/>
          <w:color w:val="auto"/>
        </w:rPr>
      </w:pPr>
    </w:p>
    <w:p>
      <w:pPr>
        <w:ind w:left="591"/>
        <w:spacing w:after="0"/>
        <w:rPr>
          <w:rFonts w:ascii="Arial" w:cs="Arial" w:eastAsia="Arial" w:hAnsi="Arial"/>
          <w:sz w:val="18"/>
          <w:szCs w:val="18"/>
          <w:color w:val="auto"/>
        </w:rPr>
      </w:pPr>
      <w:r>
        <w:rPr>
          <w:rFonts w:ascii="Arial" w:cs="Arial" w:eastAsia="Arial" w:hAnsi="Arial"/>
          <w:sz w:val="18"/>
          <w:szCs w:val="18"/>
          <w:color w:val="auto"/>
        </w:rPr>
        <w:t>2,688</w:t>
      </w:r>
    </w:p>
    <w:p>
      <w:pPr>
        <w:spacing w:after="0" w:line="9" w:lineRule="exact"/>
        <w:rPr>
          <w:rFonts w:ascii="Arial" w:cs="Arial" w:eastAsia="Arial" w:hAnsi="Arial"/>
          <w:sz w:val="18"/>
          <w:szCs w:val="18"/>
          <w:color w:val="auto"/>
        </w:rPr>
      </w:pPr>
    </w:p>
    <w:p>
      <w:pPr>
        <w:ind w:left="591"/>
        <w:spacing w:after="0"/>
        <w:rPr>
          <w:rFonts w:ascii="Arial" w:cs="Arial" w:eastAsia="Arial" w:hAnsi="Arial"/>
          <w:sz w:val="18"/>
          <w:szCs w:val="18"/>
          <w:color w:val="auto"/>
        </w:rPr>
      </w:pPr>
      <w:r>
        <w:rPr>
          <w:rFonts w:ascii="Arial" w:cs="Arial" w:eastAsia="Arial" w:hAnsi="Arial"/>
          <w:sz w:val="18"/>
          <w:szCs w:val="18"/>
          <w:color w:val="auto"/>
        </w:rPr>
        <w:t>2,629</w:t>
      </w:r>
    </w:p>
    <w:p>
      <w:pPr>
        <w:spacing w:after="0" w:line="9" w:lineRule="exact"/>
        <w:rPr>
          <w:sz w:val="20"/>
          <w:szCs w:val="20"/>
          <w:color w:val="auto"/>
        </w:rPr>
      </w:pPr>
    </w:p>
    <w:p>
      <w:pPr>
        <w:ind w:left="511" w:hanging="511"/>
        <w:spacing w:after="0"/>
        <w:tabs>
          <w:tab w:leader="none" w:pos="511" w:val="left"/>
        </w:tabs>
        <w:numPr>
          <w:ilvl w:val="0"/>
          <w:numId w:val="5"/>
        </w:numPr>
        <w:rPr>
          <w:rFonts w:ascii="Arial" w:cs="Arial" w:eastAsia="Arial" w:hAnsi="Arial"/>
          <w:sz w:val="18"/>
          <w:szCs w:val="18"/>
          <w:color w:val="auto"/>
        </w:rPr>
      </w:pPr>
      <w:r>
        <w:rPr>
          <w:rFonts w:ascii="Arial" w:cs="Arial" w:eastAsia="Arial" w:hAnsi="Arial"/>
          <w:sz w:val="18"/>
          <w:szCs w:val="18"/>
          <w:color w:val="auto"/>
        </w:rPr>
        <w:t>11,658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668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668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wp:posOffset>
            </wp:positionV>
            <wp:extent cx="668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71" w:hanging="747"/>
        <w:spacing w:after="0"/>
        <w:tabs>
          <w:tab w:leader="none" w:pos="1071"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11"/>
        <w:spacing w:after="0"/>
        <w:rPr>
          <w:rFonts w:ascii="Arial" w:cs="Arial" w:eastAsia="Arial" w:hAnsi="Arial"/>
          <w:sz w:val="18"/>
          <w:szCs w:val="18"/>
          <w:color w:val="auto"/>
        </w:rPr>
      </w:pPr>
      <w:r>
        <w:rPr>
          <w:rFonts w:ascii="Arial" w:cs="Arial" w:eastAsia="Arial" w:hAnsi="Arial"/>
          <w:sz w:val="16"/>
          <w:szCs w:val="16"/>
          <w:color w:val="auto"/>
        </w:rPr>
        <w:t>6,340</w:t>
      </w:r>
    </w:p>
    <w:p>
      <w:pPr>
        <w:spacing w:after="0" w:line="32" w:lineRule="exact"/>
        <w:rPr>
          <w:rFonts w:ascii="Arial" w:cs="Arial" w:eastAsia="Arial" w:hAnsi="Arial"/>
          <w:sz w:val="18"/>
          <w:szCs w:val="18"/>
          <w:color w:val="auto"/>
        </w:rPr>
      </w:pPr>
    </w:p>
    <w:p>
      <w:pPr>
        <w:ind w:left="107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711" w:hanging="387"/>
        <w:spacing w:after="0"/>
        <w:tabs>
          <w:tab w:leader="none" w:pos="711" w:val="left"/>
        </w:tabs>
        <w:numPr>
          <w:ilvl w:val="0"/>
          <w:numId w:val="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6,340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46355</wp:posOffset>
            </wp:positionV>
            <wp:extent cx="5403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206375</wp:posOffset>
            </wp:positionH>
            <wp:positionV relativeFrom="paragraph">
              <wp:posOffset>-116205</wp:posOffset>
            </wp:positionV>
            <wp:extent cx="5403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169" w:space="720"/>
            <w:col w:w="1171"/>
          </w:cols>
          <w:pgMar w:left="1420" w:top="517" w:right="1419" w:bottom="1440" w:gutter="0" w:footer="0" w:header="0"/>
          <w:type w:val="continuous"/>
        </w:sectPr>
      </w:pPr>
    </w:p>
    <w:p>
      <w:pPr>
        <w:spacing w:after="0" w:line="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increase of goodwill is attributable to the acquisition of Pulse. Refer to Note 18—Business Acquisitions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Company leases certain buildings, land and equipment. Under the New Lease Standard, at contract inception the Company determines whether the contract is, or contains, a lease and whether the lease should be classified as an</w:t>
      </w:r>
    </w:p>
    <w:p>
      <w:pPr>
        <w:sectPr>
          <w:pgSz w:w="11900" w:h="16838" w:orient="portrait"/>
          <w:cols w:equalWidth="0" w:num="1">
            <w:col w:w="9060"/>
          </w:cols>
          <w:pgMar w:left="1420" w:top="517" w:right="1419" w:bottom="1440" w:gutter="0" w:footer="0" w:header="0"/>
          <w:type w:val="continuous"/>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or a financing lease. Operating leases are recorded in operating lease right-of-use assets, current operating lease liabilities and non-current operating lease liabilities.</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None of the Company’s options to extend or terminate are reasonably certain of being exercised, and are therefore not included in the Company’s determination of lease assets and liabilities. For operating leases, the Company recognizes lease expense for these leases on a straight-line basis over the lease term.</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Company does not have any finance leases. The Company does not have any material restrictions or covenants in its lease agreements, sale-leaseback transactions, land easements or residual value guarantees.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components of lease costs recorded in cost of sales for product sales and contract services and selling, general and administrative (“SG&amp;A”) expense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January 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Short term lease cost</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9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9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January 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1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14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14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648"/>
        </w:trPr>
        <w:tc>
          <w:tcPr>
            <w:tcW w:w="6720" w:type="dxa"/>
            <w:vAlign w:val="bottom"/>
            <w:gridSpan w:val="2"/>
          </w:tcPr>
          <w:p>
            <w:pPr>
              <w:jc w:val="right"/>
              <w:ind w:right="2010"/>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w w:val="99"/>
              </w:rPr>
              <w:t>Maturities of operating lease liabilities as of January 25, 2020 were as follows (in thousands):</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Maturities of operating lease liabilities as of April 30, 2019 were as follows:</w:t>
            </w: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36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and Reclassifications Adjustments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and adjustments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Accumulated Other</w:t>
            </w:r>
          </w:p>
        </w:tc>
      </w:tr>
      <w:tr>
        <w:trPr>
          <w:trHeight w:val="171"/>
        </w:trPr>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net of $0 deferred taxes, as of April 30, 2019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Reclassifications out of accumulated other comprehensive income, net of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 net of $0 taxes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r>
      <w:tr>
        <w:trPr>
          <w:trHeight w:val="210"/>
        </w:trPr>
        <w:tc>
          <w:tcPr>
            <w:tcW w:w="7260" w:type="dxa"/>
            <w:vAlign w:val="bottom"/>
          </w:tcPr>
          <w:p>
            <w:pPr>
              <w:spacing w:after="0"/>
              <w:rPr>
                <w:sz w:val="20"/>
                <w:szCs w:val="20"/>
                <w:color w:val="auto"/>
              </w:rPr>
            </w:pPr>
            <w:r>
              <w:rPr>
                <w:rFonts w:ascii="Arial" w:cs="Arial" w:eastAsia="Arial" w:hAnsi="Arial"/>
                <w:sz w:val="18"/>
                <w:szCs w:val="18"/>
                <w:color w:val="auto"/>
              </w:rPr>
              <w:t>Balance, net of $0 deferred taxes, as of January 25, 2020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Customer-Funded Research &amp; Development</w:t>
      </w:r>
    </w:p>
    <w:p>
      <w:pPr>
        <w:spacing w:after="0" w:line="2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are recognized in accordance with Topic 606 over time as costs are incurred. Revenue from customer-funded R&amp;D was approximately $17,939,000 and $50,565,000 for the three and nine months ended January 25, 2020, respectively. Revenue from customer-funded R&amp;D was approximately $19,437,000 and $55,344,000 for the three and nine months ended January 26, 2019,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Incentive Awards</w:t>
      </w:r>
    </w:p>
    <w:p>
      <w:pPr>
        <w:spacing w:after="0" w:line="2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three months ended July 27, 2019, the Company granted awards under its amended and restated 2006 Equity Incentive Plan (the “Restated 2006 Plan”) to key employees (“Fiscal 2020 LTIP”). Awards under the Fiscal 2020 LTIP consist of: (i) time-based restricted stock awards, which vest in equal tranches in July 2020, July 2021 and July 2022, and (ii) performance-based restricted stock units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nine months ended January 25, 2020, the Company recorded $215,000 and $512,000 of compensation expense related to the Fiscal 2020 LTIP. At January 25, 2020, the maximum compensation expense that may be recorded for the performance-based portion of the Fiscal 2020 LTIP is $4,263,000.</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three months ended July 28, 2018, the Company also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nine months ended January 25, 2020, the Company recorded $246,000 and $294,000 of compensation expense related to the Fiscal 2019 LTIP, respectively. For the three and nine months ended January 26, 2019, the Company recorded $226,000 and $482,000 of compensation expense related to the Fiscal 2019 LTIP, respectively. At January 25, 2020, the maximum compensation expense that may be recorded for the performance-based portion of the Fiscal 2019 LTIP is $2,478,000.</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three months ended July 29, 2017, the Company also granted awards under the Restated 2006 Plan to key employees (“Fiscal 2018 LTIP”). Awards under the Fiscal 2018 LTIP consist of: (i) time-based restricted stock awards, which vest in equal tranches in July 2018, July 2019 and July 2020, and (ii)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nine months ended January 25, 2020, the Company recorded $201,000 and $162,000 of compensation expense related to the Fiscal 2018 LTIP, respectively. For the three and nine months ended January 26, 2019, the Company recorded $317,000 and $653,000 of compensation expense related to the Fiscal 2018 LTIP, respectively. At January 25, 2020, the maximum compensation expense that may be recorded for the performance-based portion of the Fiscal 2018 LTIP is $1,850,000.</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months ended July 29, 2017, the Company also granted awards under the Restated 2006 Plan to key employees (“Fiscal 2017 LTIP”). Awards under the Fiscal 2017 LTIP consist of: (i) time-based restricted stock awards, which vested in equal tranches in July 2017, July 2018 and July 2019, and (ii) PRSUs, which vested based on the Company’s achievement of revenue and operating income targets for the three-year period ending April 30, 2019. During the three months ended July 27, 2019, the Company issued a total of 14,814 fully-vested shares of common stock to settle the PRSUs in the Fiscal 2017 LTIP. No compensation expense was recorded during the three and nine months ended January 25, 2020 for the Fiscal 2017 LTIP.</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At January 25, 2020 and April 30, 2019, the Company recorded cumulative stock-based compensation expense from the Fiscal 2020 LTIP, Fiscal 2019 LTIP and Fiscal 2018 LTIP of $2,397,000 and $1,429,000, respectively. 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1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the three and nine months ended January 25, 2020, the Company recorded a (benefit from) provision for income taxes of $(38,000) and $3,203,000, respectively, yielding an effective tax rate of (28.4)% and 10.6%, respectively. For the three and nine months ended January 26, 2019, the Company recorded a provision for income taxes of $946,000 and $4,724,000, respectively, yielding effective tax rates of 9.4% and 11.1%, respectively. The variance from statutory rates for the three and nine months ended January 25, 2020 was primarily due to federal R&amp;D credits, foreign derived intangible income deductions and the recording of discrete excess tax benefits resulting from the vesting of restricted stock awards and exercises of stock options. The variance from statutory rates for the three and nine months ended January 26, 2019 was primarily due to federal R&amp;D credits and the recording of discrete excess tax benefits resulting from the vesting of restricted stock awards and exercises of stock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Repurchase</w:t>
      </w:r>
    </w:p>
    <w:p>
      <w:pPr>
        <w:spacing w:after="0" w:line="2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September 2015, the Company’s Board of Directors authorized a program to repurchase up to $25,000,000 of the Company’s common stock with no specified termination date for the program. No shares were repurchased under the program during the three and nine months ended January 25, 2020 or January 26, 2019. As of January 25, 2020 and April 30, 2019, approximately $21,200,000 remained authorized for future repurchases under this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 HAPSMobile, the Company executed a Design and Development Agreement (the “DDA”) with HAPSMobile. Under the DDA and related efforts, the Company will use its best efforts, up to a maximum net value of $148,576,000, to design and build prototype solar powered high altitude aircraft and ground control stations for HAPSMobile and conduct low altitude and high altitude flight tests of the prototype aircraft.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revenue under the DDA and preliminary design agreements between the Company and SoftBank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$11,762,000 and $37,491,000 for the three and nine months ended January 25, 2020, respectively.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 under the DDA and preliminary design agreements between the Company and SoftBank of $13,586,000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$37,981,000 for the three and nine months ended January 26, 2019, respectively. At January 25, 2020 and April 30, 2019,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had unbilled related party receivables from HAPSMobile of $28,849,000 and $9,028,000 recorded in unbilled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receivables and retentions on the consolidated balance sheets, respectively. During the year ended April 30, 2019,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owned a 10% stake in accordance with the Joint Venture Agreement which was diluted to approximately 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three months ended July 27, 2019. On December 4, 2019, the Company purchased 540,050,000 yen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($4,982,000) of additional shares of HAPSMobile to increase its ownership stake to approximately 7%. Refer to Note 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Equity Method Investments for further details.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Legal Settlements</w:t>
      </w:r>
    </w:p>
    <w:p>
      <w:pPr>
        <w:spacing w:after="0" w:line="229" w:lineRule="exact"/>
        <w:rPr>
          <w:sz w:val="20"/>
          <w:szCs w:val="20"/>
          <w:color w:val="auto"/>
        </w:rPr>
      </w:pPr>
    </w:p>
    <w:p>
      <w:pPr>
        <w:ind w:right="219"/>
        <w:spacing w:after="0" w:line="279" w:lineRule="auto"/>
        <w:rPr>
          <w:sz w:val="20"/>
          <w:szCs w:val="20"/>
          <w:color w:val="auto"/>
        </w:rPr>
      </w:pPr>
      <w:r>
        <w:rPr>
          <w:rFonts w:ascii="Arial" w:cs="Arial" w:eastAsia="Arial" w:hAnsi="Arial"/>
          <w:sz w:val="17"/>
          <w:szCs w:val="17"/>
          <w:color w:val="auto"/>
        </w:rPr>
        <w:t>In May 2018, the Company entered into a settlement agreement to dismiss its claims against MicaSense Inc. and former AeroVironment employees, Gabriel Torres, Justin McAllister, and Jeff McBride. The terms and amount of the settlement agreement are confidential. The proceeds of the settlement were received during the three months ended July 28, 2018 and have been recorded in other income, net on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Acquisitions</w:t>
      </w:r>
    </w:p>
    <w:p>
      <w:pPr>
        <w:spacing w:after="0" w:line="229" w:lineRule="exact"/>
        <w:rPr>
          <w:sz w:val="20"/>
          <w:szCs w:val="20"/>
          <w:color w:val="auto"/>
        </w:rPr>
      </w:pPr>
    </w:p>
    <w:p>
      <w:pPr>
        <w:ind w:right="99"/>
        <w:spacing w:after="0" w:line="259" w:lineRule="auto"/>
        <w:rPr>
          <w:sz w:val="20"/>
          <w:szCs w:val="20"/>
          <w:color w:val="auto"/>
        </w:rPr>
      </w:pPr>
      <w:r>
        <w:rPr>
          <w:rFonts w:ascii="Arial" w:cs="Arial" w:eastAsia="Arial" w:hAnsi="Arial"/>
          <w:sz w:val="18"/>
          <w:szCs w:val="18"/>
          <w:color w:val="auto"/>
        </w:rPr>
        <w:t>On June 10, 2019, the Company purchased 100% of the issued and outstanding member units of Pulse pursuant to the terms of the Pulse Purchase Agreement. The Company’s acquisition of Pulse’s helicopter UAS product family strengthens AeroVironment’s leading family of fixed-wing small unmanned aircraft systems and increases the mission capabilities of AeroVironment’s family of systems.</w:t>
      </w:r>
    </w:p>
    <w:p>
      <w:pPr>
        <w:spacing w:after="0" w:line="187" w:lineRule="exact"/>
        <w:rPr>
          <w:sz w:val="20"/>
          <w:szCs w:val="20"/>
          <w:color w:val="auto"/>
        </w:rPr>
      </w:pPr>
    </w:p>
    <w:p>
      <w:pPr>
        <w:ind w:right="79"/>
        <w:spacing w:after="0" w:line="255" w:lineRule="auto"/>
        <w:rPr>
          <w:sz w:val="20"/>
          <w:szCs w:val="20"/>
          <w:color w:val="auto"/>
        </w:rPr>
      </w:pPr>
      <w:r>
        <w:rPr>
          <w:rFonts w:ascii="Arial" w:cs="Arial" w:eastAsia="Arial" w:hAnsi="Arial"/>
          <w:sz w:val="18"/>
          <w:szCs w:val="18"/>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less any amounts paid or reserved, 18 months after the closing of the transactions in accordance with the terms of the Pulse Purchase Agreement. The closing cash consideration included the payoff of the outstanding indebtedness of Pulse as of the closing date. The Company financed the acquisition entirely from available cash on hand.</w:t>
      </w:r>
    </w:p>
    <w:p>
      <w:pPr>
        <w:spacing w:after="0" w:line="189" w:lineRule="exact"/>
        <w:rPr>
          <w:sz w:val="20"/>
          <w:szCs w:val="20"/>
          <w:color w:val="auto"/>
        </w:rPr>
      </w:pPr>
    </w:p>
    <w:p>
      <w:pPr>
        <w:ind w:right="39"/>
        <w:spacing w:after="0" w:line="270" w:lineRule="auto"/>
        <w:rPr>
          <w:sz w:val="20"/>
          <w:szCs w:val="20"/>
          <w:color w:val="auto"/>
        </w:rPr>
      </w:pPr>
      <w:r>
        <w:rPr>
          <w:rFonts w:ascii="Arial" w:cs="Arial" w:eastAsia="Arial" w:hAnsi="Arial"/>
          <w:sz w:val="17"/>
          <w:szCs w:val="17"/>
          <w:color w:val="auto"/>
        </w:rPr>
        <w:t>In addition to the consideration paid at closing, the acquisition of Pulse includes contingent consideration arrangements that require additional consideration to be paid by the Company to the sellers of Pulse if two specified research and development milestones are achieved by December 10, 2021 and the continued employment of specified employees. Amounts are payable upon the achievement of the milestones. The range of the undiscounted amounts the Company could pay under each of the contingent consideration agreements is zero or $2,500,000 ($5,000,000 in total if both milestones are achieved and specific key employees continued employment). The fair value of the contingent consideration recognized on the acquisition date of $1,703,000 was estimated by applying the income approach. That measure is based on significant Level 3 inputs not observable in the market. Key assumptions include (1) a discount rate of 4.5% and (2) the probability that each of the milestones will be achieved.</w:t>
      </w:r>
    </w:p>
    <w:p>
      <w:pPr>
        <w:spacing w:after="0" w:line="182" w:lineRule="exact"/>
        <w:rPr>
          <w:sz w:val="20"/>
          <w:szCs w:val="20"/>
          <w:color w:val="auto"/>
        </w:rPr>
      </w:pPr>
    </w:p>
    <w:p>
      <w:pPr>
        <w:ind w:right="99"/>
        <w:spacing w:after="0" w:line="293" w:lineRule="auto"/>
        <w:rPr>
          <w:sz w:val="20"/>
          <w:szCs w:val="20"/>
          <w:color w:val="auto"/>
        </w:rPr>
      </w:pPr>
      <w:r>
        <w:rPr>
          <w:rFonts w:ascii="Arial" w:cs="Arial" w:eastAsia="Arial" w:hAnsi="Arial"/>
          <w:sz w:val="16"/>
          <w:szCs w:val="16"/>
          <w:color w:val="auto"/>
        </w:rPr>
        <w:t>As of January 25, 2020, the fair value of the contingent consideration was $2,500,000 recorded in other current liabilities on the consolidated balance sheet. During the three months ended January 25, 2020, one of the research and development milestones was achieved, and the requirements for the payout of remaining contingent consideration were concluded to not have been met. As a result, the Company recorded a gain of $832,000 which was recorded in selling, general, and administrative expense in the consolidated statements of operations. On February 26, 2020, $2,500,000 of contingent consideration was paid to the sellers for the achieved milestone, and the remaining $2,500,000 is no longer restricted.</w:t>
      </w:r>
    </w:p>
    <w:p>
      <w:pPr>
        <w:spacing w:after="0" w:line="165"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color w:val="auto"/>
        </w:rPr>
        <w:t>The following table summarizes the provisional allocation of the purchase price over the estimated fair value of the assets and liabilities assumed in the acquisition of Pulse (in thousands):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 of liabilities assumed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identified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Retention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3"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goodwill is attributable to the synergies the Company expects to achieve through leveraging the acquired technology to its existing customers, the workforce of Pulse and expected future customers in the helicopter UAS market. For tax purposes the acquisition was treated as an asset purchase and the goodwill is deductible ratably over a period of fifteen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Pulse revenue for the three and nine months ended January 25, 2020 since acquisition on June 10, 2019 were $2,229,000 and $2,901,000, respectively. Other than the aforementioned revenue and intangible asset amortization expense of $671,000 and $1,790,000 for the three and nine months ended January 25, 2020 since acquisition on June 10, 2019, the Pulse financial results were not significant. The following unaudited pro forma summary presents consolidated information of the Company as if the business acquisition had occurred on May 1, 2018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r>
      <w:tr>
        <w:trPr>
          <w:trHeight w:val="211"/>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January 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3"/>
              </w:rPr>
              <w:t>January 26,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4"/>
                <w:szCs w:val="14"/>
                <w:b w:val="1"/>
                <w:bCs w:val="1"/>
                <w:color w:val="auto"/>
                <w:w w:val="95"/>
              </w:rPr>
              <w:t>January 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26,</w:t>
            </w:r>
          </w:p>
        </w:tc>
      </w:tr>
      <w:tr>
        <w:trPr>
          <w:trHeight w:val="201"/>
        </w:trPr>
        <w:tc>
          <w:tcPr>
            <w:tcW w:w="37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228,533</w:t>
            </w:r>
          </w:p>
        </w:tc>
        <w:tc>
          <w:tcPr>
            <w:tcW w:w="140" w:type="dxa"/>
            <w:vAlign w:val="bottom"/>
            <w:shd w:val="clear" w:color="auto" w:fill="CCEEFF"/>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w w:val="98"/>
              </w:rPr>
              <w:t>Net (loss) income attributable to AeroVironment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7,244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38,471</w:t>
            </w:r>
          </w:p>
        </w:tc>
        <w:tc>
          <w:tcPr>
            <w:tcW w:w="140" w:type="dxa"/>
            <w:vAlign w:val="bottom"/>
          </w:tcPr>
          <w:p>
            <w:pPr>
              <w:spacing w:after="0"/>
              <w:rPr>
                <w:sz w:val="20"/>
                <w:szCs w:val="20"/>
                <w:color w:val="auto"/>
              </w:rPr>
            </w:pPr>
          </w:p>
        </w:tc>
      </w:tr>
      <w:tr>
        <w:trPr>
          <w:trHeight w:val="634"/>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219"/>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61"/>
        </w:trPr>
        <w:tc>
          <w:tcPr>
            <w:tcW w:w="3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5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right="13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28, 2018, reflecting the additional amortization that would have been charged assuming the fair value adjustments to intangible assets had been applied from May 1, 2018 with the consequential tax effects, and including the results of Pulse prior to acquisition.</w:t>
      </w:r>
    </w:p>
    <w:p>
      <w:pPr>
        <w:spacing w:after="0" w:line="171" w:lineRule="exact"/>
        <w:rPr>
          <w:sz w:val="20"/>
          <w:szCs w:val="20"/>
          <w:color w:val="auto"/>
        </w:rPr>
      </w:pPr>
    </w:p>
    <w:p>
      <w:pPr>
        <w:ind w:right="539"/>
        <w:spacing w:after="0" w:line="286" w:lineRule="auto"/>
        <w:rPr>
          <w:sz w:val="20"/>
          <w:szCs w:val="20"/>
          <w:color w:val="auto"/>
        </w:rPr>
      </w:pPr>
      <w:r>
        <w:rPr>
          <w:rFonts w:ascii="Arial" w:cs="Arial" w:eastAsia="Arial" w:hAnsi="Arial"/>
          <w:sz w:val="17"/>
          <w:szCs w:val="17"/>
          <w:color w:val="auto"/>
        </w:rPr>
        <w:t>The Company incurred approximately $344,000 and $1,036,000 of acquisition-related expenses for the three and nine months ended January 25, 2020. These expenses are included in selling, general and administrative, research and development, and product cost of sales on the Company’s consolidated income statement.</w:t>
      </w:r>
    </w:p>
    <w:p>
      <w:pPr>
        <w:spacing w:after="0" w:line="166" w:lineRule="exact"/>
        <w:rPr>
          <w:sz w:val="20"/>
          <w:szCs w:val="20"/>
          <w:color w:val="auto"/>
        </w:rPr>
      </w:pPr>
    </w:p>
    <w:p>
      <w:pPr>
        <w:jc w:val="both"/>
        <w:ind w:right="99"/>
        <w:spacing w:after="0" w:line="312"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2018, nor are they indicative of results of operations that may occur in the future.</w:t>
      </w:r>
    </w:p>
    <w:p>
      <w:pPr>
        <w:spacing w:after="0" w:line="143" w:lineRule="exact"/>
        <w:rPr>
          <w:sz w:val="20"/>
          <w:szCs w:val="20"/>
          <w:color w:val="auto"/>
        </w:rPr>
      </w:pPr>
    </w:p>
    <w:p>
      <w:pPr>
        <w:jc w:val="both"/>
        <w:ind w:left="860" w:right="99" w:hanging="850"/>
        <w:spacing w:after="0" w:line="282" w:lineRule="auto"/>
        <w:tabs>
          <w:tab w:leader="none" w:pos="84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right="39"/>
        <w:spacing w:after="0" w:line="269" w:lineRule="auto"/>
        <w:rPr>
          <w:sz w:val="20"/>
          <w:szCs w:val="20"/>
          <w:color w:val="auto"/>
        </w:rPr>
      </w:pPr>
      <w:r>
        <w:rPr>
          <w:rFonts w:ascii="Arial" w:cs="Arial" w:eastAsia="Arial" w:hAnsi="Arial"/>
          <w:sz w:val="17"/>
          <w:szCs w:val="17"/>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2019, as updated by our subsequent filings under the Securities and Exchange Act of 1934, as amended (“the Exchange Act”).</w:t>
      </w:r>
    </w:p>
    <w:p>
      <w:pPr>
        <w:spacing w:after="0" w:line="180"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579"/>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16"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color w:val="auto"/>
        </w:rPr>
        <w:t>Our investments are accounted for as held-to-maturity reported at amortized cost, available-for-sale reported at cost less impairment, and available-for-sale reported at fair value, which approximates book value. We have elected to measure available-for-sale investments that do not have readily determinable fair values at cost minus impairment, if any, plus or minus changes resulting from observable price changes in orderly transactions for the identical or a similar investment of the same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339"/>
        <w:spacing w:after="0" w:line="342" w:lineRule="auto"/>
        <w:rPr>
          <w:sz w:val="20"/>
          <w:szCs w:val="20"/>
          <w:color w:val="auto"/>
        </w:rPr>
      </w:pPr>
      <w:r>
        <w:rPr>
          <w:rFonts w:ascii="Arial" w:cs="Arial" w:eastAsia="Arial" w:hAnsi="Arial"/>
          <w:sz w:val="16"/>
          <w:szCs w:val="16"/>
          <w:color w:val="auto"/>
        </w:rPr>
        <w:t>Goodwill represents the excess of the cost of an acquired entity over the fair value of the acquired net assets. Goodwill is tested for impairment annually during the fourth quarter of our fiscal year or when events or circumstances change in a</w:t>
      </w:r>
    </w:p>
    <w:p>
      <w:pPr>
        <w:sectPr>
          <w:pgSz w:w="11900" w:h="16838" w:orient="portrait"/>
          <w:cols w:equalWidth="0" w:num="1">
            <w:col w:w="9039"/>
          </w:cols>
          <w:pgMar w:left="1420" w:top="517" w:right="1440" w:bottom="144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manner that indicates goodwill might be impaired. Events or circumstances that could trigger an impairment review include, but are not limited to, a significant adverse change in legal factors or in the business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expected historical or projected future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 Acquired in Business Combinations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technology, in-process research and development, customer relationships, trademarks and tradenames, and non-compete agreements.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are consumed.</w:t>
      </w:r>
    </w:p>
    <w:p>
      <w:pPr>
        <w:spacing w:after="0" w:line="1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impairment of long-lived assets, intangible assets acquired,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the first quarter of our fiscal 2019,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 Topic 606 requires revenue to be recognized when promised goods or services are transferred to customers in amounts that reflect the consideration to which we expect to be entitled in exchange for those goods or services.</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Revenue for small unmanned aircraft systems (“UAS”) product contracts with both the U.S. government and foreign governments under the new standard revenue are recognized at the point in time when the transfer of control passes to the customer, which is generally when title and risk of loss transfer. Revenue for Tactical Missile Systems (“TMS”) contracts is now recognized under the new standard over time as costs are incurred. Under previous U.S. generally accepted accounting principles (“U.S. GAAP”), revenue was generally recognized when deliveries of the related products were made. The new standard accelerates the timing of when the revenue is recognized, however, it does not change the total amount of revenue recognized on these contracts. The new standard does not affect revenue recognition for our Customer-Funded Research and Development (“R&amp;D”) contracts. We continue to recognize revenue for these contracts over time as costs are incurred.</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and nine months ended January 25, 2020 and January 26, 2019, changes in accounting estimates on contracts recognized over time are presented below.</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the three months ended January 25, 2020 and January 26, 2019, favorable and unfavorable cumulative catch-up adjustments included in revenue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5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January 25,</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January 26,</w:t>
            </w:r>
          </w:p>
        </w:tc>
        <w:tc>
          <w:tcPr>
            <w:tcW w:w="120" w:type="dxa"/>
            <w:vAlign w:val="bottom"/>
          </w:tcPr>
          <w:p>
            <w:pPr>
              <w:spacing w:after="0"/>
              <w:rPr>
                <w:sz w:val="10"/>
                <w:szCs w:val="10"/>
                <w:color w:val="auto"/>
              </w:rPr>
            </w:pPr>
          </w:p>
        </w:tc>
      </w:tr>
      <w:tr>
        <w:trPr>
          <w:trHeight w:val="171"/>
        </w:trPr>
        <w:tc>
          <w:tcPr>
            <w:tcW w:w="4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10"/>
        </w:trPr>
        <w:tc>
          <w:tcPr>
            <w:tcW w:w="4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(2,583)</w:t>
            </w:r>
          </w:p>
        </w:tc>
      </w:tr>
      <w:tr>
        <w:trPr>
          <w:trHeight w:val="210"/>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January 25, 2020, favorable cumulative catch-up adjustments of $1.4 million were primarily due to final cost adjustments on seven contracts, which individually were not material. For the same period, unfavorable cumulative catch-up adjustments of $0.2 million were primarily related to higher than expected costs on 13 contracts, which individually were not material.</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For the three months ended January 26, 2019, favorable cumulative catch-up adjustments of $0.9 million were primarily due to final cost adjustments on five contracts, which individually were not material. For the same period, unfavorable cumulative catch-up adjustments of $2.6 million were primarily related to higher than expected costs on nine contracts. For the three months ended January 26, 2019, we revised our estimates of the total expected costs to complete a TMS contract due to ongoing test and evaluation resulting from some systems not passing the customer’s final lot acceptance tests which we anticipate to be resolved in a future period. These revised estimates resulted in an unfavorable cumulative catch-up adjustment of approximately $1.5 million.</w:t>
      </w:r>
    </w:p>
    <w:p>
      <w:pPr>
        <w:spacing w:after="0" w:line="17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the nine months ended January 25, 2020 and January 26, 2019, favorable and unfavorable cumulative catch-up adjustments included in cost of sales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January 25,</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rPr>
              <w:t>January 26,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nine months ended January 25, 2020, favorable cumulative catch-up adjustments of $1.9 million were primarily due to final cost adjustments on 17 contracts. The Company revised its estimates of the total expected costs to complete a contract associated with a design and development agreement, which had a favorable impact of $1.0 million. For the same period, unfavorable cumulative catch-up adjustments of $0.7 million were primarily related to higher than expected costs on 16 contracts, which individually were not material.</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nine months ended January 26, 2019, favorable cumulative catch-up adjustments of $0.9 million were primarily due to final cost adjustments on five contracts, which individually were not material. For the same period, unfavorable cumulative catch-up adjustments of $1.1 million were primarily related to higher than expected costs on 12 contracts, which individually were not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2020 fiscal year ends on April 30, 2020 and our fiscal quarters end on July 27, 2019, October 26, 2019 and January 25, 2020, respectively.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 for the period indicated (in thousands):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January 25, 2020 Compared to Three Months Ended January 26,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January 25,</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January 26,</w:t>
            </w:r>
          </w:p>
        </w:tc>
        <w:tc>
          <w:tcPr>
            <w:tcW w:w="120" w:type="dxa"/>
            <w:vAlign w:val="bottom"/>
          </w:tcPr>
          <w:p>
            <w:pPr>
              <w:spacing w:after="0"/>
              <w:rPr>
                <w:sz w:val="10"/>
                <w:szCs w:val="10"/>
                <w:color w:val="auto"/>
              </w:rPr>
            </w:pPr>
          </w:p>
        </w:tc>
      </w:tr>
      <w:tr>
        <w:trPr>
          <w:trHeight w:val="171"/>
        </w:trPr>
        <w:tc>
          <w:tcPr>
            <w:tcW w:w="544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Revenue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61,891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75,322</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44,930</w:t>
            </w:r>
          </w:p>
        </w:tc>
        <w:tc>
          <w:tcPr>
            <w:tcW w:w="12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Gross margin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30,392</w:t>
            </w: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w:t>
            </w:r>
          </w:p>
        </w:tc>
        <w:tc>
          <w:tcPr>
            <w:tcW w:w="12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income: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120" w:type="dxa"/>
            <w:vAlign w:val="bottom"/>
            <w:shd w:val="clear" w:color="auto" w:fill="CCEEFF"/>
          </w:tcPr>
          <w:p>
            <w:pPr>
              <w:spacing w:after="0"/>
              <w:rPr>
                <w:sz w:val="18"/>
                <w:szCs w:val="18"/>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loss, net of tax</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w:t>
            </w: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Net (loss) income from continuing operations</w:t>
            </w:r>
          </w:p>
        </w:tc>
        <w:tc>
          <w:tcPr>
            <w:tcW w:w="1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12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three months ended January 25, 2020 was $61.9 million, as compared to $75.3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January 26, 2019, representing a decrease of $13.4 million, or 18%. The decrease in revenue was primarily due to a decrease in product deliveries of $13.6 million. The decrease in product deliveries was primarily due to a decrease in product deliveries of small UAS and TMS.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three months ended January 25, 2020 was $38.4 million, as compared to $44.9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January 26, 2019, representing a decrease of $6.5 million, or 15%. The decrease in cost of sales was a result of a decrease in product costs of sales of $5.7 million and a decrease in service cost of sales of $0.8 million. The decrease in product costs of sales was primarily due to a decrease in product deliveries. The decrease in service cost of sales was primarily due to a favorable mix. As a percentage of revenue, cost of sales increased from 60% to 62%, primarily due to an increase in intangible asset amortization expense associated with our acquisition of Pulse Aerospace in June 2019 and a decrease in the proportion of product revenue to total revenue, partially offset by a decrease in reserves for excess and obsolescence inventory.</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Gross margin for the three months ended January 25, 2020 was $23.5 million, as compared to $30.4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three months ended January 26, 2019, representing a decrease of $6.9 million, or 23%. The decrease in gross margin was primarily due to a decrease in product margin of $7.8 million, partially offset by an increase in service margin of $1.0 million. The decrease in product margin was primarily due to a decrease in product deliveries. The increase in service margin was primarily due to a favorable mix. As a percentage of revenue, gross margin decreased from 40% to 38%, primarily due to an increase in intangible asset amortization expense associated with our acquisition of Pulse Aerospace in June 2019 and a decrease in the proportion of product revenue to total revenue, partially offset by a decrease in reserves for excess and obsolescence inventory.</w:t>
      </w:r>
    </w:p>
    <w:p>
      <w:pPr>
        <w:spacing w:after="0" w:line="17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(“SG&amp;A”) expense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25, 2020 was $13.2 million, or 21% of revenue, compared to SG&amp;A expense of $14.5 million, or 19% of revenue, for the three months ended January 26, 2019. The decrease in SG&amp;A expense was primarily due to a gain recorded for the unearned contingent consideration of the Pulse acquisition.</w:t>
      </w:r>
    </w:p>
    <w:p>
      <w:pPr>
        <w:spacing w:after="0" w:line="184"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R&amp;D expense for the three months ended January 25, 2020 was $11.4 million, or 18%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compared to R&amp;D expense of $8.1 million, or 11% of revenue, for the three months ended January 26, 2019.</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R&amp;D expense increased by $3.3 million, or 41%, for the three months ended January 25, 2020, primarily due to an increase in development activities for certain strategic initiatives.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January 25, 2020 was $1.1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$1.3 million for the three months ended January 26, 2019. The decrease in interest income was primarily due to a decrease in the interest rates earned on our investment portfolio.</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three months ended January 25, 2020 was $0.1 million compared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$1.0 million for the three months ended January 26, 2019. The decrease in other income, net was primarily due to a decrease in transition services performed on behalf of the buyer of the discontinued Efficient Energy Systems (“EES”) business.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(Benefit from) Provision for Income Taxes. </w:t>
      </w:r>
      <w:r>
        <w:rPr>
          <w:rFonts w:ascii="Arial" w:cs="Arial" w:eastAsia="Arial" w:hAnsi="Arial"/>
          <w:sz w:val="18"/>
          <w:szCs w:val="18"/>
          <w:color w:val="auto"/>
        </w:rPr>
        <w:t>Our effective income tax rate was (28.4)% for the three months ended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2020, as compared to 9.4% for the three months ended January 26, 2019. The decrease in the effective income tax rate was primarily due to an increase in estimated federal R&amp;D credits.</w:t>
      </w:r>
    </w:p>
    <w:p>
      <w:pPr>
        <w:spacing w:after="0" w:line="18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b w:val="1"/>
          <w:bCs w:val="1"/>
          <w:i w:val="1"/>
          <w:iCs w:val="1"/>
          <w:color w:val="auto"/>
        </w:rPr>
        <w:t xml:space="preserve">Equity Method Investment Loss, net of tax. </w:t>
      </w:r>
      <w:r>
        <w:rPr>
          <w:rFonts w:ascii="Arial" w:cs="Arial" w:eastAsia="Arial" w:hAnsi="Arial"/>
          <w:sz w:val="16"/>
          <w:szCs w:val="16"/>
          <w:color w:val="auto"/>
        </w:rPr>
        <w:t>Equity method investment loss, net of tax for the three months ended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25, 2020 was $1.2 million compared to $0.7 million for the three months ended January 26, 2019. The increase was due to the equity method loss associated with our investment in the HAPSMobile joint venture formed in December 2017.</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January 25, 2020 Compared to Nine Months Ended January 26,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January 25,</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rPr>
              <w:t>January 26,</w:t>
            </w:r>
          </w:p>
        </w:tc>
        <w:tc>
          <w:tcPr>
            <w:tcW w:w="80" w:type="dxa"/>
            <w:vAlign w:val="bottom"/>
          </w:tcPr>
          <w:p>
            <w:pPr>
              <w:spacing w:after="0"/>
              <w:rPr>
                <w:sz w:val="10"/>
                <w:szCs w:val="10"/>
                <w:color w:val="auto"/>
              </w:rPr>
            </w:pPr>
          </w:p>
        </w:tc>
      </w:tr>
      <w:tr>
        <w:trPr>
          <w:trHeight w:val="171"/>
        </w:trPr>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226,344</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132,139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134,964</w:t>
            </w: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91,380</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40,066</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22,631</w:t>
            </w:r>
          </w:p>
        </w:tc>
        <w:tc>
          <w:tcPr>
            <w:tcW w:w="8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28,683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3,246</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8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42,570</w:t>
            </w: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80" w:type="dxa"/>
            <w:vAlign w:val="bottom"/>
            <w:shd w:val="clear" w:color="auto" w:fill="CCEEFF"/>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Equity method investment loss, net of tax</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(2,071)</w:t>
            </w:r>
          </w:p>
        </w:tc>
      </w:tr>
      <w:tr>
        <w:trPr>
          <w:trHeight w:val="21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nine months ended January 25, 2020 was $232.1 million, as compared to $226.3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January 26, 2019, representing an increase of $5.7 million, or 3%. The increase in revenue was due an increase in product deliveries of $7.3 million, partially offset by a decrease in service revenue of $1.5 million. The increase in product deliveries was primarily due to an increase in product deliveries of small UAS, partially offset by a decrease in product deliveries of TMS. During the nine months ended January 25, 2020, we continued to experience expansion in small UAS product deliveries to international customers. The decrease in service revenue was primarily due to a decrease in customer-funded R&amp;D primarily associated with TMS and other development programs.</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nine months ended January 25, 2020 was $132.1 million, as compared to $135.0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nine months ended January 26, 2019, representing a decrease of $2.8 million, or 2%. The decrease in cost of sales was due to a decrease in service costs of sales of $1.9 million and a decrease in product costs of sales of $0.9 million. The decrease in service costs of sales was primarily due to the decrease in service revenue and a favorable mix. Product cost of sales for the nine months ended January 25, 2020 included $1.8 million of intangible asset amortization</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related to our acquisition of Pulse. As a percentage of revenue, cost of sales decreased from 60% to 57%, primarily due to an increase in sales volume, a favorable product mix and an increase in the proportion of product revenue to total revenue, partially offset by an increase in reserves for excess and obsolescence inventory.</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Gross margin for the nine months ended January 25, 2020 was $99.9 million, as compared to $91.4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nine months ended January 26, 2019, representing an increase of $8.6 million, or 9%. The increase in gross margin was primarily due to an increase in product margin of $8.2 million and an increase in service margin of $0.4 million. The increase in product margin was primarily due to an increase in product deliveries and a favorable product mix, partially offset by an increase in reserves for excess and obsolescence inventory. Product gross margin for the nine months ended January 25, 2020 included $1.8 million of intangible asset amortization related to our acquisition of Pulse. The increase in service margin was primarily due to a favorable mix. As a percentage of revenue, gross margin increased from 40% to 43%, primarily due to a favorable mix and an increase in the proportion of product revenue to total revenue, partially offset by an increase in reserves for excess and obsolescence inventory.</w:t>
      </w:r>
    </w:p>
    <w:p>
      <w:pPr>
        <w:spacing w:after="0" w:line="178"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nine months ended January 25, 2020 was $43.1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 of revenue, compared to SG&amp;A expense of $40.1 million, or 18% of revenue, for the nine months ended January 26, 2019. The increase in SG&amp;A expense was primarily due to an increase in commission on international sales, litigation and employee related expenses, partially offset by a decrease in corporate development expenses primarily related to the sale of our EES business.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nine months ended January 25, 2020 was $30.9 million, or 13%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$22.6 million, or 10% of revenue, for the nine months ended January 26, 2019. R&amp;D expense increased by $8.3 million, or 37%, for the nine months ended January 26, 2019, primarily due to an increase in development activities for certain strategic initiatives.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nine months ended January 25, 2020 was $3.7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$3.2 million for the nine months ended January 26, 2019. The increase in interest income was primarily due to an increase in the average interest rates earned on our investment portfolio.</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nine months ended January 25, 2020 was $0.6 million compared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$10.6 million for the nine months ended January 26, 2019. The decrease in other income, net was primarily due to a litigation settlement and income earned under a transition services agreement with the buyer of our former EES Business during the nine months ended January 26, 2019.</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Our effective income tax rate was 10.6% for the nine months ended January 25, 2020,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11.1% for the nine months ended January 26, 2019. The decrease in effective income tax rate was primarily due to an increase in estimated federal R&amp;D credits.</w:t>
      </w:r>
    </w:p>
    <w:p>
      <w:pPr>
        <w:spacing w:after="0" w:line="18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nine months ended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 2020 was $3.4 million compared to equity method investment loss, net of tax of $2.1 million for the nine months ended January 26, 2019. The increase was due to the equity method loss associated with our investment in the HAPSMobile joint venture formed in December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January 25, 2020, our funded backlog was approximately $126.0 million.</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to our funded backlog, we also had unfunded backlog of $41.5 million as of January 25, 2020. Unfunded backlog does not meet the definition of a performance obligation under ASC Topic 606. We define unfunded backlog as the total remaining potential order amounts under cost reimbursable and fixed price contracts with multiple one-year options and indefinite delivery, indefinite quantity (“IDIQ”) contracts. Unfunded backlog does not obligate the U.S. government to purchase goods or services. There can be no assurance that unfunded backlog will result in any orders in</w:t>
      </w:r>
    </w:p>
    <w:p>
      <w:pPr>
        <w:sectPr>
          <w:pgSz w:w="11900" w:h="16838" w:orient="portrait"/>
          <w:cols w:equalWidth="0" w:num="1">
            <w:col w:w="9040"/>
          </w:cols>
          <w:pgMar w:left="1420" w:top="517" w:right="14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the contract was awarded to seven companies in 2018, including AeroVironment, and we cannot be certain that we will receive task orders issued against the contract.</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In addition,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financing. We anticipate that existing sources of liquidity and cash flows from operations will be sufficient to satisfy our cash needs for the foreseeable future.</w:t>
      </w:r>
    </w:p>
    <w:p>
      <w:pPr>
        <w:spacing w:after="0" w:line="18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enhancing existing products and marketing to stimulate acceptance and adoption of our products and services. Our future capital requirements, to a certain extent, are also subject to general conditions in or affecting the defense and commercial industries and are subject to general economic, political, financial, competitive, legislative and regulatory factors that are beyond our control. To the extent that existing cash, cash equivalents, and cash from operations are insufficient to fund our future activities, we may need to raise additional funds through public or private equity or debt financing.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other expenses incurred during the lead time from contract award until contract deliveries begin.</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Although not material in value alone or in aggregate, during the nine months ended January 25, 2020, we made certain commitments outside of the ordinary course of business. We made capital contributions of $4.9 million to a limited partnership fund. Under the terms of the limited partnership agreement, we have committed to make capital contributions totaling $10.0 million to the fund. In addition, pursuant to the Pulse Purchase Agreement, we maintain $5.0 million in an escrow account which will be paid to the sellers upon the achievement of specific research and development milestones. These milestones must be achieved by December 10, 2021. During the three months ended January 25, 2020 one of the research and development milestones was achieved, and the requirements for the remaining contingent consideration were concluded to not have been met. On February 26, 2020, $2,500,000 of contingent consideration was paid to the sellers for the achieved milestone, and the remaining $2,500,000 is no longer restricted.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our cash flow data for the nine months ended January 25, 2020 and January 26, 2019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61"/>
              <w:spacing w:after="0" w:line="119" w:lineRule="exact"/>
              <w:rPr>
                <w:sz w:val="20"/>
                <w:szCs w:val="20"/>
                <w:color w:val="auto"/>
              </w:rPr>
            </w:pPr>
            <w:r>
              <w:rPr>
                <w:rFonts w:ascii="Arial" w:cs="Arial" w:eastAsia="Arial" w:hAnsi="Arial"/>
                <w:sz w:val="13"/>
                <w:szCs w:val="13"/>
                <w:b w:val="1"/>
                <w:bCs w:val="1"/>
                <w:color w:val="auto"/>
              </w:rPr>
              <w:t>January 25,</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January 26,</w:t>
            </w:r>
          </w:p>
        </w:tc>
        <w:tc>
          <w:tcPr>
            <w:tcW w:w="120" w:type="dxa"/>
            <w:vAlign w:val="bottom"/>
          </w:tcPr>
          <w:p>
            <w:pPr>
              <w:spacing w:after="0"/>
              <w:rPr>
                <w:sz w:val="10"/>
                <w:szCs w:val="10"/>
                <w:color w:val="auto"/>
              </w:rPr>
            </w:pPr>
          </w:p>
        </w:tc>
      </w:tr>
      <w:tr>
        <w:trPr>
          <w:trHeight w:val="171"/>
        </w:trPr>
        <w:tc>
          <w:tcPr>
            <w:tcW w:w="5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3"/>
          </w:tcPr>
          <w:p>
            <w:pPr>
              <w:jc w:val="right"/>
              <w:ind w:right="678"/>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15,066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(50,362)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7,773</w:t>
            </w:r>
          </w:p>
        </w:tc>
        <w:tc>
          <w:tcPr>
            <w:tcW w:w="12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Cash Provided by Operating Activities. </w:t>
      </w:r>
      <w:r>
        <w:rPr>
          <w:rFonts w:ascii="Arial" w:cs="Arial" w:eastAsia="Arial" w:hAnsi="Arial"/>
          <w:sz w:val="17"/>
          <w:szCs w:val="17"/>
          <w:color w:val="auto"/>
        </w:rPr>
        <w:t>Net cash provided by operating activities for the nine months ended January 25,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increased by $8.2 million to $15.1 million, compared to net cash provided by operating activities of $6.9 million for the nine months ended January 26, 2019. The increase in net cash provided by operating activities was primarily due to an increase in cash as a result of changes in operating assets and liabilities of $15.7 million, largely related to the timing of revenue recognition, billings for unbilled receivables and retentions, and collections of receivables and accounts payable turnover, partially offset by a decrease in net income from continuing operations of $12.2 million.</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Cash (Used in) Provided by Investing Activities. </w:t>
      </w:r>
      <w:r>
        <w:rPr>
          <w:rFonts w:ascii="Arial" w:cs="Arial" w:eastAsia="Arial" w:hAnsi="Arial"/>
          <w:sz w:val="16"/>
          <w:szCs w:val="16"/>
          <w:color w:val="auto"/>
        </w:rPr>
        <w:t>Net cash used in investing activities increased by $58.1 million to $50.4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nine months ended January 25, 2020, compared to net cash provided by investing activities of $7.8 million for the nine months ended January 26, 2019. The increase in net cash used in investing activities was primarily due to proceeds received from the sale of our EES Business of $32.0 million in the first quarter of fiscal 2019; an increase in purchases net of redemptions of available-for-sale investments of $20.4 million; cash used in the purchase of Pulse Aerospace, LLC, net of cash acquired of $18.6 million; an increase in cash used for the HAPS equity method investment of $9.6 million; partially offset by a decrease in purchases net of redemptions of held-to-maturity investments of $24.1 million.</w:t>
      </w:r>
    </w:p>
    <w:p>
      <w:pPr>
        <w:spacing w:after="0" w:line="16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 xml:space="preserve">Cash Used in Financing Activities. </w:t>
      </w:r>
      <w:r>
        <w:rPr>
          <w:rFonts w:ascii="Arial" w:cs="Arial" w:eastAsia="Arial" w:hAnsi="Arial"/>
          <w:sz w:val="18"/>
          <w:szCs w:val="18"/>
          <w:color w:val="auto"/>
        </w:rPr>
        <w:t>Net cash used in financing activities decreased by $0.2 million to $0.9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January 25, 2020, compared to net cash used by financing activities of $1.1 million for the nine months ended January 26,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During the three and nine months ended January 25, 2020, there were no material changes in our contractual obligations and commercial commitments from those disclosed in our Annual Report on Form 10-K for the fiscal year ended April 30,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As of January 25, 2020, we had no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as defined in Item 303(a)(4) of Regulation S</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Please refer to Note 1—Organization and Significant Accounting Policies to our unaudited consolidated financial statements in Part I, Item 1 of this Quarterly Report on Form 10-Q for a discussion of new accounting pronouncements and accounting pronouncements adopted during the nine months ended January 25,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25, 2020, the end of the period covered by this Quarterly Report on Form 10-Q.</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January 25, 2020, the end of the period covered by this Quarterly Report on Form 10-Q, our disclosure controls and procedures were effective and were operating at a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 ended January 25, 2020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9"/>
        <w:spacing w:after="0" w:line="255" w:lineRule="auto"/>
        <w:rPr>
          <w:sz w:val="20"/>
          <w:szCs w:val="20"/>
          <w:color w:val="auto"/>
        </w:rPr>
      </w:pPr>
      <w:r>
        <w:rPr>
          <w:rFonts w:ascii="Arial" w:cs="Arial" w:eastAsia="Arial" w:hAnsi="Arial"/>
          <w:sz w:val="18"/>
          <w:szCs w:val="18"/>
          <w:color w:val="auto"/>
        </w:rPr>
        <w:t>On April 18, 2018, a former employee of AeroVironment, Mark Anderson, filed a lawsuit against us and Wahid Nawabi, our President and Chief Executive Officer, in the Superior Court of the State of California for the County of Los Angeles. Mr. Anderson’s claims include whistle blower retaliation, race discrimination and wrongful termination related to the termination of his employment with the Company. Mr. Nawabi was subsequently dismissed as an individual defendant from all claims in the lawsuit. In December 2019, in order to avoid the future cost, expense, and distraction of continued litigation, we executed a settlement agreement, in which we admitted no fault or wrongdoing, with Mr. Anderson and fully settled all claims in the lawsuit for a confidential amount.</w:t>
      </w:r>
    </w:p>
    <w:p>
      <w:pPr>
        <w:spacing w:after="0" w:line="189" w:lineRule="exact"/>
        <w:rPr>
          <w:sz w:val="20"/>
          <w:szCs w:val="20"/>
          <w:color w:val="auto"/>
        </w:rPr>
      </w:pPr>
    </w:p>
    <w:p>
      <w:pPr>
        <w:ind w:right="99"/>
        <w:spacing w:after="0" w:line="287" w:lineRule="auto"/>
        <w:rPr>
          <w:sz w:val="20"/>
          <w:szCs w:val="20"/>
          <w:color w:val="auto"/>
        </w:rPr>
      </w:pPr>
      <w:r>
        <w:rPr>
          <w:rFonts w:ascii="Arial" w:cs="Arial" w:eastAsia="Arial" w:hAnsi="Arial"/>
          <w:sz w:val="16"/>
          <w:szCs w:val="16"/>
          <w:color w:val="auto"/>
        </w:rPr>
        <w:t>On February 22, 2019, Webasto filed a lawsuit, which was subsequently amended on April 5, 2019, against us in Delaware Superior Court, arising from the sale of the EES division to Webasto in June 2018. The lawsuit generally alleges several claims against us for breach of contract, indemnity, declaratory judgment, and fraud and misrepresentation, including allegations regarding inaccuracy of certain diligence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August 16, 2019, we filed our answer to Webasto’s complaint and a counterclaim against Webasto seeking payment of the Holdback Amount and declaratory relief regarding Webasto’s cancellation of an assigned contract. As to the Webasto lawsuit, our initial evaluation is that many of the allegations are meritless and that we lack sufficient information to fully analyze other allegations at this time. Discovery in this lawsuit has begun and is ongoing. We continue to mount a vigorous defense.</w:t>
      </w:r>
    </w:p>
    <w:p>
      <w:pPr>
        <w:spacing w:after="0" w:line="169" w:lineRule="exact"/>
        <w:rPr>
          <w:sz w:val="20"/>
          <w:szCs w:val="20"/>
          <w:color w:val="auto"/>
        </w:rPr>
      </w:pPr>
    </w:p>
    <w:p>
      <w:pPr>
        <w:ind w:right="159"/>
        <w:spacing w:after="0" w:line="302" w:lineRule="auto"/>
        <w:rPr>
          <w:sz w:val="20"/>
          <w:szCs w:val="20"/>
          <w:color w:val="auto"/>
        </w:rPr>
      </w:pPr>
      <w:r>
        <w:rPr>
          <w:rFonts w:ascii="Arial" w:cs="Arial" w:eastAsia="Arial" w:hAnsi="Arial"/>
          <w:sz w:val="16"/>
          <w:szCs w:val="16"/>
          <w:color w:val="auto"/>
        </w:rPr>
        <w:t>On August 14, 2019, Benchmark Electronics, Inc. (“Benchmark”), the company that assembled the products subject to the recall, served a demand for arbitration to AeroVironment and Webasto pursuant to its contracts with AeroVironment and Webasto, respectively. In December 2019, Benchmark dismissed, without prejudice, all claims against us in the demand for arbitration. The recall remains a significant part of the Company’s pending litigation with Webasto.</w:t>
      </w:r>
    </w:p>
    <w:p>
      <w:pPr>
        <w:spacing w:after="0" w:line="154" w:lineRule="exact"/>
        <w:rPr>
          <w:sz w:val="20"/>
          <w:szCs w:val="20"/>
          <w:color w:val="auto"/>
        </w:rPr>
      </w:pPr>
    </w:p>
    <w:p>
      <w:pPr>
        <w:ind w:right="79"/>
        <w:spacing w:after="0" w:line="271" w:lineRule="auto"/>
        <w:rPr>
          <w:sz w:val="20"/>
          <w:szCs w:val="20"/>
          <w:color w:val="auto"/>
        </w:rPr>
      </w:pPr>
      <w:r>
        <w:rPr>
          <w:rFonts w:ascii="Arial" w:cs="Arial" w:eastAsia="Arial" w:hAnsi="Arial"/>
          <w:sz w:val="17"/>
          <w:szCs w:val="17"/>
          <w:color w:val="auto"/>
        </w:rPr>
        <w:t>On October 29, 2019, P.B.M S.r.l. (“PBM”), an Italian company with which we had a Memorandum of Understanding (“MOU”) that we assigned to Webasto as part of the sale of the EES division, filed a Notice of Arbitration with JAMS ADR in Los Angeles, California, naming Webasto and us as defendants. PBM alleged that it was owed over $1.7 million, plus attorneys’ fees, for unpaid invoices and reliance damages stemming from the MOU and its cancellation. In December 2019, PBM, Webasto and AeroVironment entered into a confidential settlement agreement and mutual release with each other which all parties fully settled all matters included in the arbitration demand. PBM withdrew its Notice of Arbitration and the Company considers this matter closed. Parties to the Webasto lawsuit will amend their pleadings to reflect that any claims associated with PBM are no longer in dispute.</w:t>
      </w:r>
    </w:p>
    <w:p>
      <w:pPr>
        <w:spacing w:after="0" w:line="179" w:lineRule="exact"/>
        <w:rPr>
          <w:sz w:val="20"/>
          <w:szCs w:val="20"/>
          <w:color w:val="auto"/>
        </w:rPr>
      </w:pPr>
    </w:p>
    <w:p>
      <w:pPr>
        <w:jc w:val="both"/>
        <w:ind w:right="199"/>
        <w:spacing w:after="0" w:line="312"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579"/>
        <w:spacing w:after="0" w:line="264" w:lineRule="auto"/>
        <w:rPr>
          <w:sz w:val="20"/>
          <w:szCs w:val="20"/>
          <w:color w:val="auto"/>
        </w:rPr>
      </w:pPr>
      <w:r>
        <w:rPr>
          <w:rFonts w:ascii="Arial" w:cs="Arial" w:eastAsia="Arial" w:hAnsi="Arial"/>
          <w:sz w:val="18"/>
          <w:szCs w:val="18"/>
          <w:color w:val="auto"/>
        </w:rPr>
        <w:t>Except as set for below, there have been no material changes to the risk factors disclosed under Part I, Item 1A, “Risk Factors,” of our Annual Report on Form 10-K for the fiscal year ended April 30, 2019. Please refer to that section for disclosures regarding the risks and uncertainties related to our business.</w:t>
      </w:r>
    </w:p>
    <w:p>
      <w:pPr>
        <w:spacing w:after="0" w:line="181" w:lineRule="exact"/>
        <w:rPr>
          <w:sz w:val="20"/>
          <w:szCs w:val="20"/>
          <w:color w:val="auto"/>
        </w:rPr>
      </w:pPr>
    </w:p>
    <w:p>
      <w:pPr>
        <w:ind w:right="479"/>
        <w:spacing w:after="0" w:line="381" w:lineRule="auto"/>
        <w:rPr>
          <w:sz w:val="20"/>
          <w:szCs w:val="20"/>
          <w:color w:val="auto"/>
        </w:rPr>
      </w:pPr>
      <w:r>
        <w:rPr>
          <w:rFonts w:ascii="Arial" w:cs="Arial" w:eastAsia="Arial" w:hAnsi="Arial"/>
          <w:sz w:val="15"/>
          <w:szCs w:val="15"/>
          <w:b w:val="1"/>
          <w:bCs w:val="1"/>
          <w:i w:val="1"/>
          <w:iCs w:val="1"/>
          <w:color w:val="auto"/>
        </w:rPr>
        <w:t>We could be prohibited from shipping our products to certain countries if we are unable to obtain U.S. government authorization regarding the export of our products, or if current or future export laws limit or otherwise restrict our</w:t>
      </w: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business. In addition, failure to comply with our Consent Agreement with the U.S. Department of State and export laws could result in fines, export restrictions and other sanctions and penalties.</w:t>
      </w:r>
    </w:p>
    <w:p>
      <w:pPr>
        <w:spacing w:after="0" w:line="17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must comply with U.S. and other laws regulating the export of our products. In some cases, explicit authorization from the relevant U.S. government authorities is needed to export our products. The export regulations and the governing policies applicable to our business are subject to change. We cannot provide assurance that such export authorizations will be available for our products in the future. Compliance with these laws has not significantly limited our operations or our sales in the recent past, but could significantly limit them in the future. We maintain an export compliance program but there are risks that our compliance controls may be ineffective. In November 2019, we entered into a Consent Agreement with the U.S. Department of State’s Directorate of Defense Trade Controls Office of Defense Trade Controls Compliance (“DDTC”) to resolve various alleged violations of the Armed Export Control Act (the “AECA”) and the International Traffic in Arms Regulations ("ITAR”) that occurred between June 2014 and December 2016. The Consent Agreement has a two-year term and provides for, among other things: (i) a civil penalty of $1,000,000 payable in installments, $500,000 of which is suspended on the condition that such amount is used for future remedial compliance costs over the term of the Consent Agreement and/or credited against prior compliance enhancement costs already expended by us; (ii) the appointment of an external Special Compliance Officer for a minimum of one year to oversee our compliance with the Consent Agreement and ITAR; and (iii) one external audit of our compliance with the Consent Agreement and ITAR. We expect that the $500,000 suspension amount will be satisfied by our past and future compliance program remediation efforts. Our failure to comply with the terms of the Consent Agreement or export laws and regulations in general can subject us to additional fines, penalties and sanctions, including suspension of export privileges, which could have a material adverse impact on our business, operations and financial condition and limit or prevent us from being able to sell our products in certain international jurisdictions.</w:t>
      </w:r>
    </w:p>
    <w:p>
      <w:pPr>
        <w:spacing w:after="0" w:line="38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critical components or raw materials used to manufacture our products become scarce or unavailable, then we may incur delays in manufacturing and delivery of our products, which could damage our business.</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obtain hardware components, various subsystems and systems from a limited group of suppliers. We do not have long term agreements with any of these suppliers that obligate them to continue to sell components, subsystems, systems or products to us. Our reliance on these suppliers involves significant risks and uncertainties, including whether our suppliers will provide an adequate supply of required components, subsystems, or systems of sufficient quality, will increase prices for the components, subsystems or systems and will perform their obligations on a timely basis.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certain raw materials and components used in the manufacture of our products are periodically subject to supply shortages, and our business is subject to the risk of price increases and periodic delays in delivery. Particularly, the market for electronic components is experiencing increased demand, creating substantial uncertainty regarding our suppliers’ continued production of key components for our products. If we are unable to obtain components from third party suppliers in the quantities and of the quality that we require, on a timely basis and at acceptable prices, then we may not be able to deliver our products on a timely or cost effective basis to our customers, which could cause customers to terminate their contracts with us, increase our costs and seriously harm our business, results of operations and financial condition. Moreover, if any of our suppliers become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If the current strain of coronavirus outbreak, known as COVID-19, continues and results in a prolonged period of commercial and/or governmental restrictions, this may impact our ability to obtain certain raw materials and certain components used in the manufacture of our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novel coronavirus outbreak may adversely impact our business.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the current outbreak of the strain of coronavirus known as COVID-19 continues and results in a prolonged period of travel and other similar logistics restrictions, this may reduce our and our customers’ capabilities to travel, domestically and internationally, which may impact our ability to perform certain contracts, develop and renew contracts, or</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commercially market our products, or could otherwise disrupt portions of our business. It is not currently possible to ascertain the overall impact of the COVID-19 outbreak, if any, on our business. The extent to which COVID-19 could have a material impact on our business, financial condition and results of operations will depend on future developments as to the geographic presence of COVID-19 and government and healthcare responses to such spread, which are presently highly uncertain.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 Program does not obligate us to acquire any particular amount of common stock and may be suspended at any time by our Board of Directors. No shares were repurchased in the nine months ended January 25, 2020. As of January 25, 2020, approximately $21.2 million remained authorized for future repurchases under the Share Repurchase Program.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500" w:type="dxa"/>
            <w:vAlign w:val="bottom"/>
            <w:gridSpan w:val="10"/>
          </w:tcPr>
          <w:p>
            <w:pPr>
              <w:ind w:left="102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20" w:type="dxa"/>
            <w:vAlign w:val="bottom"/>
          </w:tcPr>
          <w:p>
            <w:pPr>
              <w:spacing w:after="0"/>
              <w:rPr>
                <w:sz w:val="16"/>
                <w:szCs w:val="16"/>
                <w:color w:val="auto"/>
              </w:rPr>
            </w:pPr>
          </w:p>
        </w:tc>
        <w:tc>
          <w:tcPr>
            <w:tcW w:w="8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3.1(1)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40" w:type="dxa"/>
            <w:vAlign w:val="bottom"/>
            <w:tcBorders>
              <w:top w:val="single" w:sz="8" w:color="auto"/>
            </w:tcBorders>
            <w:gridSpan w:val="11"/>
          </w:tcPr>
          <w:p>
            <w:pPr>
              <w:spacing w:after="0" w:line="189" w:lineRule="exact"/>
              <w:rPr>
                <w:rFonts w:ascii="Arial" w:cs="Arial" w:eastAsia="Arial" w:hAnsi="Arial"/>
                <w:sz w:val="18"/>
                <w:szCs w:val="18"/>
                <w:color w:val="0000EE"/>
              </w:rPr>
            </w:pPr>
            <w:hyperlink r:id="rId62">
              <w:r>
                <w:rPr>
                  <w:rFonts w:ascii="Arial" w:cs="Arial" w:eastAsia="Arial" w:hAnsi="Arial"/>
                  <w:sz w:val="18"/>
                  <w:szCs w:val="18"/>
                  <w:color w:val="0000EE"/>
                </w:rPr>
                <w:t>Amended and Restated Certificate of Incorporation of AeroVironment, Inc.</w:t>
              </w:r>
            </w:hyperlink>
          </w:p>
        </w:tc>
      </w:tr>
      <w:tr>
        <w:trPr>
          <w:trHeight w:val="223"/>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89"/>
              </w:rPr>
              <w:t>3.2(2)</w:t>
            </w:r>
          </w:p>
        </w:tc>
        <w:tc>
          <w:tcPr>
            <w:tcW w:w="180" w:type="dxa"/>
            <w:vAlign w:val="bottom"/>
          </w:tcPr>
          <w:p>
            <w:pPr>
              <w:spacing w:after="0"/>
              <w:rPr>
                <w:sz w:val="19"/>
                <w:szCs w:val="19"/>
                <w:color w:val="auto"/>
              </w:rPr>
            </w:pPr>
          </w:p>
        </w:tc>
        <w:tc>
          <w:tcPr>
            <w:tcW w:w="4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Third Amended and Restated Bylaws of AeroVironment, Inc.</w:t>
              </w:r>
            </w:hyperlink>
          </w:p>
        </w:tc>
        <w:tc>
          <w:tcPr>
            <w:tcW w:w="980" w:type="dxa"/>
            <w:vAlign w:val="bottom"/>
            <w:tcBorders>
              <w:top w:val="single" w:sz="8" w:color="0000EE"/>
            </w:tcBorders>
          </w:tcPr>
          <w:p>
            <w:pPr>
              <w:spacing w:after="0"/>
              <w:rPr>
                <w:sz w:val="19"/>
                <w:szCs w:val="19"/>
                <w:color w:val="auto"/>
              </w:rPr>
            </w:pPr>
          </w:p>
        </w:tc>
        <w:tc>
          <w:tcPr>
            <w:tcW w:w="2640" w:type="dxa"/>
            <w:vAlign w:val="bottom"/>
            <w:gridSpan w:val="6"/>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10.1ǂ</w:t>
            </w:r>
          </w:p>
        </w:tc>
        <w:tc>
          <w:tcPr>
            <w:tcW w:w="180" w:type="dxa"/>
            <w:vAlign w:val="bottom"/>
          </w:tcPr>
          <w:p>
            <w:pPr>
              <w:spacing w:after="0"/>
              <w:rPr>
                <w:sz w:val="19"/>
                <w:szCs w:val="19"/>
                <w:color w:val="auto"/>
              </w:rPr>
            </w:pPr>
          </w:p>
        </w:tc>
        <w:tc>
          <w:tcPr>
            <w:tcW w:w="74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Amendment No.9 to the Design and Development Agreement by and between AeroVironment, Inc. and</w:t>
              </w:r>
            </w:hyperlink>
          </w:p>
        </w:tc>
        <w:tc>
          <w:tcPr>
            <w:tcW w:w="580" w:type="dxa"/>
            <w:vAlign w:val="bottom"/>
            <w:gridSpan w:val="3"/>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HAPSMobile, Inc., dated as of December 2, 2019.</w:t>
              </w:r>
            </w:hyperlink>
          </w:p>
        </w:tc>
        <w:tc>
          <w:tcPr>
            <w:tcW w:w="4420" w:type="dxa"/>
            <w:vAlign w:val="bottom"/>
            <w:gridSpan w:val="9"/>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80" w:type="dxa"/>
            <w:vAlign w:val="bottom"/>
          </w:tcPr>
          <w:p>
            <w:pPr>
              <w:spacing w:after="0"/>
              <w:rPr>
                <w:sz w:val="19"/>
                <w:szCs w:val="19"/>
                <w:color w:val="auto"/>
              </w:rPr>
            </w:pPr>
          </w:p>
        </w:tc>
        <w:tc>
          <w:tcPr>
            <w:tcW w:w="8060" w:type="dxa"/>
            <w:vAlign w:val="bottom"/>
            <w:gridSpan w:val="1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Offer Letter to Kevin McDonnell executed January 13, 2020</w:t>
              </w:r>
            </w:hyperlink>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19"/>
                <w:szCs w:val="19"/>
                <w:color w:val="auto"/>
              </w:rPr>
            </w:pPr>
          </w:p>
        </w:tc>
        <w:tc>
          <w:tcPr>
            <w:tcW w:w="75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Certification of Chief Executive Officer pursuant to Rule 13a-14(a) and Rule 15d-14(a) of the Securities</w:t>
              </w:r>
            </w:hyperlink>
          </w:p>
        </w:tc>
        <w:tc>
          <w:tcPr>
            <w:tcW w:w="540" w:type="dxa"/>
            <w:vAlign w:val="bottom"/>
            <w:gridSpan w:val="2"/>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60" w:type="dxa"/>
            <w:vAlign w:val="bottom"/>
            <w:gridSpan w:val="1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19"/>
                <w:szCs w:val="19"/>
                <w:color w:val="auto"/>
              </w:rPr>
            </w:pPr>
          </w:p>
        </w:tc>
        <w:tc>
          <w:tcPr>
            <w:tcW w:w="8060" w:type="dxa"/>
            <w:vAlign w:val="bottom"/>
            <w:gridSpan w:val="12"/>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Certification of Interim Chief Financial Officer pursuant to Rule 13a-14(a) and Rule 15d-14(a) of the Securities</w:t>
              </w:r>
            </w:hyperlink>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tcBorders>
              <w:top w:val="single" w:sz="8" w:color="0000EE"/>
            </w:tcBorders>
            <w:gridSpan w:val="1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20" w:type="dxa"/>
            <w:vAlign w:val="bottom"/>
          </w:tcPr>
          <w:p>
            <w:pPr>
              <w:spacing w:after="0"/>
              <w:rPr>
                <w:sz w:val="19"/>
                <w:szCs w:val="19"/>
                <w:color w:val="auto"/>
              </w:rPr>
            </w:pPr>
          </w:p>
        </w:tc>
      </w:tr>
      <w:tr>
        <w:trPr>
          <w:trHeight w:val="20"/>
        </w:trPr>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r>
      <w:tr>
        <w:trPr>
          <w:trHeight w:val="223"/>
        </w:trPr>
        <w:tc>
          <w:tcPr>
            <w:tcW w:w="820" w:type="dxa"/>
            <w:vAlign w:val="bottom"/>
            <w:gridSpan w:val="2"/>
          </w:tcPr>
          <w:p>
            <w:pPr>
              <w:jc w:val="center"/>
              <w:spacing w:after="0"/>
              <w:rPr>
                <w:sz w:val="20"/>
                <w:szCs w:val="20"/>
                <w:color w:val="auto"/>
              </w:rPr>
            </w:pPr>
            <w:r>
              <w:rPr>
                <w:rFonts w:ascii="Arial" w:cs="Arial" w:eastAsia="Arial" w:hAnsi="Arial"/>
                <w:sz w:val="18"/>
                <w:szCs w:val="18"/>
                <w:color w:val="auto"/>
                <w:w w:val="86"/>
              </w:rPr>
              <w:t>32#</w:t>
            </w:r>
          </w:p>
        </w:tc>
        <w:tc>
          <w:tcPr>
            <w:tcW w:w="180" w:type="dxa"/>
            <w:vAlign w:val="bottom"/>
          </w:tcPr>
          <w:p>
            <w:pPr>
              <w:spacing w:after="0"/>
              <w:rPr>
                <w:sz w:val="19"/>
                <w:szCs w:val="19"/>
                <w:color w:val="auto"/>
              </w:rPr>
            </w:pPr>
          </w:p>
        </w:tc>
        <w:tc>
          <w:tcPr>
            <w:tcW w:w="8060" w:type="dxa"/>
            <w:vAlign w:val="bottom"/>
            <w:gridSpan w:val="1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Certification of Chief Executive Officer and Interim Chief Financial Officer pursuant to 18 U.S.C.</w:t>
              </w:r>
            </w:hyperlink>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80" w:type="dxa"/>
            <w:vAlign w:val="bottom"/>
            <w:tcBorders>
              <w:top w:val="single" w:sz="8" w:color="0000EE"/>
            </w:tcBorders>
            <w:gridSpan w:val="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Section 1350, as adopted pursuant to Section 906 of the Sarbanes-Oxley Act of 2002</w:t>
              </w:r>
              <w:r>
                <w:rPr>
                  <w:rFonts w:ascii="Arial" w:cs="Arial" w:eastAsia="Arial" w:hAnsi="Arial"/>
                  <w:sz w:val="18"/>
                  <w:szCs w:val="18"/>
                  <w:color w:val="000000"/>
                </w:rPr>
                <w:t>.</w:t>
              </w:r>
            </w:hyperlink>
          </w:p>
        </w:tc>
        <w:tc>
          <w:tcPr>
            <w:tcW w:w="980" w:type="dxa"/>
            <w:vAlign w:val="bottom"/>
            <w:gridSpan w:val="4"/>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20" w:type="dxa"/>
            <w:vAlign w:val="bottom"/>
            <w:gridSpan w:val="7"/>
            <w:shd w:val="clear" w:color="auto" w:fill="0000EE"/>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80" w:type="dxa"/>
            <w:vAlign w:val="bottom"/>
          </w:tcPr>
          <w:p>
            <w:pPr>
              <w:spacing w:after="0"/>
              <w:rPr>
                <w:sz w:val="22"/>
                <w:szCs w:val="22"/>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Files because its</w:t>
            </w: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80" w:type="dxa"/>
            <w:vAlign w:val="bottom"/>
          </w:tcPr>
          <w:p>
            <w:pPr>
              <w:spacing w:after="0"/>
              <w:rPr>
                <w:sz w:val="21"/>
                <w:szCs w:val="21"/>
                <w:color w:val="auto"/>
              </w:rPr>
            </w:pPr>
          </w:p>
        </w:tc>
        <w:tc>
          <w:tcPr>
            <w:tcW w:w="80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000" w:hanging="728"/>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8" w:lineRule="exact"/>
        <w:rPr>
          <w:rFonts w:ascii="Arial" w:cs="Arial" w:eastAsia="Arial" w:hAnsi="Arial"/>
          <w:sz w:val="18"/>
          <w:szCs w:val="18"/>
          <w:color w:val="auto"/>
        </w:rPr>
      </w:pPr>
    </w:p>
    <w:p>
      <w:pPr>
        <w:ind w:left="320" w:right="220" w:hanging="318"/>
        <w:spacing w:after="0" w:line="223" w:lineRule="exact"/>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3" w:lineRule="exact"/>
        <w:rPr>
          <w:rFonts w:ascii="Arial" w:cs="Arial" w:eastAsia="Arial" w:hAnsi="Arial"/>
          <w:sz w:val="18"/>
          <w:szCs w:val="18"/>
          <w:color w:val="auto"/>
        </w:rPr>
      </w:pPr>
    </w:p>
    <w:p>
      <w:pPr>
        <w:ind w:left="320" w:right="160" w:hanging="318"/>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70" w:lineRule="exact"/>
        <w:rPr>
          <w:sz w:val="20"/>
          <w:szCs w:val="20"/>
          <w:color w:val="auto"/>
        </w:rPr>
      </w:pPr>
    </w:p>
    <w:p>
      <w:pPr>
        <w:ind w:left="320" w:right="280" w:hanging="318"/>
        <w:spacing w:after="0" w:line="277"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Item 601(b)(2) of Regulation S-K, certain immaterial provisions of the agreement that would likely cause competitive harm to the Company if publicly disclosed have been redacted or omitted.</w:t>
      </w:r>
    </w:p>
    <w:p>
      <w:pPr>
        <w:spacing w:after="0" w:line="170" w:lineRule="exact"/>
        <w:rPr>
          <w:sz w:val="20"/>
          <w:szCs w:val="20"/>
          <w:color w:val="auto"/>
        </w:rPr>
      </w:pPr>
    </w:p>
    <w:p>
      <w:pPr>
        <w:ind w:left="320" w:hanging="318"/>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20" w:right="120" w:hanging="318"/>
        <w:spacing w:after="0" w:line="302" w:lineRule="auto"/>
        <w:tabs>
          <w:tab w:leader="none" w:pos="3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March 3, 2020</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23495</wp:posOffset>
            </wp:positionV>
            <wp:extent cx="26327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23495</wp:posOffset>
            </wp:positionV>
            <wp:extent cx="26327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Kevin P. McDonnell</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43" w:name="page44"/>
    <w:bookmarkEnd w:id="43"/>
    <w:p>
      <w:pPr>
        <w:ind w:left="914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9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DESIGN AND DEVELOPMENT AGREEMENT (STEP 2)</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Amendment No. 9 to the Design and Development Agreement (Step2)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date of last signature below by and between HAPSMobile Inc. and AeroVironment, Inc. to amend the Design and Development Agreement (Step2) made as of December 27, 2017 (as amended by Amendment No.1 as of March 30, 2018, Amendment No.2 as of June 25, 2018, Amendment No.3 as of August 28, 2018, Amendment No.4 as of December 5, 2018, Amendment No.5 as of March 19, 2019, Amendment No.6 as of March 29, 2019, Amendment No.7 as of April 24, 2019, and Amendment No.8 as of June 20, 2019 between HAPSMobile and AV) (collectively, the “</w:t>
      </w:r>
      <w:r>
        <w:rPr>
          <w:rFonts w:ascii="Arial" w:cs="Arial" w:eastAsia="Arial" w:hAnsi="Arial"/>
          <w:sz w:val="18"/>
          <w:szCs w:val="18"/>
          <w:b w:val="1"/>
          <w:bCs w:val="1"/>
          <w:color w:val="auto"/>
        </w:rPr>
        <w:t>DDA</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Parties hereby agree to amend the total fees of Design and Development for Step 2 due to the material changes of the project schedule and the Statement of Work as set forth herein (the “</w:t>
      </w:r>
      <w:r>
        <w:rPr>
          <w:rFonts w:ascii="Arial" w:cs="Arial" w:eastAsia="Arial" w:hAnsi="Arial"/>
          <w:sz w:val="18"/>
          <w:szCs w:val="18"/>
          <w:b w:val="1"/>
          <w:bCs w:val="1"/>
          <w:color w:val="auto"/>
        </w:rPr>
        <w:t>Change</w:t>
      </w:r>
      <w:r>
        <w:rPr>
          <w:rFonts w:ascii="Arial" w:cs="Arial" w:eastAsia="Arial" w:hAnsi="Arial"/>
          <w:sz w:val="18"/>
          <w:szCs w:val="18"/>
          <w:color w:val="auto"/>
        </w:rPr>
        <w: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Therefore, to formalize and reflect both the Changes and Program Management Improvement, the Parties hereby agree with the amendments to the DDA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w:t>
      </w:r>
      <w:r>
        <w:rPr>
          <w:rFonts w:ascii="Arial" w:cs="Arial" w:eastAsia="Arial" w:hAnsi="Arial"/>
          <w:sz w:val="17"/>
          <w:szCs w:val="17"/>
          <w:color w:val="auto"/>
        </w:rPr>
        <w:t>.  The following Section 3.12 is hereby newly inserted after Section 3.11 “[***]” (subsection of “3.  [***]”) of Attachment D  (High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Altitude Platform (HAP) Hawk30 Prototype Unmanned Aircraft System Specification) to the DDA:</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3.12 Overall Aircraft Functionality Reference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Hawk30 Prototype shall have following characteristic and requirement as total vehicle level.</w:t>
      </w:r>
    </w:p>
    <w:p>
      <w:pPr>
        <w:spacing w:after="0" w:line="220" w:lineRule="exact"/>
        <w:rPr>
          <w:sz w:val="20"/>
          <w:szCs w:val="20"/>
          <w:color w:val="auto"/>
        </w:rPr>
      </w:pPr>
    </w:p>
    <w:tbl>
      <w:tblPr>
        <w:tblLayout w:type="fixed"/>
        <w:tblInd w:w="330" w:type="dxa"/>
        <w:tblCellMar>
          <w:top w:w="0" w:type="dxa"/>
          <w:left w:w="0" w:type="dxa"/>
          <w:bottom w:w="0" w:type="dxa"/>
          <w:right w:w="0" w:type="dxa"/>
        </w:tblCellMar>
      </w:tblPr>
      <w:tr>
        <w:trPr>
          <w:trHeight w:val="284"/>
        </w:trPr>
        <w:tc>
          <w:tcPr>
            <w:tcW w:w="2080" w:type="dxa"/>
            <w:vAlign w:val="bottom"/>
            <w:tcBorders>
              <w:top w:val="single" w:sz="8" w:color="auto"/>
              <w:lef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Profile</w:t>
            </w:r>
          </w:p>
        </w:tc>
        <w:tc>
          <w:tcPr>
            <w:tcW w:w="1400" w:type="dxa"/>
            <w:vAlign w:val="bottom"/>
            <w:tcBorders>
              <w:top w:val="single" w:sz="8" w:color="auto"/>
              <w:right w:val="single" w:sz="8" w:color="auto"/>
            </w:tcBorders>
          </w:tcPr>
          <w:p>
            <w:pPr>
              <w:spacing w:after="0"/>
              <w:rPr>
                <w:sz w:val="24"/>
                <w:szCs w:val="24"/>
                <w:color w:val="auto"/>
              </w:rPr>
            </w:pPr>
          </w:p>
        </w:tc>
        <w:tc>
          <w:tcPr>
            <w:tcW w:w="2180" w:type="dxa"/>
            <w:vAlign w:val="bottom"/>
            <w:tcBorders>
              <w:top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right w:val="single" w:sz="8" w:color="auto"/>
            </w:tcBorders>
          </w:tcPr>
          <w:p>
            <w:pPr>
              <w:spacing w:after="0"/>
              <w:rPr>
                <w:sz w:val="24"/>
                <w:szCs w:val="24"/>
                <w:color w:val="auto"/>
              </w:rPr>
            </w:pPr>
          </w:p>
        </w:tc>
        <w:tc>
          <w:tcPr>
            <w:tcW w:w="3100" w:type="dxa"/>
            <w:vAlign w:val="bottom"/>
            <w:tcBorders>
              <w:top w:val="single" w:sz="8" w:color="auto"/>
              <w:right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080" w:type="dxa"/>
            <w:vAlign w:val="bottom"/>
            <w:tcBorders>
              <w:left w:val="single" w:sz="8" w:color="auto"/>
              <w:bottom w:val="single" w:sz="8" w:color="auto"/>
            </w:tcBorders>
            <w:gridSpan w:val="2"/>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8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b w:val="1"/>
                <w:bCs w:val="1"/>
                <w:i w:val="1"/>
                <w:iCs w:val="1"/>
                <w:color w:val="auto"/>
              </w:rPr>
              <w:t>Characteristic</w:t>
            </w:r>
          </w:p>
        </w:tc>
        <w:tc>
          <w:tcPr>
            <w:tcW w:w="1400" w:type="dxa"/>
            <w:vAlign w:val="bottom"/>
            <w:tcBorders>
              <w:right w:val="single" w:sz="8" w:color="auto"/>
            </w:tcBorders>
          </w:tcPr>
          <w:p>
            <w:pPr>
              <w:spacing w:after="0"/>
              <w:rPr>
                <w:sz w:val="22"/>
                <w:szCs w:val="22"/>
                <w:color w:val="auto"/>
              </w:rPr>
            </w:pPr>
          </w:p>
        </w:tc>
        <w:tc>
          <w:tcPr>
            <w:tcW w:w="2180" w:type="dxa"/>
            <w:vAlign w:val="bottom"/>
          </w:tcPr>
          <w:p>
            <w:pPr>
              <w:spacing w:after="0"/>
              <w:rPr>
                <w:sz w:val="22"/>
                <w:szCs w:val="22"/>
                <w:color w:val="auto"/>
              </w:rPr>
            </w:pPr>
          </w:p>
        </w:tc>
        <w:tc>
          <w:tcPr>
            <w:tcW w:w="3920" w:type="dxa"/>
            <w:vAlign w:val="bottom"/>
            <w:tcBorders>
              <w:right w:val="single" w:sz="8" w:color="auto"/>
            </w:tcBorders>
            <w:gridSpan w:val="2"/>
          </w:tcPr>
          <w:p>
            <w:pPr>
              <w:jc w:val="right"/>
              <w:ind w:right="2630"/>
              <w:spacing w:after="0"/>
              <w:rPr>
                <w:sz w:val="20"/>
                <w:szCs w:val="20"/>
                <w:color w:val="auto"/>
              </w:rPr>
            </w:pPr>
            <w:r>
              <w:rPr>
                <w:rFonts w:ascii="Arial" w:cs="Arial" w:eastAsia="Arial" w:hAnsi="Arial"/>
                <w:sz w:val="18"/>
                <w:szCs w:val="18"/>
                <w:color w:val="auto"/>
              </w:rPr>
              <w:t>Prototype</w:t>
            </w:r>
          </w:p>
        </w:tc>
        <w:tc>
          <w:tcPr>
            <w:tcW w:w="0" w:type="dxa"/>
            <w:vAlign w:val="bottom"/>
          </w:tcPr>
          <w:p>
            <w:pPr>
              <w:spacing w:after="0"/>
              <w:rPr>
                <w:sz w:val="1"/>
                <w:szCs w:val="1"/>
                <w:color w:val="auto"/>
              </w:rPr>
            </w:pPr>
          </w:p>
        </w:tc>
      </w:tr>
      <w:tr>
        <w:trPr>
          <w:trHeight w:val="54"/>
        </w:trPr>
        <w:tc>
          <w:tcPr>
            <w:tcW w:w="2080" w:type="dxa"/>
            <w:vAlign w:val="bottom"/>
            <w:tcBorders>
              <w:left w:val="single" w:sz="8" w:color="auto"/>
              <w:bottom w:val="single" w:sz="8" w:color="auto"/>
            </w:tcBorders>
            <w:gridSpan w:val="2"/>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tcBorders>
            <w:gridSpan w:val="2"/>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8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Capability</w:t>
            </w:r>
          </w:p>
        </w:tc>
        <w:tc>
          <w:tcPr>
            <w:tcW w:w="140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gridSpan w:val="3"/>
          </w:tcPr>
          <w:p>
            <w:pPr>
              <w:ind w:left="780"/>
              <w:spacing w:after="0"/>
              <w:rPr>
                <w:sz w:val="20"/>
                <w:szCs w:val="20"/>
                <w:color w:val="auto"/>
              </w:rPr>
            </w:pPr>
            <w:r>
              <w:rPr>
                <w:rFonts w:ascii="Arial" w:cs="Arial" w:eastAsia="Arial" w:hAnsi="Arial"/>
                <w:sz w:val="18"/>
                <w:szCs w:val="18"/>
                <w:color w:val="auto"/>
              </w:rPr>
              <w:t>Low flight, stratospheric and long duration flight with payload</w:t>
            </w:r>
          </w:p>
        </w:tc>
        <w:tc>
          <w:tcPr>
            <w:tcW w:w="0" w:type="dxa"/>
            <w:vAlign w:val="bottom"/>
          </w:tcPr>
          <w:p>
            <w:pPr>
              <w:spacing w:after="0"/>
              <w:rPr>
                <w:sz w:val="1"/>
                <w:szCs w:val="1"/>
                <w:color w:val="auto"/>
              </w:rPr>
            </w:pPr>
          </w:p>
        </w:tc>
      </w:tr>
      <w:tr>
        <w:trPr>
          <w:trHeight w:val="54"/>
        </w:trPr>
        <w:tc>
          <w:tcPr>
            <w:tcW w:w="2080" w:type="dxa"/>
            <w:vAlign w:val="bottom"/>
            <w:tcBorders>
              <w:left w:val="single" w:sz="8" w:color="auto"/>
              <w:bottom w:val="single" w:sz="8" w:color="auto"/>
            </w:tcBorders>
            <w:gridSpan w:val="2"/>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3000" w:type="dxa"/>
            <w:vAlign w:val="bottom"/>
            <w:tcBorders>
              <w:bottom w:val="single" w:sz="8" w:color="auto"/>
            </w:tcBorders>
            <w:gridSpan w:val="2"/>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8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i w:val="1"/>
                <w:iCs w:val="1"/>
                <w:color w:val="auto"/>
              </w:rPr>
              <w:t>Achievement</w:t>
            </w:r>
          </w:p>
        </w:tc>
        <w:tc>
          <w:tcPr>
            <w:tcW w:w="140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Low Altitude Flight, High Altitude Flight, Long Duration Flight, with payload</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2180" w:type="dxa"/>
            <w:vAlign w:val="bottom"/>
          </w:tcPr>
          <w:p>
            <w:pPr>
              <w:ind w:left="128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spacing w:after="0"/>
              <w:rPr>
                <w:sz w:val="22"/>
                <w:szCs w:val="22"/>
                <w:color w:val="auto"/>
              </w:rPr>
            </w:pPr>
          </w:p>
        </w:tc>
        <w:tc>
          <w:tcPr>
            <w:tcW w:w="3100" w:type="dxa"/>
            <w:vAlign w:val="bottom"/>
            <w:tcBorders>
              <w:right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114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2180" w:type="dxa"/>
            <w:vAlign w:val="bottom"/>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spacing w:after="0"/>
              <w:rPr>
                <w:sz w:val="22"/>
                <w:szCs w:val="22"/>
                <w:color w:val="auto"/>
              </w:rPr>
            </w:pPr>
          </w:p>
        </w:tc>
        <w:tc>
          <w:tcPr>
            <w:tcW w:w="3100" w:type="dxa"/>
            <w:vAlign w:val="bottom"/>
            <w:tcBorders>
              <w:right w:val="single" w:sz="8" w:color="auto"/>
            </w:tcBorders>
          </w:tcPr>
          <w:p>
            <w:pPr>
              <w:jc w:val="right"/>
              <w:ind w:right="2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i w:val="1"/>
                <w:iCs w:val="1"/>
                <w:color w:val="auto"/>
              </w:rPr>
              <w:t>Key</w:t>
            </w:r>
          </w:p>
        </w:tc>
        <w:tc>
          <w:tcPr>
            <w:tcW w:w="114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right"/>
              <w:ind w:right="810"/>
              <w:spacing w:after="0"/>
              <w:rPr>
                <w:sz w:val="20"/>
                <w:szCs w:val="20"/>
                <w:color w:val="auto"/>
              </w:rPr>
            </w:pPr>
            <w:r>
              <w:rPr>
                <w:rFonts w:ascii="Arial" w:cs="Arial" w:eastAsia="Arial" w:hAnsi="Arial"/>
                <w:sz w:val="18"/>
                <w:szCs w:val="18"/>
                <w:color w:val="auto"/>
              </w:rPr>
              <w:t>[***]</w:t>
            </w:r>
          </w:p>
        </w:tc>
        <w:tc>
          <w:tcPr>
            <w:tcW w:w="21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spacing w:after="0"/>
              <w:rPr>
                <w:sz w:val="7"/>
                <w:szCs w:val="7"/>
                <w:color w:val="auto"/>
              </w:rPr>
            </w:pPr>
          </w:p>
        </w:tc>
        <w:tc>
          <w:tcPr>
            <w:tcW w:w="3100" w:type="dxa"/>
            <w:vAlign w:val="bottom"/>
            <w:tcBorders>
              <w:right w:val="single" w:sz="8" w:color="auto"/>
            </w:tcBorders>
            <w:vMerge w:val="restart"/>
          </w:tcPr>
          <w:p>
            <w:pPr>
              <w:jc w:val="right"/>
              <w:ind w:right="2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vMerge w:val="continue"/>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vMerge w:val="continue"/>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31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i w:val="1"/>
                <w:iCs w:val="1"/>
                <w:color w:val="auto"/>
              </w:rPr>
              <w:t>Device</w:t>
            </w:r>
          </w:p>
        </w:tc>
        <w:tc>
          <w:tcPr>
            <w:tcW w:w="11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jc w:val="right"/>
              <w:ind w:right="810"/>
              <w:spacing w:after="0"/>
              <w:rPr>
                <w:sz w:val="20"/>
                <w:szCs w:val="20"/>
                <w:color w:val="auto"/>
              </w:rPr>
            </w:pPr>
            <w:r>
              <w:rPr>
                <w:rFonts w:ascii="Arial" w:cs="Arial" w:eastAsia="Arial" w:hAnsi="Arial"/>
                <w:sz w:val="18"/>
                <w:szCs w:val="18"/>
                <w:color w:val="auto"/>
              </w:rPr>
              <w:t>[***]</w:t>
            </w:r>
          </w:p>
        </w:tc>
        <w:tc>
          <w:tcPr>
            <w:tcW w:w="21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spacing w:after="0"/>
              <w:rPr>
                <w:sz w:val="18"/>
                <w:szCs w:val="18"/>
                <w:color w:val="auto"/>
              </w:rPr>
            </w:pPr>
          </w:p>
        </w:tc>
        <w:tc>
          <w:tcPr>
            <w:tcW w:w="3100" w:type="dxa"/>
            <w:vAlign w:val="bottom"/>
            <w:tcBorders>
              <w:right w:val="single" w:sz="8" w:color="auto"/>
            </w:tcBorders>
            <w:vMerge w:val="restart"/>
          </w:tcPr>
          <w:p>
            <w:pPr>
              <w:jc w:val="right"/>
              <w:ind w:right="2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400" w:type="dxa"/>
            <w:vAlign w:val="bottom"/>
            <w:tcBorders>
              <w:right w:val="single" w:sz="8" w:color="auto"/>
            </w:tcBorders>
            <w:vMerge w:val="continue"/>
          </w:tcPr>
          <w:p>
            <w:pPr>
              <w:spacing w:after="0"/>
              <w:rPr>
                <w:sz w:val="4"/>
                <w:szCs w:val="4"/>
                <w:color w:val="auto"/>
              </w:rPr>
            </w:pPr>
          </w:p>
        </w:tc>
        <w:tc>
          <w:tcPr>
            <w:tcW w:w="2180" w:type="dxa"/>
            <w:vAlign w:val="bottom"/>
            <w:vMerge w:val="continue"/>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31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1140" w:type="dxa"/>
            <w:vAlign w:val="bottom"/>
            <w:tcBorders>
              <w:right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2180" w:type="dxa"/>
            <w:vAlign w:val="bottom"/>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spacing w:after="0"/>
              <w:rPr>
                <w:sz w:val="22"/>
                <w:szCs w:val="22"/>
                <w:color w:val="auto"/>
              </w:rPr>
            </w:pPr>
          </w:p>
        </w:tc>
        <w:tc>
          <w:tcPr>
            <w:tcW w:w="3100" w:type="dxa"/>
            <w:vAlign w:val="bottom"/>
            <w:tcBorders>
              <w:right w:val="single" w:sz="8" w:color="auto"/>
            </w:tcBorders>
          </w:tcPr>
          <w:p>
            <w:pPr>
              <w:jc w:val="right"/>
              <w:ind w:right="2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940" w:type="dxa"/>
            <w:vAlign w:val="bottom"/>
            <w:tcBorders>
              <w:left w:val="single" w:sz="8" w:color="auto"/>
              <w:right w:val="single" w:sz="8" w:color="auto"/>
            </w:tcBorders>
            <w:vMerge w:val="restart"/>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vMerge w:val="restart"/>
          </w:tcPr>
          <w:p>
            <w:pPr>
              <w:jc w:val="right"/>
              <w:ind w:right="810"/>
              <w:spacing w:after="0"/>
              <w:rPr>
                <w:sz w:val="20"/>
                <w:szCs w:val="20"/>
                <w:color w:val="auto"/>
              </w:rPr>
            </w:pPr>
            <w:r>
              <w:rPr>
                <w:rFonts w:ascii="Arial" w:cs="Arial" w:eastAsia="Arial" w:hAnsi="Arial"/>
                <w:sz w:val="18"/>
                <w:szCs w:val="18"/>
                <w:color w:val="auto"/>
              </w:rPr>
              <w:t>[***]</w:t>
            </w:r>
          </w:p>
        </w:tc>
        <w:tc>
          <w:tcPr>
            <w:tcW w:w="21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spacing w:after="0"/>
              <w:rPr>
                <w:sz w:val="7"/>
                <w:szCs w:val="7"/>
                <w:color w:val="auto"/>
              </w:rPr>
            </w:pPr>
          </w:p>
        </w:tc>
        <w:tc>
          <w:tcPr>
            <w:tcW w:w="3100" w:type="dxa"/>
            <w:vAlign w:val="bottom"/>
            <w:tcBorders>
              <w:right w:val="single" w:sz="8" w:color="auto"/>
            </w:tcBorders>
            <w:vMerge w:val="restart"/>
          </w:tcPr>
          <w:p>
            <w:pPr>
              <w:jc w:val="right"/>
              <w:ind w:right="2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40" w:type="dxa"/>
            <w:vAlign w:val="bottom"/>
            <w:tcBorders>
              <w:left w:val="single" w:sz="8" w:color="auto"/>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3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3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58"/>
        </w:trPr>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80" w:type="dxa"/>
            <w:vAlign w:val="bottom"/>
          </w:tcPr>
          <w:p>
            <w:pPr>
              <w:ind w:left="118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4" w:name="page45"/>
    <w:bookmarkEnd w:id="44"/>
    <w:tbl>
      <w:tblPr>
        <w:tblLayout w:type="fixed"/>
        <w:tblInd w:w="331" w:type="dxa"/>
        <w:tblCellMar>
          <w:top w:w="0" w:type="dxa"/>
          <w:left w:w="0" w:type="dxa"/>
          <w:bottom w:w="0" w:type="dxa"/>
          <w:right w:w="0" w:type="dxa"/>
        </w:tblCellMar>
      </w:tblPr>
      <w:tr>
        <w:trPr>
          <w:trHeight w:val="284"/>
        </w:trPr>
        <w:tc>
          <w:tcPr>
            <w:tcW w:w="940" w:type="dxa"/>
            <w:vAlign w:val="bottom"/>
            <w:tcBorders>
              <w:top w:val="single" w:sz="8" w:color="auto"/>
              <w:left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right w:val="single" w:sz="8" w:color="auto"/>
            </w:tcBorders>
          </w:tcPr>
          <w:p>
            <w:pPr>
              <w:spacing w:after="0"/>
              <w:rPr>
                <w:sz w:val="24"/>
                <w:szCs w:val="24"/>
                <w:color w:val="auto"/>
              </w:rPr>
            </w:pPr>
          </w:p>
        </w:tc>
        <w:tc>
          <w:tcPr>
            <w:tcW w:w="6100" w:type="dxa"/>
            <w:vAlign w:val="bottom"/>
            <w:tcBorders>
              <w:top w:val="single" w:sz="8" w:color="auto"/>
              <w:right w:val="single" w:sz="8" w:color="auto"/>
            </w:tcBorders>
          </w:tcPr>
          <w:p>
            <w:pPr>
              <w:jc w:val="right"/>
              <w:ind w:right="5510"/>
              <w:spacing w:after="0"/>
              <w:rPr>
                <w:sz w:val="20"/>
                <w:szCs w:val="20"/>
                <w:color w:val="auto"/>
              </w:rPr>
            </w:pPr>
            <w:r>
              <w:rPr>
                <w:rFonts w:ascii="Arial" w:cs="Arial" w:eastAsia="Arial" w:hAnsi="Arial"/>
                <w:sz w:val="18"/>
                <w:szCs w:val="18"/>
                <w:color w:val="auto"/>
              </w:rPr>
              <w:t>[***]</w:t>
            </w:r>
          </w:p>
        </w:tc>
      </w:tr>
      <w:tr>
        <w:trPr>
          <w:trHeight w:val="54"/>
        </w:trPr>
        <w:tc>
          <w:tcPr>
            <w:tcW w:w="940" w:type="dxa"/>
            <w:vAlign w:val="bottom"/>
            <w:tcBorders>
              <w:left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r>
      <w:tr>
        <w:trPr>
          <w:trHeight w:val="264"/>
        </w:trPr>
        <w:tc>
          <w:tcPr>
            <w:tcW w:w="940" w:type="dxa"/>
            <w:vAlign w:val="bottom"/>
            <w:tcBorders>
              <w:left w:val="single" w:sz="8" w:color="auto"/>
              <w:right w:val="single" w:sz="8" w:color="auto"/>
            </w:tcBorders>
          </w:tcPr>
          <w:p>
            <w:pPr>
              <w:spacing w:after="0"/>
              <w:rPr>
                <w:sz w:val="22"/>
                <w:szCs w:val="22"/>
                <w:color w:val="auto"/>
              </w:rPr>
            </w:pPr>
          </w:p>
        </w:tc>
        <w:tc>
          <w:tcPr>
            <w:tcW w:w="114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tcPr>
          <w:p>
            <w:pPr>
              <w:spacing w:after="0"/>
              <w:rPr>
                <w:sz w:val="22"/>
                <w:szCs w:val="22"/>
                <w:color w:val="auto"/>
              </w:rPr>
            </w:pPr>
          </w:p>
        </w:tc>
        <w:tc>
          <w:tcPr>
            <w:tcW w:w="6100" w:type="dxa"/>
            <w:vAlign w:val="bottom"/>
            <w:tcBorders>
              <w:right w:val="single" w:sz="8" w:color="auto"/>
            </w:tcBorders>
          </w:tcPr>
          <w:p>
            <w:pPr>
              <w:jc w:val="right"/>
              <w:ind w:right="5510"/>
              <w:spacing w:after="0"/>
              <w:rPr>
                <w:sz w:val="20"/>
                <w:szCs w:val="20"/>
                <w:color w:val="auto"/>
              </w:rPr>
            </w:pPr>
            <w:r>
              <w:rPr>
                <w:rFonts w:ascii="Arial" w:cs="Arial" w:eastAsia="Arial" w:hAnsi="Arial"/>
                <w:sz w:val="18"/>
                <w:szCs w:val="18"/>
                <w:color w:val="auto"/>
              </w:rPr>
              <w:t>[***]</w:t>
            </w:r>
          </w:p>
        </w:tc>
      </w:tr>
      <w:tr>
        <w:trPr>
          <w:trHeight w:val="54"/>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r>
    </w:tbl>
    <w:p>
      <w:pPr>
        <w:ind w:left="1"/>
        <w:spacing w:after="0"/>
        <w:rPr>
          <w:sz w:val="20"/>
          <w:szCs w:val="20"/>
          <w:color w:val="auto"/>
        </w:rPr>
      </w:pPr>
      <w:r>
        <w:rPr>
          <w:rFonts w:ascii="Arial" w:cs="Arial" w:eastAsia="Arial" w:hAnsi="Arial"/>
          <w:sz w:val="18"/>
          <w:szCs w:val="18"/>
          <w:i w:val="1"/>
          <w:iCs w:val="1"/>
          <w:color w:val="auto"/>
        </w:rPr>
        <w:t xml:space="preserve">*convention: </w:t>
      </w:r>
      <w:r>
        <w:rPr>
          <w:rFonts w:ascii="Arial" w:cs="Arial" w:eastAsia="Arial" w:hAnsi="Arial"/>
          <w:sz w:val="18"/>
          <w:szCs w:val="18"/>
          <w:color w:val="auto"/>
        </w:rPr>
        <w:t>[***]</w:t>
      </w:r>
      <w:r>
        <w:rPr>
          <w:rFonts w:ascii="Arial" w:cs="Arial" w:eastAsia="Arial" w:hAnsi="Arial"/>
          <w:sz w:val="18"/>
          <w:szCs w:val="18"/>
          <w:i w:val="1"/>
          <w:iCs w:val="1"/>
          <w:color w:val="auto"/>
        </w:rPr>
        <w:t xml:space="preserve">, or </w:t>
      </w:r>
      <w:r>
        <w:rPr>
          <w:rFonts w:ascii="Arial" w:cs="Arial" w:eastAsia="Arial" w:hAnsi="Arial"/>
          <w:sz w:val="18"/>
          <w:szCs w:val="18"/>
          <w:color w:val="auto"/>
        </w:rPr>
        <w:t>[***]</w:t>
      </w:r>
      <w:r>
        <w:rPr>
          <w:rFonts w:ascii="Arial" w:cs="Arial" w:eastAsia="Arial" w:hAnsi="Arial"/>
          <w:sz w:val="18"/>
          <w:szCs w:val="18"/>
          <w:i w:val="1"/>
          <w:iCs w:val="1"/>
          <w:color w:val="auto"/>
        </w:rPr>
        <w:t xml:space="preserve"> specific column means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11" w:lineRule="exact"/>
        <w:rPr>
          <w:sz w:val="20"/>
          <w:szCs w:val="20"/>
          <w:color w:val="auto"/>
        </w:rPr>
      </w:pPr>
    </w:p>
    <w:p>
      <w:pPr>
        <w:jc w:val="both"/>
        <w:ind w:left="1" w:hanging="1"/>
        <w:spacing w:after="0" w:line="264" w:lineRule="auto"/>
        <w:tabs>
          <w:tab w:leader="none" w:pos="208"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following Section 2.2.2.1 is hereby newly inserted after Section 2.2.2 “[***]” (Subsection of “2.2 [***]”) of Attachment C (AeroVironment Statement of Work (SOW) for Hawk30 Prototype ProgramHigh Altitude Platform (HAP) Hawk30 Prototype Unmanned Aircraft System Specification) to the DDA:</w:t>
      </w:r>
    </w:p>
    <w:p>
      <w:pPr>
        <w:spacing w:after="0" w:line="181" w:lineRule="exact"/>
        <w:rPr>
          <w:sz w:val="20"/>
          <w:szCs w:val="20"/>
          <w:color w:val="auto"/>
        </w:rPr>
      </w:pPr>
    </w:p>
    <w:p>
      <w:pPr>
        <w:ind w:left="361"/>
        <w:spacing w:after="0"/>
        <w:rPr>
          <w:sz w:val="20"/>
          <w:szCs w:val="20"/>
          <w:color w:val="auto"/>
        </w:rPr>
      </w:pPr>
      <w:r>
        <w:rPr>
          <w:rFonts w:ascii="Arial" w:cs="Arial" w:eastAsia="Arial" w:hAnsi="Arial"/>
          <w:sz w:val="18"/>
          <w:szCs w:val="18"/>
          <w:color w:val="auto"/>
        </w:rPr>
        <w:t>2.2.2.1[***]</w:t>
      </w:r>
    </w:p>
    <w:p>
      <w:pPr>
        <w:spacing w:after="0" w:line="23" w:lineRule="exact"/>
        <w:rPr>
          <w:sz w:val="20"/>
          <w:szCs w:val="20"/>
          <w:color w:val="auto"/>
        </w:rPr>
      </w:pPr>
    </w:p>
    <w:p>
      <w:pPr>
        <w:ind w:left="361"/>
        <w:spacing w:after="0"/>
        <w:rPr>
          <w:sz w:val="20"/>
          <w:szCs w:val="20"/>
          <w:color w:val="auto"/>
        </w:rPr>
      </w:pPr>
      <w:r>
        <w:rPr>
          <w:rFonts w:ascii="Arial" w:cs="Arial" w:eastAsia="Arial" w:hAnsi="Arial"/>
          <w:sz w:val="18"/>
          <w:szCs w:val="18"/>
          <w:color w:val="auto"/>
        </w:rPr>
        <w:t>Objective: [***].</w:t>
      </w:r>
    </w:p>
    <w:p>
      <w:pPr>
        <w:spacing w:after="0" w:line="9" w:lineRule="exact"/>
        <w:rPr>
          <w:sz w:val="20"/>
          <w:szCs w:val="20"/>
          <w:color w:val="auto"/>
        </w:rPr>
      </w:pPr>
    </w:p>
    <w:p>
      <w:pPr>
        <w:ind w:left="361"/>
        <w:spacing w:after="0"/>
        <w:rPr>
          <w:sz w:val="20"/>
          <w:szCs w:val="20"/>
          <w:color w:val="auto"/>
        </w:rPr>
      </w:pPr>
      <w:r>
        <w:rPr>
          <w:rFonts w:ascii="Arial" w:cs="Arial" w:eastAsia="Arial" w:hAnsi="Arial"/>
          <w:sz w:val="18"/>
          <w:szCs w:val="18"/>
          <w:color w:val="auto"/>
        </w:rPr>
        <w:t>Approach: AeroVironment shall perform the following tasks as a part of this element:</w:t>
      </w:r>
    </w:p>
    <w:p>
      <w:pPr>
        <w:spacing w:after="0" w:line="9" w:lineRule="exact"/>
        <w:rPr>
          <w:sz w:val="20"/>
          <w:szCs w:val="20"/>
          <w:color w:val="auto"/>
        </w:rPr>
      </w:pPr>
    </w:p>
    <w:p>
      <w:pPr>
        <w:ind w:left="681" w:hanging="316"/>
        <w:spacing w:after="0"/>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1" w:hanging="316"/>
        <w:spacing w:after="0"/>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81" w:hanging="316"/>
        <w:spacing w:after="0"/>
        <w:tabs>
          <w:tab w:leader="none" w:pos="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361"/>
        <w:spacing w:after="0"/>
        <w:rPr>
          <w:sz w:val="20"/>
          <w:szCs w:val="20"/>
          <w:color w:val="auto"/>
        </w:rPr>
      </w:pPr>
      <w:r>
        <w:rPr>
          <w:rFonts w:ascii="Arial" w:cs="Arial" w:eastAsia="Arial" w:hAnsi="Arial"/>
          <w:sz w:val="18"/>
          <w:szCs w:val="18"/>
          <w:color w:val="auto"/>
        </w:rPr>
        <w:t>Exit Criteria: [***].</w:t>
      </w:r>
    </w:p>
    <w:p>
      <w:pPr>
        <w:spacing w:after="0" w:line="225" w:lineRule="exact"/>
        <w:rPr>
          <w:sz w:val="20"/>
          <w:szCs w:val="20"/>
          <w:color w:val="auto"/>
        </w:rPr>
      </w:pPr>
    </w:p>
    <w:p>
      <w:pPr>
        <w:ind w:left="361"/>
        <w:spacing w:after="0"/>
        <w:rPr>
          <w:sz w:val="20"/>
          <w:szCs w:val="20"/>
          <w:color w:val="auto"/>
        </w:rPr>
      </w:pPr>
      <w:r>
        <w:rPr>
          <w:rFonts w:ascii="Arial" w:cs="Arial" w:eastAsia="Arial" w:hAnsi="Arial"/>
          <w:sz w:val="18"/>
          <w:szCs w:val="18"/>
          <w:color w:val="auto"/>
        </w:rPr>
        <w:t>Task Output:</w:t>
      </w:r>
    </w:p>
    <w:p>
      <w:pPr>
        <w:spacing w:after="0" w:line="23" w:lineRule="exact"/>
        <w:rPr>
          <w:sz w:val="20"/>
          <w:szCs w:val="20"/>
          <w:color w:val="auto"/>
        </w:rPr>
      </w:pPr>
    </w:p>
    <w:p>
      <w:pPr>
        <w:ind w:left="681" w:hanging="316"/>
        <w:spacing w:after="0"/>
        <w:tabs>
          <w:tab w:leader="none" w:pos="681"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 w:hanging="1"/>
        <w:spacing w:after="0" w:line="264" w:lineRule="auto"/>
        <w:tabs>
          <w:tab w:leader="none" w:pos="266"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Heading of Section 3.2 “[***]” of Attachment C (AeroVironment Statement of Work (SOW) for Hawk30 Prototype ProgramHigh Altitude Platform (HAP) Hawk30 Prototype Unmanned Aircraft System Specification) to the DDA is hereby deleted in its entirety and replaced with new heading of Section 3.2 “[***]”.</w:t>
      </w:r>
    </w:p>
    <w:p>
      <w:pPr>
        <w:spacing w:after="0" w:line="181" w:lineRule="exact"/>
        <w:rPr>
          <w:rFonts w:ascii="Arial" w:cs="Arial" w:eastAsia="Arial" w:hAnsi="Arial"/>
          <w:sz w:val="18"/>
          <w:szCs w:val="18"/>
          <w:b w:val="1"/>
          <w:bCs w:val="1"/>
          <w:color w:val="auto"/>
        </w:rPr>
      </w:pPr>
    </w:p>
    <w:p>
      <w:pPr>
        <w:ind w:left="1" w:hanging="1"/>
        <w:spacing w:after="0" w:line="277" w:lineRule="auto"/>
        <w:tabs>
          <w:tab w:leader="none" w:pos="20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Table E-1 (Flight Test campaign key achievement requirement) of Attachment E (FLIGHT TEST) to the DDA (as amended by the Amendment No.7) is hereby deleted in its entirety and replaced with the following clauses:</w:t>
      </w:r>
    </w:p>
    <w:p>
      <w:pPr>
        <w:spacing w:after="0" w:line="166"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Table E-1 Flight Test campaign key achievement requirement</w:t>
      </w:r>
    </w:p>
    <w:p>
      <w:pPr>
        <w:spacing w:after="0" w:line="224" w:lineRule="exact"/>
        <w:rPr>
          <w:sz w:val="20"/>
          <w:szCs w:val="20"/>
          <w:color w:val="auto"/>
        </w:rPr>
      </w:pPr>
    </w:p>
    <w:tbl>
      <w:tblPr>
        <w:tblLayout w:type="fixed"/>
        <w:tblInd w:w="331" w:type="dxa"/>
        <w:tblCellMar>
          <w:top w:w="0" w:type="dxa"/>
          <w:left w:w="0" w:type="dxa"/>
          <w:bottom w:w="0" w:type="dxa"/>
          <w:right w:w="0" w:type="dxa"/>
        </w:tblCellMar>
      </w:tblPr>
      <w:tr>
        <w:trPr>
          <w:trHeight w:val="211"/>
        </w:trPr>
        <w:tc>
          <w:tcPr>
            <w:tcW w:w="186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Flight Test</w:t>
            </w:r>
          </w:p>
        </w:tc>
        <w:tc>
          <w:tcPr>
            <w:tcW w:w="19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Low Altitude Flight</w:t>
            </w:r>
          </w:p>
        </w:tc>
        <w:tc>
          <w:tcPr>
            <w:tcW w:w="18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High Altitude</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Long Duration</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Campaign Type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Test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Flight Test</w:t>
            </w:r>
          </w:p>
        </w:tc>
        <w:tc>
          <w:tcPr>
            <w:tcW w:w="21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Flight</w:t>
            </w:r>
          </w:p>
        </w:tc>
        <w:tc>
          <w:tcPr>
            <w:tcW w:w="0" w:type="dxa"/>
            <w:vAlign w:val="bottom"/>
          </w:tcPr>
          <w:p>
            <w:pPr>
              <w:spacing w:after="0"/>
              <w:rPr>
                <w:sz w:val="1"/>
                <w:szCs w:val="1"/>
                <w:color w:val="auto"/>
              </w:rPr>
            </w:pPr>
          </w:p>
        </w:tc>
      </w:tr>
      <w:tr>
        <w:trPr>
          <w:trHeight w:val="234"/>
        </w:trPr>
        <w:tc>
          <w:tcPr>
            <w:tcW w:w="186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Demonstration</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860" w:type="dxa"/>
            <w:vAlign w:val="bottom"/>
            <w:tcBorders>
              <w:left w:val="single" w:sz="8" w:color="auto"/>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1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Meet completion criteria</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Meet completion criteria</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Meet completion criteria as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Meet completion</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as defined in Attachment</w:t>
            </w:r>
          </w:p>
        </w:tc>
        <w:tc>
          <w:tcPr>
            <w:tcW w:w="1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7"/>
                <w:szCs w:val="17"/>
                <w:color w:val="auto"/>
                <w:w w:val="95"/>
              </w:rPr>
              <w:t>as defined in</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defined in Attachment H</w:t>
            </w:r>
          </w:p>
        </w:tc>
        <w:tc>
          <w:tcPr>
            <w:tcW w:w="17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7"/>
                <w:szCs w:val="17"/>
                <w:color w:val="auto"/>
                <w:w w:val="97"/>
              </w:rPr>
              <w:t>criteria as defined in</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Attachment H Project</w:t>
            </w:r>
          </w:p>
        </w:tc>
        <w:tc>
          <w:tcPr>
            <w:tcW w:w="21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Attachment H Project</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H Project Milestones</w:t>
            </w:r>
          </w:p>
        </w:tc>
        <w:tc>
          <w:tcPr>
            <w:tcW w:w="180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Project Milestones</w:t>
            </w:r>
          </w:p>
        </w:tc>
        <w:tc>
          <w:tcPr>
            <w:tcW w:w="1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60" w:type="dxa"/>
            <w:vAlign w:val="bottom"/>
            <w:tcBorders>
              <w:left w:val="single" w:sz="8" w:color="auto"/>
              <w:right w:val="single" w:sz="8" w:color="auto"/>
            </w:tcBorders>
          </w:tcPr>
          <w:p>
            <w:pPr>
              <w:spacing w:after="0"/>
              <w:rPr>
                <w:sz w:val="10"/>
                <w:szCs w:val="10"/>
                <w:color w:val="auto"/>
              </w:rPr>
            </w:pPr>
          </w:p>
        </w:tc>
        <w:tc>
          <w:tcPr>
            <w:tcW w:w="1980" w:type="dxa"/>
            <w:vAlign w:val="bottom"/>
            <w:tcBorders>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Milestones</w:t>
            </w:r>
          </w:p>
        </w:tc>
        <w:tc>
          <w:tcPr>
            <w:tcW w:w="2160" w:type="dxa"/>
            <w:vAlign w:val="bottom"/>
            <w:tcBorders>
              <w:right w:val="single" w:sz="8" w:color="auto"/>
            </w:tcBorders>
            <w:vMerge w:val="continue"/>
          </w:tcPr>
          <w:p>
            <w:pPr>
              <w:spacing w:after="0"/>
              <w:rPr>
                <w:sz w:val="10"/>
                <w:szCs w:val="10"/>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Milestones</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1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6" w:right="919" w:bottom="1440" w:gutter="0" w:footer="0" w:header="0"/>
        </w:sectPr>
      </w:pPr>
    </w:p>
    <w:bookmarkStart w:id="45" w:name="page46"/>
    <w:bookmarkEnd w:id="45"/>
    <w:p>
      <w:pPr>
        <w:jc w:val="both"/>
        <w:ind w:left="1" w:right="400" w:hanging="1"/>
        <w:spacing w:after="0" w:line="342" w:lineRule="auto"/>
        <w:tabs>
          <w:tab w:leader="none" w:pos="226"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Section 2.2.1 “[***]” (Subsection of “[***]”) of Attachment C (AeroVironment Statement of Work (SOW) for Hawk30 Prototype Program) to the DDA (as amended by the Amendment No.7) is hereby deleted in its entirety and replaced with the following clauses:</w:t>
      </w:r>
    </w:p>
    <w:p>
      <w:pPr>
        <w:spacing w:after="0" w:line="120" w:lineRule="exact"/>
        <w:rPr>
          <w:sz w:val="20"/>
          <w:szCs w:val="20"/>
          <w:color w:val="auto"/>
        </w:rPr>
      </w:pPr>
    </w:p>
    <w:p>
      <w:pPr>
        <w:ind w:left="181"/>
        <w:spacing w:after="0"/>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w:t>
      </w:r>
    </w:p>
    <w:p>
      <w:pPr>
        <w:spacing w:after="0" w:line="225" w:lineRule="exact"/>
        <w:rPr>
          <w:sz w:val="20"/>
          <w:szCs w:val="20"/>
          <w:color w:val="auto"/>
        </w:rPr>
      </w:pPr>
    </w:p>
    <w:p>
      <w:pPr>
        <w:ind w:left="641"/>
        <w:spacing w:after="0"/>
        <w:rPr>
          <w:sz w:val="20"/>
          <w:szCs w:val="20"/>
          <w:color w:val="auto"/>
        </w:rPr>
      </w:pPr>
      <w:r>
        <w:rPr>
          <w:rFonts w:ascii="Arial" w:cs="Arial" w:eastAsia="Arial" w:hAnsi="Arial"/>
          <w:sz w:val="18"/>
          <w:szCs w:val="18"/>
          <w:b w:val="1"/>
          <w:bCs w:val="1"/>
          <w:color w:val="auto"/>
        </w:rPr>
        <w:t>Objective</w:t>
      </w:r>
      <w:r>
        <w:rPr>
          <w:rFonts w:ascii="Arial" w:cs="Arial" w:eastAsia="Arial" w:hAnsi="Arial"/>
          <w:sz w:val="18"/>
          <w:szCs w:val="18"/>
          <w:color w:val="auto"/>
        </w:rPr>
        <w:t>: [***]</w:t>
      </w:r>
    </w:p>
    <w:p>
      <w:pPr>
        <w:spacing w:after="0" w:line="27" w:lineRule="exact"/>
        <w:rPr>
          <w:sz w:val="20"/>
          <w:szCs w:val="20"/>
          <w:color w:val="auto"/>
        </w:rPr>
      </w:pPr>
    </w:p>
    <w:p>
      <w:pPr>
        <w:ind w:left="641"/>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AeroVironment shall perform the following tasks as a part of this element:</w:t>
      </w:r>
    </w:p>
    <w:p>
      <w:pPr>
        <w:spacing w:after="0" w:line="9" w:lineRule="exact"/>
        <w:rPr>
          <w:sz w:val="20"/>
          <w:szCs w:val="20"/>
          <w:color w:val="auto"/>
        </w:rPr>
      </w:pPr>
    </w:p>
    <w:p>
      <w:pPr>
        <w:ind w:left="1301" w:hanging="328"/>
        <w:spacing w:after="0"/>
        <w:tabs>
          <w:tab w:leader="none" w:pos="1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1" w:hanging="328"/>
        <w:spacing w:after="0"/>
        <w:tabs>
          <w:tab w:leader="none" w:pos="1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1" w:hanging="328"/>
        <w:spacing w:after="0"/>
        <w:tabs>
          <w:tab w:leader="none" w:pos="1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1" w:hanging="328"/>
        <w:spacing w:after="0"/>
        <w:tabs>
          <w:tab w:leader="none" w:pos="1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1" w:hanging="328"/>
        <w:spacing w:after="0"/>
        <w:tabs>
          <w:tab w:leader="none" w:pos="1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1" w:hanging="328"/>
        <w:spacing w:after="0"/>
        <w:tabs>
          <w:tab w:leader="none" w:pos="1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1" w:hanging="328"/>
        <w:spacing w:after="0"/>
        <w:tabs>
          <w:tab w:leader="none" w:pos="13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641"/>
        <w:spacing w:after="0"/>
        <w:rPr>
          <w:sz w:val="20"/>
          <w:szCs w:val="20"/>
          <w:color w:val="auto"/>
        </w:rPr>
      </w:pPr>
      <w:r>
        <w:rPr>
          <w:rFonts w:ascii="Arial" w:cs="Arial" w:eastAsia="Arial" w:hAnsi="Arial"/>
          <w:sz w:val="18"/>
          <w:szCs w:val="18"/>
          <w:b w:val="1"/>
          <w:bCs w:val="1"/>
          <w:color w:val="auto"/>
        </w:rPr>
        <w:t xml:space="preserve">Exit Criteria: </w:t>
      </w:r>
      <w:r>
        <w:rPr>
          <w:rFonts w:ascii="Arial" w:cs="Arial" w:eastAsia="Arial" w:hAnsi="Arial"/>
          <w:sz w:val="18"/>
          <w:szCs w:val="18"/>
          <w:color w:val="auto"/>
        </w:rPr>
        <w:t>[***]</w:t>
      </w:r>
    </w:p>
    <w:p>
      <w:pPr>
        <w:spacing w:after="0" w:line="207" w:lineRule="exact"/>
        <w:rPr>
          <w:sz w:val="20"/>
          <w:szCs w:val="20"/>
          <w:color w:val="auto"/>
        </w:rPr>
      </w:pPr>
    </w:p>
    <w:p>
      <w:pPr>
        <w:ind w:left="641"/>
        <w:spacing w:after="0"/>
        <w:rPr>
          <w:sz w:val="20"/>
          <w:szCs w:val="20"/>
          <w:color w:val="auto"/>
        </w:rPr>
      </w:pPr>
      <w:r>
        <w:rPr>
          <w:rFonts w:ascii="Arial" w:cs="Arial" w:eastAsia="Arial" w:hAnsi="Arial"/>
          <w:sz w:val="18"/>
          <w:szCs w:val="18"/>
          <w:b w:val="1"/>
          <w:bCs w:val="1"/>
          <w:color w:val="auto"/>
        </w:rPr>
        <w:t>Task Output:</w:t>
      </w:r>
    </w:p>
    <w:p>
      <w:pPr>
        <w:spacing w:after="0" w:line="27" w:lineRule="exact"/>
        <w:rPr>
          <w:sz w:val="20"/>
          <w:szCs w:val="20"/>
          <w:color w:val="auto"/>
        </w:rPr>
      </w:pPr>
    </w:p>
    <w:p>
      <w:pPr>
        <w:ind w:left="1301" w:hanging="328"/>
        <w:spacing w:after="0"/>
        <w:tabs>
          <w:tab w:leader="none" w:pos="13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1" w:hanging="328"/>
        <w:spacing w:after="0"/>
        <w:tabs>
          <w:tab w:leader="none" w:pos="13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1" w:hanging="328"/>
        <w:spacing w:after="0"/>
        <w:tabs>
          <w:tab w:leader="none" w:pos="13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 w:right="340" w:hanging="1"/>
        <w:spacing w:after="0" w:line="277" w:lineRule="auto"/>
        <w:tabs>
          <w:tab w:leader="none" w:pos="181"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Article 3.5 (Subarticles of “3. DELIVERABLES &amp; MILESTONES”) of the body of DDA are hereby deleted in its entirety and each replaced with the following clauses:</w:t>
      </w:r>
    </w:p>
    <w:p>
      <w:pPr>
        <w:spacing w:after="0" w:line="170" w:lineRule="exact"/>
        <w:rPr>
          <w:sz w:val="20"/>
          <w:szCs w:val="20"/>
          <w:color w:val="auto"/>
        </w:rPr>
      </w:pPr>
    </w:p>
    <w:p>
      <w:pPr>
        <w:ind w:left="441" w:right="40" w:hanging="269"/>
        <w:spacing w:after="0" w:line="291" w:lineRule="auto"/>
        <w:rPr>
          <w:sz w:val="20"/>
          <w:szCs w:val="20"/>
          <w:color w:val="auto"/>
        </w:rPr>
      </w:pPr>
      <w:r>
        <w:rPr>
          <w:rFonts w:ascii="Arial" w:cs="Arial" w:eastAsia="Arial" w:hAnsi="Arial"/>
          <w:sz w:val="16"/>
          <w:szCs w:val="16"/>
          <w:color w:val="auto"/>
        </w:rPr>
        <w:t>3.5 For Hardware Deliverables, title and risk of loss of all materials, parts and components purchased by AV for the purpose of incorporating into the Hardware Deliverables (together, “Materials”), respectively, upon payment will transfer to HAPSMobile, and HAPSMobile shall pay AV the fee for Materials subject to Clause 1.3 of Attachment F. For the avoidance of doubt, (a) acceptance of fully assembled and finished Hardware Deliverables by HAPSMobile will be made upon completion of [***] ([***]) excluding all Hardware Deliverables previously shipped to flight test facility before the successful completion of [***], (b) risk of loss of the Hardware Deliverables during Flight Test series will be borne by HAPSMobile, and (c) AV will consult with HAPSMobile for its appropriate insurance arrangement to cover the risk of loss to the Hardware Deliverables during the Flight Test series.</w:t>
      </w:r>
    </w:p>
    <w:p>
      <w:pPr>
        <w:spacing w:after="0" w:line="163" w:lineRule="exact"/>
        <w:rPr>
          <w:sz w:val="20"/>
          <w:szCs w:val="20"/>
          <w:color w:val="auto"/>
        </w:rPr>
      </w:pPr>
    </w:p>
    <w:p>
      <w:pPr>
        <w:ind w:left="1"/>
        <w:spacing w:after="0" w:line="282" w:lineRule="auto"/>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 Attachment A (DELIVERABLES) to the DDA (as amended by the Amendments No.1, 2, 3, 4, 6, 7 and 8) is hereby deleted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and replaced with the attached new attachment herein, Attachment A, entitled (DELIVELABLES).</w:t>
      </w:r>
    </w:p>
    <w:p>
      <w:pPr>
        <w:spacing w:after="0" w:line="162" w:lineRule="exact"/>
        <w:rPr>
          <w:sz w:val="20"/>
          <w:szCs w:val="20"/>
          <w:color w:val="auto"/>
        </w:rPr>
      </w:pPr>
    </w:p>
    <w:p>
      <w:pPr>
        <w:ind w:left="1"/>
        <w:spacing w:after="0" w:line="282" w:lineRule="auto"/>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 Attachment H (PROJECT MILESTONE) to the DDA (as amended by the Amendments No.2, 4, 5, 6 and 7) is hereby deleted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and replaced with the attached new attachment herein, Attachment H, entitled (PROJECT MILESTONE).</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9</w:t>
      </w:r>
      <w:r>
        <w:rPr>
          <w:rFonts w:ascii="Arial" w:cs="Arial" w:eastAsia="Arial" w:hAnsi="Arial"/>
          <w:sz w:val="17"/>
          <w:szCs w:val="17"/>
          <w:color w:val="auto"/>
        </w:rPr>
        <w:t>. Attachment F (INVOICE AND INCURRED COSTS DOCUMENTATION) to the DDA (as amended by the Amendments No.1, 5 and</w:t>
      </w:r>
    </w:p>
    <w:p>
      <w:pPr>
        <w:spacing w:after="0" w:line="39" w:lineRule="exact"/>
        <w:rPr>
          <w:sz w:val="20"/>
          <w:szCs w:val="20"/>
          <w:color w:val="auto"/>
        </w:rPr>
      </w:pPr>
    </w:p>
    <w:p>
      <w:pPr>
        <w:ind w:left="1" w:hanging="1"/>
        <w:spacing w:after="0" w:line="261" w:lineRule="auto"/>
        <w:tabs>
          <w:tab w:leader="none" w:pos="2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hereby deleted in its entirety and replaced with the attached new attachment herein, Attachment F, entitled (INVOICE AND INCURRED COSTS DOCUMENTATION).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1" w:right="919" w:bottom="1440" w:gutter="0" w:footer="0" w:header="0"/>
        </w:sectPr>
      </w:pPr>
    </w:p>
    <w:bookmarkStart w:id="46" w:name="page47"/>
    <w:bookmarkEnd w:id="46"/>
    <w:p>
      <w:pPr>
        <w:jc w:val="both"/>
        <w:spacing w:after="0" w:line="314" w:lineRule="auto"/>
        <w:rPr>
          <w:sz w:val="20"/>
          <w:szCs w:val="20"/>
          <w:color w:val="auto"/>
        </w:rPr>
      </w:pPr>
      <w:r>
        <w:rPr>
          <w:rFonts w:ascii="Arial" w:cs="Arial" w:eastAsia="Arial" w:hAnsi="Arial"/>
          <w:sz w:val="16"/>
          <w:szCs w:val="16"/>
          <w:b w:val="1"/>
          <w:bCs w:val="1"/>
          <w:color w:val="auto"/>
        </w:rPr>
        <w:t>10</w:t>
      </w:r>
      <w:r>
        <w:rPr>
          <w:rFonts w:ascii="Arial" w:cs="Arial" w:eastAsia="Arial" w:hAnsi="Arial"/>
          <w:sz w:val="16"/>
          <w:szCs w:val="16"/>
          <w:color w:val="auto"/>
        </w:rPr>
        <w:t>. All other terms and conditions not specifically modified or amended herein remain in full force and effect as provided for in the DDA</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Attachments, including Amendments 1 through 8. Capitalized terms, unless otherwise defined herein, shall have the meaning set forth in the DDA. This Amendment may only be modified or amended by a written document executed by the parties hereto.</w:t>
      </w:r>
    </w:p>
    <w:p>
      <w:pPr>
        <w:spacing w:after="0" w:line="36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7" w:right="91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IN WITNESS WHEREOF the Parties hereto have signed and executed this Amendment on the date(s)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SIGNED for and on behalf of</w:t>
            </w: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SIGNED for and on behalf of</w:t>
            </w:r>
          </w:p>
        </w:tc>
      </w:tr>
      <w:tr>
        <w:trPr>
          <w:trHeight w:val="432"/>
        </w:trPr>
        <w:tc>
          <w:tcPr>
            <w:tcW w:w="5060" w:type="dxa"/>
            <w:vAlign w:val="bottom"/>
            <w:gridSpan w:val="3"/>
          </w:tcPr>
          <w:p>
            <w:pPr>
              <w:spacing w:after="0"/>
              <w:rPr>
                <w:sz w:val="20"/>
                <w:szCs w:val="20"/>
                <w:color w:val="auto"/>
              </w:rPr>
            </w:pPr>
            <w:r>
              <w:rPr>
                <w:rFonts w:ascii="Arial" w:cs="Arial" w:eastAsia="Arial" w:hAnsi="Arial"/>
                <w:sz w:val="18"/>
                <w:szCs w:val="18"/>
                <w:color w:val="auto"/>
              </w:rPr>
              <w:t>HAPSMobile Inc.</w:t>
            </w:r>
          </w:p>
        </w:tc>
        <w:tc>
          <w:tcPr>
            <w:tcW w:w="5000" w:type="dxa"/>
            <w:vAlign w:val="bottom"/>
            <w:gridSpan w:val="2"/>
          </w:tcPr>
          <w:p>
            <w:pPr>
              <w:ind w:left="340"/>
              <w:spacing w:after="0"/>
              <w:rPr>
                <w:sz w:val="20"/>
                <w:szCs w:val="20"/>
                <w:color w:val="auto"/>
              </w:rPr>
            </w:pPr>
            <w:r>
              <w:rPr>
                <w:rFonts w:ascii="Arial" w:cs="Arial" w:eastAsia="Arial" w:hAnsi="Arial"/>
                <w:sz w:val="18"/>
                <w:szCs w:val="18"/>
                <w:color w:val="auto"/>
              </w:rPr>
              <w:t>AeroVironment,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/s/ Junichi Miyakawa</w:t>
            </w:r>
          </w:p>
        </w:tc>
        <w:tc>
          <w:tcPr>
            <w:tcW w:w="840" w:type="dxa"/>
            <w:vAlign w:val="bottom"/>
          </w:tcPr>
          <w:p>
            <w:pPr>
              <w:ind w:left="340"/>
              <w:spacing w:after="0"/>
              <w:rPr>
                <w:sz w:val="20"/>
                <w:szCs w:val="20"/>
                <w:color w:val="auto"/>
              </w:rPr>
            </w:pPr>
            <w:r>
              <w:rPr>
                <w:rFonts w:ascii="Arial" w:cs="Arial" w:eastAsia="Arial" w:hAnsi="Arial"/>
                <w:sz w:val="18"/>
                <w:szCs w:val="18"/>
                <w:color w:val="auto"/>
              </w:rPr>
              <w:t>By:</w:t>
            </w:r>
          </w:p>
        </w:tc>
        <w:tc>
          <w:tcPr>
            <w:tcW w:w="4160" w:type="dxa"/>
            <w:vAlign w:val="bottom"/>
          </w:tcPr>
          <w:p>
            <w:pPr>
              <w:spacing w:after="0"/>
              <w:rPr>
                <w:sz w:val="20"/>
                <w:szCs w:val="20"/>
                <w:color w:val="auto"/>
              </w:rPr>
            </w:pPr>
            <w:r>
              <w:rPr>
                <w:rFonts w:ascii="Arial" w:cs="Arial" w:eastAsia="Arial" w:hAnsi="Arial"/>
                <w:sz w:val="18"/>
                <w:szCs w:val="18"/>
                <w:color w:val="auto"/>
              </w:rPr>
              <w:t>/s/ Trace Stevenson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6"/>
                <w:szCs w:val="16"/>
                <w:color w:val="auto"/>
              </w:rPr>
            </w:pPr>
          </w:p>
        </w:tc>
        <w:tc>
          <w:tcPr>
            <w:tcW w:w="4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Junichi Miyakawa</w:t>
            </w:r>
          </w:p>
        </w:tc>
        <w:tc>
          <w:tcPr>
            <w:tcW w:w="840" w:type="dxa"/>
            <w:vAlign w:val="bottom"/>
          </w:tcPr>
          <w:p>
            <w:pPr>
              <w:ind w:left="340"/>
              <w:spacing w:after="0" w:line="195" w:lineRule="exact"/>
              <w:rPr>
                <w:sz w:val="20"/>
                <w:szCs w:val="20"/>
                <w:color w:val="auto"/>
              </w:rPr>
            </w:pPr>
            <w:r>
              <w:rPr>
                <w:rFonts w:ascii="Arial" w:cs="Arial" w:eastAsia="Arial" w:hAnsi="Arial"/>
                <w:sz w:val="18"/>
                <w:szCs w:val="18"/>
                <w:color w:val="auto"/>
                <w:w w:val="90"/>
              </w:rPr>
              <w:t>Name:</w:t>
            </w: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 Stevenson</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President and CEO</w:t>
            </w:r>
          </w:p>
        </w:tc>
        <w:tc>
          <w:tcPr>
            <w:tcW w:w="840" w:type="dxa"/>
            <w:vAlign w:val="bottom"/>
          </w:tcPr>
          <w:p>
            <w:pPr>
              <w:ind w:left="340"/>
              <w:spacing w:after="0"/>
              <w:rPr>
                <w:sz w:val="20"/>
                <w:szCs w:val="20"/>
                <w:color w:val="auto"/>
              </w:rPr>
            </w:pPr>
            <w:r>
              <w:rPr>
                <w:rFonts w:ascii="Arial" w:cs="Arial" w:eastAsia="Arial" w:hAnsi="Arial"/>
                <w:sz w:val="18"/>
                <w:szCs w:val="18"/>
                <w:color w:val="auto"/>
              </w:rPr>
              <w:t>Title:</w:t>
            </w:r>
          </w:p>
        </w:tc>
        <w:tc>
          <w:tcPr>
            <w:tcW w:w="4160" w:type="dxa"/>
            <w:vAlign w:val="bottom"/>
          </w:tcPr>
          <w:p>
            <w:pPr>
              <w:spacing w:after="0"/>
              <w:rPr>
                <w:sz w:val="20"/>
                <w:szCs w:val="20"/>
                <w:color w:val="auto"/>
              </w:rPr>
            </w:pPr>
            <w:r>
              <w:rPr>
                <w:rFonts w:ascii="Arial" w:cs="Arial" w:eastAsia="Arial" w:hAnsi="Arial"/>
                <w:sz w:val="18"/>
                <w:szCs w:val="18"/>
                <w:color w:val="auto"/>
              </w:rPr>
              <w:t>VP Emerging Business and Deputy GM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2019/11/15</w:t>
            </w:r>
          </w:p>
        </w:tc>
        <w:tc>
          <w:tcPr>
            <w:tcW w:w="840" w:type="dxa"/>
            <w:vAlign w:val="bottom"/>
          </w:tcPr>
          <w:p>
            <w:pPr>
              <w:ind w:left="340"/>
              <w:spacing w:after="0"/>
              <w:rPr>
                <w:sz w:val="20"/>
                <w:szCs w:val="20"/>
                <w:color w:val="auto"/>
              </w:rPr>
            </w:pPr>
            <w:r>
              <w:rPr>
                <w:rFonts w:ascii="Arial" w:cs="Arial" w:eastAsia="Arial" w:hAnsi="Arial"/>
                <w:sz w:val="18"/>
                <w:szCs w:val="18"/>
                <w:color w:val="auto"/>
              </w:rPr>
              <w:t>Date:</w:t>
            </w:r>
          </w:p>
        </w:tc>
        <w:tc>
          <w:tcPr>
            <w:tcW w:w="4160" w:type="dxa"/>
            <w:vAlign w:val="bottom"/>
          </w:tcPr>
          <w:p>
            <w:pPr>
              <w:spacing w:after="0"/>
              <w:rPr>
                <w:sz w:val="20"/>
                <w:szCs w:val="20"/>
                <w:color w:val="auto"/>
              </w:rPr>
            </w:pPr>
            <w:r>
              <w:rPr>
                <w:rFonts w:ascii="Arial" w:cs="Arial" w:eastAsia="Arial" w:hAnsi="Arial"/>
                <w:sz w:val="18"/>
                <w:szCs w:val="18"/>
                <w:color w:val="auto"/>
              </w:rPr>
              <w:t>2019/12/2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ATTACHMENT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DELIVERABLES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Attachment A is revised in its entirety by the Amendment No. 9 to the DDA)</w:t>
      </w:r>
    </w:p>
    <w:p>
      <w:pPr>
        <w:spacing w:after="0" w:line="207" w:lineRule="exact"/>
        <w:rPr>
          <w:sz w:val="20"/>
          <w:szCs w:val="20"/>
          <w:color w:val="auto"/>
        </w:rPr>
      </w:pPr>
    </w:p>
    <w:p>
      <w:pPr>
        <w:ind w:left="181" w:hanging="181"/>
        <w:spacing w:after="0"/>
        <w:tabs>
          <w:tab w:leader="none" w:pos="181"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Hardware Deliverables</w:t>
      </w:r>
    </w:p>
    <w:p>
      <w:pPr>
        <w:spacing w:after="0" w:line="225" w:lineRule="exact"/>
        <w:rPr>
          <w:rFonts w:ascii="Arial" w:cs="Arial" w:eastAsia="Arial" w:hAnsi="Arial"/>
          <w:sz w:val="18"/>
          <w:szCs w:val="18"/>
          <w:b w:val="1"/>
          <w:bCs w:val="1"/>
          <w:color w:val="auto"/>
        </w:rPr>
      </w:pPr>
    </w:p>
    <w:p>
      <w:pPr>
        <w:ind w:left="1"/>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 Aircraft Deliverables</w:t>
      </w:r>
    </w:p>
    <w:p>
      <w:pPr>
        <w:spacing w:after="0" w:line="224" w:lineRule="exact"/>
        <w:rPr>
          <w:sz w:val="20"/>
          <w:szCs w:val="20"/>
          <w:color w:val="auto"/>
        </w:rPr>
      </w:pPr>
    </w:p>
    <w:tbl>
      <w:tblPr>
        <w:tblLayout w:type="fixed"/>
        <w:tblInd w:w="11" w:type="dxa"/>
        <w:tblCellMar>
          <w:top w:w="0" w:type="dxa"/>
          <w:left w:w="0" w:type="dxa"/>
          <w:bottom w:w="0" w:type="dxa"/>
          <w:right w:w="0" w:type="dxa"/>
        </w:tblCellMar>
      </w:tblPr>
      <w:tr>
        <w:trPr>
          <w:trHeight w:val="211"/>
        </w:trPr>
        <w:tc>
          <w:tcPr>
            <w:tcW w:w="2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Deliverables</w:t>
            </w:r>
          </w:p>
        </w:tc>
        <w:tc>
          <w:tcPr>
            <w:tcW w:w="39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b w:val="1"/>
                <w:bCs w:val="1"/>
                <w:color w:val="auto"/>
              </w:rPr>
              <w:t>Deliverable Description</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Relevant</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Milestone</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39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WBS</w:t>
            </w:r>
          </w:p>
        </w:tc>
        <w:tc>
          <w:tcPr>
            <w:tcW w:w="1220" w:type="dxa"/>
            <w:vAlign w:val="bottom"/>
            <w:tcBorders>
              <w:right w:val="single" w:sz="8" w:color="auto"/>
            </w:tcBorders>
          </w:tcPr>
          <w:p>
            <w:pPr>
              <w:ind w:left="500"/>
              <w:spacing w:after="0"/>
              <w:rPr>
                <w:sz w:val="20"/>
                <w:szCs w:val="20"/>
                <w:color w:val="auto"/>
              </w:rPr>
            </w:pPr>
            <w:r>
              <w:rPr>
                <w:rFonts w:ascii="Arial" w:cs="Arial" w:eastAsia="Arial" w:hAnsi="Arial"/>
                <w:sz w:val="18"/>
                <w:szCs w:val="18"/>
                <w:b w:val="1"/>
                <w:bCs w:val="1"/>
                <w:color w:val="auto"/>
              </w:rPr>
              <w:t>No.</w:t>
            </w:r>
          </w:p>
        </w:tc>
        <w:tc>
          <w:tcPr>
            <w:tcW w:w="1720" w:type="dxa"/>
            <w:vAlign w:val="bottom"/>
            <w:tcBorders>
              <w:right w:val="single" w:sz="8" w:color="auto"/>
            </w:tcBorders>
          </w:tcPr>
          <w:p>
            <w:pPr>
              <w:ind w:left="400"/>
              <w:spacing w:after="0"/>
              <w:rPr>
                <w:sz w:val="20"/>
                <w:szCs w:val="20"/>
                <w:color w:val="auto"/>
              </w:rPr>
            </w:pPr>
            <w:r>
              <w:rPr>
                <w:rFonts w:ascii="Arial" w:cs="Arial" w:eastAsia="Arial" w:hAnsi="Arial"/>
                <w:sz w:val="18"/>
                <w:szCs w:val="18"/>
                <w:b w:val="1"/>
                <w:bCs w:val="1"/>
                <w:color w:val="auto"/>
              </w:rPr>
              <w:t>Completion</w:t>
            </w:r>
          </w:p>
        </w:tc>
      </w:tr>
      <w:tr>
        <w:trPr>
          <w:trHeight w:val="234"/>
        </w:trPr>
        <w:tc>
          <w:tcPr>
            <w:tcW w:w="2020" w:type="dxa"/>
            <w:vAlign w:val="bottom"/>
            <w:tcBorders>
              <w:left w:val="single" w:sz="8" w:color="auto"/>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24"/>
        </w:trPr>
        <w:tc>
          <w:tcPr>
            <w:tcW w:w="20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Hawk30 Prototype [***]</w:t>
            </w:r>
          </w:p>
        </w:tc>
        <w:tc>
          <w:tcPr>
            <w:tcW w:w="3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Stratospheric solar aircraft [***]</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2.3.2.3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3"/>
        </w:trPr>
        <w:tc>
          <w:tcPr>
            <w:tcW w:w="2020" w:type="dxa"/>
            <w:vAlign w:val="bottom"/>
            <w:tcBorders>
              <w:left w:val="single" w:sz="8" w:color="auto"/>
              <w:bottom w:val="single" w:sz="8" w:color="auto"/>
              <w:right w:val="single" w:sz="8" w:color="auto"/>
            </w:tcBorders>
          </w:tcPr>
          <w:p>
            <w:pPr>
              <w:spacing w:after="0"/>
              <w:rPr>
                <w:sz w:val="4"/>
                <w:szCs w:val="4"/>
                <w:color w:val="auto"/>
              </w:rPr>
            </w:pPr>
          </w:p>
        </w:tc>
        <w:tc>
          <w:tcPr>
            <w:tcW w:w="398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r>
      <w:tr>
        <w:trPr>
          <w:trHeight w:val="210"/>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Hawk30 Prototype [***]</w:t>
            </w:r>
          </w:p>
        </w:tc>
        <w:tc>
          <w:tcPr>
            <w:tcW w:w="3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Stratospheric solar aircraft [***]</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2.3.2.6</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 xml:space="preserve">*1.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 xml:space="preserve">*2.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 xml:space="preserve">*3.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sz w:val="20"/>
          <w:szCs w:val="20"/>
          <w:color w:val="auto"/>
        </w:rPr>
      </w:pPr>
    </w:p>
    <w:p>
      <w:pPr>
        <w:ind w:left="361"/>
        <w:spacing w:after="0"/>
        <w:rPr>
          <w:sz w:val="20"/>
          <w:szCs w:val="20"/>
          <w:color w:val="auto"/>
        </w:rPr>
      </w:pPr>
      <w:r>
        <w:rPr>
          <w:rFonts w:ascii="Arial" w:cs="Arial" w:eastAsia="Arial" w:hAnsi="Arial"/>
          <w:sz w:val="18"/>
          <w:szCs w:val="18"/>
          <w:color w:val="auto"/>
        </w:rPr>
        <w:t>The current physical solar array implementation plan is as follows:</w:t>
      </w:r>
    </w:p>
    <w:p>
      <w:pPr>
        <w:spacing w:after="0" w:line="225" w:lineRule="exact"/>
        <w:rPr>
          <w:sz w:val="20"/>
          <w:szCs w:val="20"/>
          <w:color w:val="auto"/>
        </w:rPr>
      </w:pPr>
    </w:p>
    <w:p>
      <w:pPr>
        <w:ind w:left="361"/>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61"/>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152400</wp:posOffset>
            </wp:positionV>
            <wp:extent cx="4827905" cy="2143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482790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right="4140" w:hanging="1"/>
        <w:spacing w:after="0" w:line="323" w:lineRule="auto"/>
        <w:tabs>
          <w:tab w:leader="none" w:pos="4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7" w:right="9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1.2 Ground Control System</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 w:type="dxa"/>
            <w:vAlign w:val="bottom"/>
            <w:tcBorders>
              <w:right w:val="single" w:sz="8" w:color="auto"/>
            </w:tcBorders>
          </w:tcPr>
          <w:p>
            <w:pPr>
              <w:spacing w:after="0"/>
              <w:rPr>
                <w:sz w:val="18"/>
                <w:szCs w:val="18"/>
                <w:color w:val="auto"/>
              </w:rPr>
            </w:pPr>
          </w:p>
        </w:tc>
        <w:tc>
          <w:tcPr>
            <w:tcW w:w="242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Deliverables Name</w:t>
            </w:r>
          </w:p>
        </w:tc>
        <w:tc>
          <w:tcPr>
            <w:tcW w:w="348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Deliverable Description</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Relevant</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Milestone</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WBS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Completion</w:t>
            </w:r>
          </w:p>
        </w:tc>
      </w:tr>
      <w:tr>
        <w:trPr>
          <w:trHeight w:val="234"/>
        </w:trPr>
        <w:tc>
          <w:tcPr>
            <w:tcW w:w="40" w:type="dxa"/>
            <w:vAlign w:val="bottom"/>
            <w:tcBorders>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95"/>
        </w:trPr>
        <w:tc>
          <w:tcPr>
            <w:tcW w:w="40" w:type="dxa"/>
            <w:vAlign w:val="bottom"/>
            <w:tcBorders>
              <w:right w:val="single" w:sz="8" w:color="auto"/>
            </w:tcBorders>
          </w:tcPr>
          <w:p>
            <w:pPr>
              <w:spacing w:after="0"/>
              <w:rPr>
                <w:sz w:val="16"/>
                <w:szCs w:val="16"/>
                <w:color w:val="auto"/>
              </w:rPr>
            </w:pPr>
          </w:p>
        </w:tc>
        <w:tc>
          <w:tcPr>
            <w:tcW w:w="24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Ground Control Stations and</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9"/>
              </w:rPr>
              <w:t>Ground Control Station [***] of the Hawk30</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2.2.6</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30"/>
        </w:trPr>
        <w:tc>
          <w:tcPr>
            <w:tcW w:w="40" w:type="dxa"/>
            <w:vAlign w:val="bottom"/>
            <w:tcBorders>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Misc. Equipment</w:t>
            </w:r>
          </w:p>
        </w:tc>
        <w:tc>
          <w:tcPr>
            <w:tcW w:w="3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Prototype [***]</w:t>
            </w:r>
          </w:p>
        </w:tc>
        <w:tc>
          <w:tcPr>
            <w:tcW w:w="1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24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Hawk30 Prototype Operating</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Technical Data Package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1.2.4.1</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30"/>
        </w:trPr>
        <w:tc>
          <w:tcPr>
            <w:tcW w:w="40" w:type="dxa"/>
            <w:vAlign w:val="bottom"/>
            <w:tcBorders>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Manuals</w:t>
            </w:r>
          </w:p>
        </w:tc>
        <w:tc>
          <w:tcPr>
            <w:tcW w:w="34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24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Hawk30 Prototype Training</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Technical Data Package</w:t>
            </w:r>
          </w:p>
        </w:tc>
        <w:tc>
          <w:tcPr>
            <w:tcW w:w="11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1.2.4.2</w:t>
            </w:r>
          </w:p>
        </w:tc>
        <w:tc>
          <w:tcPr>
            <w:tcW w:w="12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30"/>
        </w:trPr>
        <w:tc>
          <w:tcPr>
            <w:tcW w:w="40" w:type="dxa"/>
            <w:vAlign w:val="bottom"/>
            <w:tcBorders>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Manuals</w:t>
            </w:r>
          </w:p>
        </w:tc>
        <w:tc>
          <w:tcPr>
            <w:tcW w:w="34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i w:val="1"/>
                <w:iCs w:val="1"/>
                <w:color w:val="auto"/>
              </w:rPr>
              <w:t xml:space="preserve">*1 </w:t>
            </w:r>
            <w:r>
              <w:rPr>
                <w:rFonts w:ascii="Arial" w:cs="Arial" w:eastAsia="Arial" w:hAnsi="Arial"/>
                <w:sz w:val="18"/>
                <w:szCs w:val="18"/>
                <w:color w:val="auto"/>
              </w:rPr>
              <w:t>[***]</w:t>
            </w:r>
            <w:r>
              <w:rPr>
                <w:rFonts w:ascii="Arial" w:cs="Arial" w:eastAsia="Arial" w:hAnsi="Arial"/>
                <w:sz w:val="18"/>
                <w:szCs w:val="18"/>
                <w:i w:val="1"/>
                <w:iCs w:val="1"/>
                <w:color w:val="auto"/>
              </w:rPr>
              <w:t>.</w:t>
            </w:r>
          </w:p>
        </w:tc>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1.3 Motor Development</w:t>
            </w:r>
          </w:p>
        </w:tc>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460" w:type="dxa"/>
            <w:vAlign w:val="bottom"/>
            <w:tcBorders>
              <w:top w:val="single" w:sz="8" w:color="auto"/>
              <w:left w:val="single" w:sz="8" w:color="auto"/>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Deliverables Name</w:t>
            </w:r>
          </w:p>
        </w:tc>
        <w:tc>
          <w:tcPr>
            <w:tcW w:w="348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Deliverable Description</w:t>
            </w:r>
          </w:p>
        </w:tc>
        <w:tc>
          <w:tcPr>
            <w:tcW w:w="11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Relevant</w:t>
            </w:r>
          </w:p>
        </w:tc>
        <w:tc>
          <w:tcPr>
            <w:tcW w:w="12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Milestone</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WBS</w:t>
            </w:r>
          </w:p>
        </w:tc>
        <w:tc>
          <w:tcPr>
            <w:tcW w:w="126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No.</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Completion</w:t>
            </w:r>
          </w:p>
        </w:tc>
      </w:tr>
      <w:tr>
        <w:trPr>
          <w:trHeight w:val="234"/>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0"/>
        </w:trPr>
        <w:tc>
          <w:tcPr>
            <w:tcW w:w="2460" w:type="dxa"/>
            <w:vAlign w:val="bottom"/>
            <w:tcBorders>
              <w:left w:val="single" w:sz="8" w:color="auto"/>
              <w:bottom w:val="single" w:sz="8" w:color="auto"/>
              <w:right w:val="single" w:sz="8" w:color="auto"/>
            </w:tcBorders>
          </w:tcPr>
          <w:p>
            <w:pPr>
              <w:jc w:val="right"/>
              <w:ind w:right="1910"/>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Project Data Memo</w:t>
            </w:r>
          </w:p>
        </w:tc>
        <w:tc>
          <w:tcPr>
            <w:tcW w:w="11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w w:val="99"/>
              </w:rPr>
              <w:t>2.2.1</w:t>
            </w:r>
          </w:p>
        </w:tc>
        <w:tc>
          <w:tcPr>
            <w:tcW w:w="126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w:t>
            </w:r>
          </w:p>
        </w:tc>
      </w:tr>
      <w:tr>
        <w:trPr>
          <w:trHeight w:val="210"/>
        </w:trPr>
        <w:tc>
          <w:tcPr>
            <w:tcW w:w="2460" w:type="dxa"/>
            <w:vAlign w:val="bottom"/>
            <w:tcBorders>
              <w:left w:val="single" w:sz="8" w:color="auto"/>
              <w:bottom w:val="single" w:sz="8" w:color="auto"/>
              <w:right w:val="single" w:sz="8" w:color="auto"/>
            </w:tcBorders>
          </w:tcPr>
          <w:p>
            <w:pPr>
              <w:jc w:val="right"/>
              <w:ind w:right="1910"/>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w w:val="99"/>
              </w:rPr>
              <w:t>2.2.1</w:t>
            </w:r>
          </w:p>
        </w:tc>
        <w:tc>
          <w:tcPr>
            <w:tcW w:w="126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w:t>
            </w:r>
          </w:p>
        </w:tc>
      </w:tr>
      <w:tr>
        <w:trPr>
          <w:trHeight w:val="210"/>
        </w:trPr>
        <w:tc>
          <w:tcPr>
            <w:tcW w:w="2460" w:type="dxa"/>
            <w:vAlign w:val="bottom"/>
            <w:tcBorders>
              <w:left w:val="single" w:sz="8" w:color="auto"/>
              <w:bottom w:val="single" w:sz="8" w:color="auto"/>
              <w:right w:val="single" w:sz="8" w:color="auto"/>
            </w:tcBorders>
          </w:tcPr>
          <w:p>
            <w:pPr>
              <w:jc w:val="right"/>
              <w:ind w:right="1910"/>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Technical data package of [***]</w:t>
            </w:r>
          </w:p>
        </w:tc>
        <w:tc>
          <w:tcPr>
            <w:tcW w:w="116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w w:val="99"/>
              </w:rPr>
              <w:t>2.2.1</w:t>
            </w:r>
          </w:p>
        </w:tc>
        <w:tc>
          <w:tcPr>
            <w:tcW w:w="126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color w:val="auto"/>
              </w:rPr>
              <w:t>[***]</w:t>
            </w:r>
          </w:p>
        </w:tc>
      </w:tr>
      <w:tr>
        <w:trPr>
          <w:trHeight w:val="426"/>
        </w:trPr>
        <w:tc>
          <w:tcPr>
            <w:tcW w:w="2460" w:type="dxa"/>
            <w:vAlign w:val="bottom"/>
          </w:tcPr>
          <w:p>
            <w:pPr>
              <w:jc w:val="right"/>
              <w:ind w:right="410"/>
              <w:spacing w:after="0"/>
              <w:rPr>
                <w:sz w:val="20"/>
                <w:szCs w:val="20"/>
                <w:color w:val="auto"/>
              </w:rPr>
            </w:pPr>
            <w:r>
              <w:rPr>
                <w:rFonts w:ascii="Arial" w:cs="Arial" w:eastAsia="Arial" w:hAnsi="Arial"/>
                <w:sz w:val="18"/>
                <w:szCs w:val="18"/>
                <w:b w:val="1"/>
                <w:bCs w:val="1"/>
                <w:color w:val="auto"/>
                <w:w w:val="88"/>
              </w:rPr>
              <w:t>2. Document Deliverables</w:t>
            </w:r>
          </w:p>
        </w:tc>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460" w:type="dxa"/>
            <w:vAlign w:val="bottom"/>
            <w:tcBorders>
              <w:top w:val="single" w:sz="8" w:color="auto"/>
              <w:left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Deliverables Name</w:t>
            </w:r>
          </w:p>
        </w:tc>
        <w:tc>
          <w:tcPr>
            <w:tcW w:w="348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Deliverable Description</w:t>
            </w:r>
          </w:p>
        </w:tc>
        <w:tc>
          <w:tcPr>
            <w:tcW w:w="11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b w:val="1"/>
                <w:bCs w:val="1"/>
                <w:color w:val="auto"/>
              </w:rPr>
              <w:t>Relevant</w:t>
            </w:r>
          </w:p>
        </w:tc>
        <w:tc>
          <w:tcPr>
            <w:tcW w:w="12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Milestone</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WBS</w:t>
            </w:r>
          </w:p>
        </w:tc>
        <w:tc>
          <w:tcPr>
            <w:tcW w:w="12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No.</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Completion</w:t>
            </w:r>
          </w:p>
        </w:tc>
      </w:tr>
      <w:tr>
        <w:trPr>
          <w:trHeight w:val="234"/>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CDR &amp; Component</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Technical Data Package.</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2.2</w:t>
            </w:r>
          </w:p>
        </w:tc>
        <w:tc>
          <w:tcPr>
            <w:tcW w:w="1220" w:type="dxa"/>
            <w:vAlign w:val="bottom"/>
            <w:tcBorders>
              <w:right w:val="single" w:sz="8" w:color="auto"/>
            </w:tcBorders>
          </w:tcPr>
          <w:p>
            <w:pPr>
              <w:jc w:val="right"/>
              <w:ind w:right="690"/>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ind w:right="1250"/>
              <w:spacing w:after="0" w:line="195" w:lineRule="exact"/>
              <w:rPr>
                <w:sz w:val="20"/>
                <w:szCs w:val="20"/>
                <w:color w:val="auto"/>
              </w:rPr>
            </w:pPr>
            <w:r>
              <w:rPr>
                <w:rFonts w:ascii="Arial" w:cs="Arial" w:eastAsia="Arial" w:hAnsi="Arial"/>
                <w:sz w:val="18"/>
                <w:szCs w:val="18"/>
                <w:color w:val="auto"/>
              </w:rPr>
              <w:t>[***]</w:t>
            </w:r>
          </w:p>
        </w:tc>
      </w:tr>
      <w:tr>
        <w:trPr>
          <w:trHeight w:val="2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Engineering Technical Data</w:t>
            </w:r>
          </w:p>
        </w:tc>
        <w:tc>
          <w:tcPr>
            <w:tcW w:w="3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RFPs, RFIs, and RFQs.</w:t>
            </w: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0"/>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Package</w:t>
            </w:r>
          </w:p>
        </w:tc>
        <w:tc>
          <w:tcPr>
            <w:tcW w:w="34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10"/>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0"/>
              </w:rPr>
              <w:t>Update Component Engineering</w:t>
            </w:r>
          </w:p>
        </w:tc>
        <w:tc>
          <w:tcPr>
            <w:tcW w:w="3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Technical Data Package</w:t>
            </w: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2.2</w:t>
            </w:r>
          </w:p>
        </w:tc>
        <w:tc>
          <w:tcPr>
            <w:tcW w:w="12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Fab &amp; Test First Wing Panel</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Technical Data Package.</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2.2.3.1</w:t>
            </w:r>
          </w:p>
        </w:tc>
        <w:tc>
          <w:tcPr>
            <w:tcW w:w="1220" w:type="dxa"/>
            <w:vAlign w:val="bottom"/>
            <w:tcBorders>
              <w:right w:val="single" w:sz="8" w:color="auto"/>
            </w:tcBorders>
          </w:tcPr>
          <w:p>
            <w:pPr>
              <w:jc w:val="right"/>
              <w:ind w:right="690"/>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ind w:right="1250"/>
              <w:spacing w:after="0" w:line="195" w:lineRule="exact"/>
              <w:rPr>
                <w:sz w:val="20"/>
                <w:szCs w:val="20"/>
                <w:color w:val="auto"/>
              </w:rPr>
            </w:pPr>
            <w:r>
              <w:rPr>
                <w:rFonts w:ascii="Arial" w:cs="Arial" w:eastAsia="Arial" w:hAnsi="Arial"/>
                <w:sz w:val="18"/>
                <w:szCs w:val="18"/>
                <w:color w:val="auto"/>
              </w:rPr>
              <w:t>[***]</w:t>
            </w: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Recorded measurement data aerodynamic test</w:t>
            </w: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0"/>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data.</w:t>
            </w: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Functional Test Reports</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6"/>
              </w:rPr>
              <w:t>Acceptance test reports for components and</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2.3</w:t>
            </w:r>
          </w:p>
        </w:tc>
        <w:tc>
          <w:tcPr>
            <w:tcW w:w="1220" w:type="dxa"/>
            <w:vAlign w:val="bottom"/>
            <w:tcBorders>
              <w:right w:val="single" w:sz="8" w:color="auto"/>
            </w:tcBorders>
          </w:tcPr>
          <w:p>
            <w:pPr>
              <w:jc w:val="right"/>
              <w:ind w:right="690"/>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ind w:right="1250"/>
              <w:spacing w:after="0" w:line="195" w:lineRule="exact"/>
              <w:rPr>
                <w:sz w:val="20"/>
                <w:szCs w:val="20"/>
                <w:color w:val="auto"/>
              </w:rPr>
            </w:pPr>
            <w:r>
              <w:rPr>
                <w:rFonts w:ascii="Arial" w:cs="Arial" w:eastAsia="Arial" w:hAnsi="Arial"/>
                <w:sz w:val="18"/>
                <w:szCs w:val="18"/>
                <w:color w:val="auto"/>
              </w:rPr>
              <w:t>[***]</w:t>
            </w:r>
          </w:p>
        </w:tc>
      </w:tr>
      <w:tr>
        <w:trPr>
          <w:trHeight w:val="230"/>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assemblies</w:t>
            </w: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9"/>
              </w:rPr>
              <w:t>Initial Integrated Test Reports</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Initial Acceptance test reports for aircraft &amp;</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2.3.2.3</w:t>
            </w:r>
          </w:p>
        </w:tc>
        <w:tc>
          <w:tcPr>
            <w:tcW w:w="1220" w:type="dxa"/>
            <w:vAlign w:val="bottom"/>
            <w:tcBorders>
              <w:right w:val="single" w:sz="8" w:color="auto"/>
            </w:tcBorders>
          </w:tcPr>
          <w:p>
            <w:pPr>
              <w:jc w:val="right"/>
              <w:ind w:right="690"/>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ind w:right="1250"/>
              <w:spacing w:after="0" w:line="195" w:lineRule="exact"/>
              <w:rPr>
                <w:sz w:val="20"/>
                <w:szCs w:val="20"/>
                <w:color w:val="auto"/>
              </w:rPr>
            </w:pPr>
            <w:r>
              <w:rPr>
                <w:rFonts w:ascii="Arial" w:cs="Arial" w:eastAsia="Arial" w:hAnsi="Arial"/>
                <w:sz w:val="18"/>
                <w:szCs w:val="18"/>
                <w:color w:val="auto"/>
              </w:rPr>
              <w:t>[***]</w:t>
            </w:r>
          </w:p>
        </w:tc>
      </w:tr>
      <w:tr>
        <w:trPr>
          <w:trHeight w:val="230"/>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Ground Control Station</w:t>
            </w: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8"/>
              </w:rPr>
              <w:t>Integrated Test Reports ([***])</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5"/>
              </w:rPr>
              <w:t>Acceptance test reports for aircraft &amp; Ground</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2.3.2.3</w:t>
            </w:r>
          </w:p>
        </w:tc>
        <w:tc>
          <w:tcPr>
            <w:tcW w:w="1220" w:type="dxa"/>
            <w:vAlign w:val="bottom"/>
            <w:tcBorders>
              <w:right w:val="single" w:sz="8" w:color="auto"/>
            </w:tcBorders>
          </w:tcPr>
          <w:p>
            <w:pPr>
              <w:jc w:val="right"/>
              <w:ind w:right="690"/>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ind w:right="1250"/>
              <w:spacing w:after="0" w:line="195" w:lineRule="exact"/>
              <w:rPr>
                <w:sz w:val="20"/>
                <w:szCs w:val="20"/>
                <w:color w:val="auto"/>
              </w:rPr>
            </w:pPr>
            <w:r>
              <w:rPr>
                <w:rFonts w:ascii="Arial" w:cs="Arial" w:eastAsia="Arial" w:hAnsi="Arial"/>
                <w:sz w:val="18"/>
                <w:szCs w:val="18"/>
                <w:color w:val="auto"/>
              </w:rPr>
              <w:t>[***]</w:t>
            </w:r>
          </w:p>
        </w:tc>
      </w:tr>
      <w:tr>
        <w:trPr>
          <w:trHeight w:val="230"/>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Control Station</w:t>
            </w: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10"/>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8"/>
              </w:rPr>
              <w:t>Integrated Test Reports ([***])</w:t>
            </w:r>
          </w:p>
        </w:tc>
        <w:tc>
          <w:tcPr>
            <w:tcW w:w="3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Acceptance test reports for aircraft</w:t>
            </w: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2.3.2.6</w:t>
            </w:r>
          </w:p>
        </w:tc>
        <w:tc>
          <w:tcPr>
            <w:tcW w:w="12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10"/>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Acceptance inspection and close-out reports</w:t>
            </w: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2.3.2.8</w:t>
            </w:r>
          </w:p>
        </w:tc>
        <w:tc>
          <w:tcPr>
            <w:tcW w:w="12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210"/>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Hawk30 Solar Aircraft System</w:t>
            </w: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1.1.5</w:t>
            </w:r>
          </w:p>
        </w:tc>
        <w:tc>
          <w:tcPr>
            <w:tcW w:w="122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Low Altitude Flight Test Report</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Descriptive test report, Ships logs,</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3.1</w:t>
            </w:r>
          </w:p>
        </w:tc>
        <w:tc>
          <w:tcPr>
            <w:tcW w:w="1220" w:type="dxa"/>
            <w:vAlign w:val="bottom"/>
            <w:tcBorders>
              <w:right w:val="single" w:sz="8" w:color="auto"/>
            </w:tcBorders>
          </w:tcPr>
          <w:p>
            <w:pPr>
              <w:jc w:val="right"/>
              <w:ind w:right="690"/>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ind w:right="1250"/>
              <w:spacing w:after="0" w:line="195" w:lineRule="exact"/>
              <w:rPr>
                <w:sz w:val="20"/>
                <w:szCs w:val="20"/>
                <w:color w:val="auto"/>
              </w:rPr>
            </w:pPr>
            <w:r>
              <w:rPr>
                <w:rFonts w:ascii="Arial" w:cs="Arial" w:eastAsia="Arial" w:hAnsi="Arial"/>
                <w:sz w:val="18"/>
                <w:szCs w:val="18"/>
                <w:color w:val="auto"/>
              </w:rPr>
              <w:t>[***]</w:t>
            </w:r>
          </w:p>
        </w:tc>
      </w:tr>
      <w:tr>
        <w:trPr>
          <w:trHeight w:val="230"/>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maintenance report. Recorded flight data</w:t>
            </w: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2.2.2.5,</w:t>
            </w:r>
          </w:p>
        </w:tc>
        <w:tc>
          <w:tcPr>
            <w:tcW w:w="1220" w:type="dxa"/>
            <w:vAlign w:val="bottom"/>
            <w:tcBorders>
              <w:right w:val="single" w:sz="8" w:color="auto"/>
            </w:tcBorders>
          </w:tcPr>
          <w:p>
            <w:pPr>
              <w:jc w:val="right"/>
              <w:ind w:right="690"/>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jc w:val="right"/>
              <w:ind w:right="1250"/>
              <w:spacing w:after="0" w:line="195" w:lineRule="exact"/>
              <w:rPr>
                <w:sz w:val="20"/>
                <w:szCs w:val="20"/>
                <w:color w:val="auto"/>
              </w:rPr>
            </w:pPr>
            <w:r>
              <w:rPr>
                <w:rFonts w:ascii="Arial" w:cs="Arial" w:eastAsia="Arial" w:hAnsi="Arial"/>
                <w:sz w:val="18"/>
                <w:szCs w:val="18"/>
                <w:color w:val="auto"/>
              </w:rPr>
              <w:t>[***]</w:t>
            </w:r>
          </w:p>
        </w:tc>
      </w:tr>
      <w:tr>
        <w:trPr>
          <w:trHeight w:val="230"/>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2.2.2.6</w:t>
            </w: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844"/>
        </w:trPr>
        <w:tc>
          <w:tcPr>
            <w:tcW w:w="2460" w:type="dxa"/>
            <w:vAlign w:val="bottom"/>
          </w:tcPr>
          <w:p>
            <w:pPr>
              <w:spacing w:after="0"/>
              <w:rPr>
                <w:sz w:val="24"/>
                <w:szCs w:val="24"/>
                <w:color w:val="auto"/>
              </w:rPr>
            </w:pPr>
          </w:p>
        </w:tc>
        <w:tc>
          <w:tcPr>
            <w:tcW w:w="3480" w:type="dxa"/>
            <w:vAlign w:val="bottom"/>
          </w:tcPr>
          <w:p>
            <w:pPr>
              <w:ind w:left="252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w w:val="93"/>
              </w:rPr>
              <w:t>[***] Information has been omitted pursuant to Item 601(b)(2) of Regulation S-K.</w:t>
            </w:r>
          </w:p>
        </w:tc>
        <w:tc>
          <w:tcPr>
            <w:tcW w:w="1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61"/>
        </w:trPr>
        <w:tc>
          <w:tcPr>
            <w:tcW w:w="24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337" w:right="899" w:bottom="1440"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4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3"/>
              </w:rPr>
              <w:t>High Altitude Flight Test Report</w:t>
            </w:r>
          </w:p>
        </w:tc>
        <w:tc>
          <w:tcPr>
            <w:tcW w:w="34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Descriptive test report, Ships logs,</w:t>
            </w:r>
          </w:p>
        </w:tc>
        <w:tc>
          <w:tcPr>
            <w:tcW w:w="11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3.2</w:t>
            </w:r>
          </w:p>
        </w:tc>
        <w:tc>
          <w:tcPr>
            <w:tcW w:w="12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30"/>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maintenance report. Recorded flight data.</w:t>
            </w: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210"/>
        </w:trPr>
        <w:tc>
          <w:tcPr>
            <w:tcW w:w="24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3.2</w:t>
            </w:r>
          </w:p>
        </w:tc>
        <w:tc>
          <w:tcPr>
            <w:tcW w:w="12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Long Duration Flight Test</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Descriptive test report, Ships logs,</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3.2</w:t>
            </w:r>
          </w:p>
        </w:tc>
        <w:tc>
          <w:tcPr>
            <w:tcW w:w="12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r>
      <w:tr>
        <w:trPr>
          <w:trHeight w:val="2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Report</w:t>
            </w:r>
          </w:p>
        </w:tc>
        <w:tc>
          <w:tcPr>
            <w:tcW w:w="3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maintenance report.</w:t>
            </w: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Recorded flight data (All command and</w:t>
            </w: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telemetry stream data between the ground</w:t>
            </w: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0"/>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control station as Raw Data).</w:t>
            </w: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Final Engineering Technical</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Technical Data Package.</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Various</w:t>
            </w:r>
          </w:p>
        </w:tc>
        <w:tc>
          <w:tcPr>
            <w:tcW w:w="12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w:t>
            </w:r>
          </w:p>
        </w:tc>
      </w:tr>
      <w:tr>
        <w:trPr>
          <w:trHeight w:val="2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Data Package</w:t>
            </w:r>
          </w:p>
        </w:tc>
        <w:tc>
          <w:tcPr>
            <w:tcW w:w="3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Hawk30 Solar Aircraft System controlling</w:t>
            </w: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0"/>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specifications and requirements.</w:t>
            </w: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195"/>
        </w:trPr>
        <w:tc>
          <w:tcPr>
            <w:tcW w:w="24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Logistics Instruction Document</w:t>
            </w:r>
          </w:p>
        </w:tc>
        <w:tc>
          <w:tcPr>
            <w:tcW w:w="34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Logistics Instruction Manuals for</w:t>
            </w:r>
          </w:p>
        </w:tc>
        <w:tc>
          <w:tcPr>
            <w:tcW w:w="11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Various</w:t>
            </w:r>
          </w:p>
        </w:tc>
        <w:tc>
          <w:tcPr>
            <w:tcW w:w="12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All</w:t>
            </w:r>
          </w:p>
        </w:tc>
        <w:tc>
          <w:tcPr>
            <w:tcW w:w="17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Corresponding</w:t>
            </w:r>
          </w:p>
        </w:tc>
      </w:tr>
      <w:tr>
        <w:trPr>
          <w:trHeight w:val="216"/>
        </w:trPr>
        <w:tc>
          <w:tcPr>
            <w:tcW w:w="24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Package</w:t>
            </w:r>
          </w:p>
        </w:tc>
        <w:tc>
          <w:tcPr>
            <w:tcW w:w="3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Assembly/Disassembly, Packaging,</w:t>
            </w:r>
          </w:p>
        </w:tc>
        <w:tc>
          <w:tcPr>
            <w:tcW w:w="11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Milestone  Completion</w:t>
            </w:r>
          </w:p>
        </w:tc>
      </w:tr>
      <w:tr>
        <w:trPr>
          <w:trHeight w:val="230"/>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Transporting, etc. for management purpose.</w:t>
            </w:r>
          </w:p>
        </w:tc>
        <w:tc>
          <w:tcPr>
            <w:tcW w:w="11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Attachment A, and as limited by Section 4.8 in the IPLA, “Technical Data Package” means:</w:t>
      </w:r>
    </w:p>
    <w:p>
      <w:pPr>
        <w:spacing w:after="0" w:line="225" w:lineRule="exact"/>
        <w:rPr>
          <w:sz w:val="20"/>
          <w:szCs w:val="20"/>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System specifications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System description documents</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System performance data</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40" w:hanging="317"/>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“Technical Data Package” transfer could be in various forms, for example:</w:t>
      </w:r>
    </w:p>
    <w:p>
      <w:pPr>
        <w:spacing w:after="0" w:line="225" w:lineRule="exact"/>
        <w:rPr>
          <w:sz w:val="20"/>
          <w:szCs w:val="20"/>
          <w:color w:val="auto"/>
        </w:rPr>
      </w:pPr>
    </w:p>
    <w:p>
      <w:pPr>
        <w:ind w:left="640" w:right="260" w:hanging="317"/>
        <w:spacing w:after="0" w:line="258"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Agile database export in PDX file which will include PDF files for assembly drawings, DOC for procedures and test plans, and EXE files for executable code.</w:t>
      </w:r>
    </w:p>
    <w:p>
      <w:pPr>
        <w:spacing w:after="0" w:line="1" w:lineRule="exact"/>
        <w:rPr>
          <w:rFonts w:ascii="Arial" w:cs="Arial" w:eastAsia="Arial" w:hAnsi="Arial"/>
          <w:sz w:val="18"/>
          <w:szCs w:val="18"/>
          <w:color w:val="auto"/>
        </w:rPr>
      </w:pPr>
    </w:p>
    <w:p>
      <w:pPr>
        <w:ind w:left="640" w:right="360" w:hanging="317"/>
        <w:spacing w:after="0" w:line="261"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Specifications, descriptions, Program Data Memos, test data in a ZIP file which can include a combination of DOC, XLS, and other data formats.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565" w:right="899" w:bottom="1440" w:gutter="0" w:footer="0" w:header="0"/>
        </w:sectPr>
      </w:pPr>
    </w:p>
    <w:bookmarkStart w:id="51" w:name="page52"/>
    <w:bookmarkEnd w:id="51"/>
    <w:p>
      <w:pPr>
        <w:jc w:val="center"/>
        <w:ind w:right="-521"/>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right"/>
        <w:ind w:right="2639"/>
        <w:spacing w:after="0"/>
        <w:rPr>
          <w:sz w:val="20"/>
          <w:szCs w:val="20"/>
          <w:color w:val="auto"/>
        </w:rPr>
      </w:pPr>
      <w:r>
        <w:rPr>
          <w:rFonts w:ascii="Arial" w:cs="Arial" w:eastAsia="Arial" w:hAnsi="Arial"/>
          <w:sz w:val="18"/>
          <w:szCs w:val="18"/>
          <w:u w:val="single" w:color="auto"/>
          <w:color w:val="auto"/>
        </w:rPr>
        <w:t>Source Code to be Provided by AV to HAPSMobile</w:t>
      </w:r>
    </w:p>
    <w:p>
      <w:pPr>
        <w:spacing w:after="0" w:line="225" w:lineRule="exact"/>
        <w:rPr>
          <w:sz w:val="20"/>
          <w:szCs w:val="20"/>
          <w:color w:val="auto"/>
        </w:rPr>
      </w:pPr>
    </w:p>
    <w:p>
      <w:pPr>
        <w:ind w:left="361" w:hanging="361"/>
        <w:spacing w:after="0"/>
        <w:tabs>
          <w:tab w:leader="none" w:pos="36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Software and Firmware Tabular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5505450" cy="18865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50545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right="3619" w:hanging="1"/>
        <w:spacing w:after="0" w:line="386" w:lineRule="auto"/>
        <w:tabs>
          <w:tab w:leader="none" w:pos="4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7"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ATTACHMENT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INVOICE AND INCURRED COSTS DOCUMENTATION</w:t>
      </w:r>
    </w:p>
    <w:p>
      <w:pPr>
        <w:spacing w:after="0" w:line="225" w:lineRule="exact"/>
        <w:rPr>
          <w:sz w:val="20"/>
          <w:szCs w:val="20"/>
          <w:color w:val="auto"/>
        </w:rPr>
      </w:pPr>
    </w:p>
    <w:p>
      <w:pPr>
        <w:ind w:left="1901"/>
        <w:spacing w:after="0"/>
        <w:rPr>
          <w:sz w:val="20"/>
          <w:szCs w:val="20"/>
          <w:color w:val="auto"/>
        </w:rPr>
      </w:pPr>
      <w:r>
        <w:rPr>
          <w:rFonts w:ascii="Arial" w:cs="Arial" w:eastAsia="Arial" w:hAnsi="Arial"/>
          <w:sz w:val="18"/>
          <w:szCs w:val="18"/>
          <w:b w:val="1"/>
          <w:bCs w:val="1"/>
          <w:color w:val="auto"/>
        </w:rPr>
        <w:t>(This Attachment F is revised in its entirety by the Amendment No. 9 to the DDA)</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PRICING AND PAYMENT SCHEDULE</w:t>
      </w:r>
    </w:p>
    <w:p>
      <w:pPr>
        <w:spacing w:after="0" w:line="225" w:lineRule="exact"/>
        <w:rPr>
          <w:sz w:val="20"/>
          <w:szCs w:val="20"/>
          <w:color w:val="auto"/>
        </w:rPr>
      </w:pPr>
    </w:p>
    <w:p>
      <w:pPr>
        <w:ind w:left="1" w:right="7920" w:hanging="1"/>
        <w:spacing w:after="0" w:line="566" w:lineRule="auto"/>
        <w:tabs>
          <w:tab w:leader="none" w:pos="226"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Payment for Work Step2 1.1 Total Contract Value</w:t>
      </w:r>
    </w:p>
    <w:p>
      <w:pPr>
        <w:spacing w:after="0" w:line="1" w:lineRule="exact"/>
        <w:rPr>
          <w:sz w:val="20"/>
          <w:szCs w:val="20"/>
          <w:color w:val="auto"/>
        </w:rPr>
      </w:pPr>
    </w:p>
    <w:p>
      <w:pPr>
        <w:jc w:val="both"/>
        <w:ind w:left="1"/>
        <w:spacing w:after="0" w:line="270" w:lineRule="auto"/>
        <w:rPr>
          <w:sz w:val="20"/>
          <w:szCs w:val="20"/>
          <w:color w:val="auto"/>
        </w:rPr>
      </w:pPr>
      <w:r>
        <w:rPr>
          <w:rFonts w:ascii="Arial" w:cs="Arial" w:eastAsia="Arial" w:hAnsi="Arial"/>
          <w:sz w:val="17"/>
          <w:szCs w:val="17"/>
          <w:color w:val="auto"/>
        </w:rPr>
        <w:t>The total amount of Design and Development Fees payable for Step 2 is Not-to-Exceed USD $146,248,301 based on Best Efforts. The Contract Value may be modified by the Parties as a result of Change Control or by any other amendment to the Agreement (the current contract value at any time under this Agreement shall be the “Contract Value”). The Parties agree to account for payment of USD $5,988,678 already made by SoftBank to AV as payment for the consideration of Step 2 Bridge Contract as partial payment for commencing Step 2. The Parties shall pay to AV the remaining balance of USD $140,259,623, consists from USD $69,800,624 as Initial Contract Value, and incremental amount by Amendment No.1, USD $17,226,306 as additional cost by Amendment No.5, USD $38,675,443 as additional cost by Amendment No.7, and further additional funding of USD $14,557,250 subject to EAC adjustment activity done on [***], in accordance with Exhibit A to this Attachment F Project Funds Status Report accompanied by a combined Milestone &amp; Monthly Invoice approach as detailed further in this Attachment F. Each Milestone payment shall be payable after completion of the applicable Milestone according to Completion criteria on Attachment H.</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1.2  Contract Value Growing Transition</w:t>
      </w:r>
    </w:p>
    <w:p>
      <w:pPr>
        <w:spacing w:after="0" w:line="121" w:lineRule="exact"/>
        <w:rPr>
          <w:sz w:val="20"/>
          <w:szCs w:val="20"/>
          <w:color w:val="auto"/>
        </w:rPr>
      </w:pPr>
    </w:p>
    <w:p>
      <w:pPr>
        <w:jc w:val="both"/>
        <w:ind w:left="1"/>
        <w:spacing w:after="0" w:line="264" w:lineRule="auto"/>
        <w:rPr>
          <w:sz w:val="20"/>
          <w:szCs w:val="20"/>
          <w:color w:val="auto"/>
        </w:rPr>
      </w:pPr>
      <w:r>
        <w:rPr>
          <w:rFonts w:ascii="Arial" w:cs="Arial" w:eastAsia="Arial" w:hAnsi="Arial"/>
          <w:sz w:val="18"/>
          <w:szCs w:val="18"/>
          <w:color w:val="auto"/>
        </w:rPr>
        <w:t>The Initial Contract Value may be modified by the Parties as a result of Change Control or by any other amendment to the Agreement (the current contract value at any time under this Agreement shall be the “Contract Value”). Each Party recognizes the total Project Cost has grown as follows;</w:t>
      </w:r>
    </w:p>
    <w:p>
      <w:pPr>
        <w:spacing w:after="0" w:line="73" w:lineRule="exact"/>
        <w:rPr>
          <w:sz w:val="20"/>
          <w:szCs w:val="20"/>
          <w:color w:val="auto"/>
        </w:rPr>
      </w:pPr>
    </w:p>
    <w:p>
      <w:pPr>
        <w:ind w:left="641" w:hanging="317"/>
        <w:spacing w:after="0" w:line="277" w:lineRule="auto"/>
        <w:tabs>
          <w:tab w:leader="none" w:pos="6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SoftBank and AV concluded Step 2 Bridge Contract for preliminary development activity for Step2, and payment of USD $5,988,678 was made to AV by SoftBank;</w:t>
      </w:r>
    </w:p>
    <w:p>
      <w:pPr>
        <w:spacing w:after="0" w:line="170" w:lineRule="exact"/>
        <w:rPr>
          <w:rFonts w:ascii="Arial" w:cs="Arial" w:eastAsia="Arial" w:hAnsi="Arial"/>
          <w:sz w:val="18"/>
          <w:szCs w:val="18"/>
          <w:color w:val="auto"/>
        </w:rPr>
      </w:pPr>
    </w:p>
    <w:p>
      <w:pPr>
        <w:ind w:left="641" w:right="20" w:hanging="317"/>
        <w:spacing w:after="0" w:line="277" w:lineRule="auto"/>
        <w:tabs>
          <w:tab w:leader="none" w:pos="6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SoftBank, HM, and AV agree to account for payment of USD $5,988,678 already made by SoftBank to AV as defined as above as partial payment ("Taken-Over Value”) for commencing Step 2. HAPSMobile;</w:t>
      </w:r>
    </w:p>
    <w:p>
      <w:pPr>
        <w:spacing w:after="0" w:line="170" w:lineRule="exact"/>
        <w:rPr>
          <w:rFonts w:ascii="Arial" w:cs="Arial" w:eastAsia="Arial" w:hAnsi="Arial"/>
          <w:sz w:val="18"/>
          <w:szCs w:val="18"/>
          <w:color w:val="auto"/>
        </w:rPr>
      </w:pPr>
    </w:p>
    <w:p>
      <w:pPr>
        <w:ind w:left="641" w:hanging="317"/>
        <w:spacing w:after="0" w:line="277" w:lineRule="auto"/>
        <w:tabs>
          <w:tab w:leader="none" w:pos="6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Initial contract value for DDA was USD $65,011,481 (“Initial Value”), and USD $71,000,159 in case including Taken-Over Value;</w:t>
      </w:r>
    </w:p>
    <w:p>
      <w:pPr>
        <w:spacing w:after="0" w:line="170" w:lineRule="exact"/>
        <w:rPr>
          <w:rFonts w:ascii="Arial" w:cs="Arial" w:eastAsia="Arial" w:hAnsi="Arial"/>
          <w:sz w:val="18"/>
          <w:szCs w:val="18"/>
          <w:color w:val="auto"/>
        </w:rPr>
      </w:pPr>
    </w:p>
    <w:p>
      <w:pPr>
        <w:ind w:left="641" w:hanging="317"/>
        <w:spacing w:after="0" w:line="277" w:lineRule="auto"/>
        <w:tabs>
          <w:tab w:leader="none" w:pos="6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USD $4,789,143 was added to Initial value by the execution of the Amendment No.1 and total value was modified to USD $69,800,624 (“Amendment 1 Value”), and USD $75,789,302 in case including Taken-Over Value;</w:t>
      </w:r>
    </w:p>
    <w:p>
      <w:pPr>
        <w:spacing w:after="0" w:line="170" w:lineRule="exact"/>
        <w:rPr>
          <w:rFonts w:ascii="Arial" w:cs="Arial" w:eastAsia="Arial" w:hAnsi="Arial"/>
          <w:sz w:val="18"/>
          <w:szCs w:val="18"/>
          <w:color w:val="auto"/>
        </w:rPr>
      </w:pPr>
    </w:p>
    <w:p>
      <w:pPr>
        <w:ind w:left="641" w:hanging="317"/>
        <w:spacing w:after="0" w:line="277" w:lineRule="auto"/>
        <w:tabs>
          <w:tab w:leader="none" w:pos="6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USD $17,226,306 was added to Amendment 1 Value by the execution of the Amendment No.5 and total value was modified to USD $87,026,930 (“Amendment 5 Value”), and USD $93,015.608 in case including Taken-Over Value;</w:t>
      </w:r>
    </w:p>
    <w:p>
      <w:pPr>
        <w:spacing w:after="0" w:line="170" w:lineRule="exact"/>
        <w:rPr>
          <w:rFonts w:ascii="Arial" w:cs="Arial" w:eastAsia="Arial" w:hAnsi="Arial"/>
          <w:sz w:val="18"/>
          <w:szCs w:val="18"/>
          <w:color w:val="auto"/>
        </w:rPr>
      </w:pPr>
    </w:p>
    <w:p>
      <w:pPr>
        <w:ind w:left="641" w:hanging="317"/>
        <w:spacing w:after="0" w:line="277" w:lineRule="auto"/>
        <w:tabs>
          <w:tab w:leader="none" w:pos="6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USD $38,675,443 was added to Amendment 5 Value by the execution of the Amendment No.7 and total value was modified to USD $125,702,373, and USD $ 131,691,051 in case including Taken-Over Value;</w:t>
      </w:r>
    </w:p>
    <w:p>
      <w:pPr>
        <w:spacing w:after="0" w:line="387"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53" w:name="page54"/>
    <w:bookmarkEnd w:id="53"/>
    <w:p>
      <w:pPr>
        <w:jc w:val="both"/>
        <w:ind w:left="641" w:hanging="317"/>
        <w:spacing w:after="0" w:line="259" w:lineRule="auto"/>
        <w:tabs>
          <w:tab w:leader="none" w:pos="641"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USD $14,557,250 as further incremental funding subject to EAC adjustment activity done on [***] and caused by [***] Project Milestones extension as defined in detail in Attachment H herein, SoW and technical requirement changes as defined in detail in Attachment C herein; and the contract value reaches USD $140,259,623, in case including Taken-Over Value then USD$146,248,301.</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1.3  Work Order Issuance Schedule</w:t>
      </w:r>
    </w:p>
    <w:p>
      <w:pPr>
        <w:spacing w:after="0" w:line="229" w:lineRule="exact"/>
        <w:rPr>
          <w:sz w:val="20"/>
          <w:szCs w:val="20"/>
          <w:color w:val="auto"/>
        </w:rPr>
      </w:pPr>
    </w:p>
    <w:p>
      <w:pPr>
        <w:ind w:left="1"/>
        <w:spacing w:after="0" w:line="277" w:lineRule="auto"/>
        <w:rPr>
          <w:sz w:val="20"/>
          <w:szCs w:val="20"/>
          <w:color w:val="auto"/>
        </w:rPr>
      </w:pPr>
      <w:r>
        <w:rPr>
          <w:rFonts w:ascii="Arial" w:cs="Arial" w:eastAsia="Arial" w:hAnsi="Arial"/>
          <w:sz w:val="18"/>
          <w:szCs w:val="18"/>
          <w:color w:val="auto"/>
        </w:rPr>
        <w:t>HAPSMobile agrees to issue six (6) scheduled separate Orders and may issue three (3) optional separate Orders (“Optional Orders”)to AV for authorization of Work. The Orders shall be issued as follows:</w:t>
      </w:r>
    </w:p>
    <w:p>
      <w:pPr>
        <w:spacing w:after="0" w:line="170" w:lineRule="exact"/>
        <w:rPr>
          <w:sz w:val="20"/>
          <w:szCs w:val="20"/>
          <w:color w:val="auto"/>
        </w:rPr>
      </w:pPr>
    </w:p>
    <w:p>
      <w:pPr>
        <w:ind w:left="321" w:hanging="321"/>
        <w:spacing w:after="0"/>
        <w:tabs>
          <w:tab w:leader="none" w:pos="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initial Order [***];</w:t>
      </w:r>
    </w:p>
    <w:p>
      <w:pPr>
        <w:spacing w:after="0" w:line="225" w:lineRule="exact"/>
        <w:rPr>
          <w:rFonts w:ascii="Arial" w:cs="Arial" w:eastAsia="Arial" w:hAnsi="Arial"/>
          <w:sz w:val="18"/>
          <w:szCs w:val="18"/>
          <w:color w:val="auto"/>
        </w:rPr>
      </w:pPr>
    </w:p>
    <w:p>
      <w:pPr>
        <w:ind w:left="321" w:hanging="321"/>
        <w:spacing w:after="0"/>
        <w:tabs>
          <w:tab w:leader="none" w:pos="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second Order [***];</w:t>
      </w:r>
    </w:p>
    <w:p>
      <w:pPr>
        <w:spacing w:after="0" w:line="225" w:lineRule="exact"/>
        <w:rPr>
          <w:rFonts w:ascii="Arial" w:cs="Arial" w:eastAsia="Arial" w:hAnsi="Arial"/>
          <w:sz w:val="18"/>
          <w:szCs w:val="18"/>
          <w:color w:val="auto"/>
        </w:rPr>
      </w:pPr>
    </w:p>
    <w:p>
      <w:pPr>
        <w:ind w:left="321" w:hanging="321"/>
        <w:spacing w:after="0"/>
        <w:tabs>
          <w:tab w:leader="none" w:pos="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third Order [***];</w:t>
      </w:r>
    </w:p>
    <w:p>
      <w:pPr>
        <w:spacing w:after="0" w:line="225" w:lineRule="exact"/>
        <w:rPr>
          <w:rFonts w:ascii="Arial" w:cs="Arial" w:eastAsia="Arial" w:hAnsi="Arial"/>
          <w:sz w:val="18"/>
          <w:szCs w:val="18"/>
          <w:color w:val="auto"/>
        </w:rPr>
      </w:pPr>
    </w:p>
    <w:p>
      <w:pPr>
        <w:ind w:left="321" w:hanging="321"/>
        <w:spacing w:after="0"/>
        <w:tabs>
          <w:tab w:leader="none" w:pos="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fourth Order [***];</w:t>
      </w:r>
    </w:p>
    <w:p>
      <w:pPr>
        <w:spacing w:after="0" w:line="225" w:lineRule="exact"/>
        <w:rPr>
          <w:rFonts w:ascii="Arial" w:cs="Arial" w:eastAsia="Arial" w:hAnsi="Arial"/>
          <w:sz w:val="18"/>
          <w:szCs w:val="18"/>
          <w:color w:val="auto"/>
        </w:rPr>
      </w:pPr>
    </w:p>
    <w:p>
      <w:pPr>
        <w:ind w:left="321" w:hanging="321"/>
        <w:spacing w:after="0"/>
        <w:tabs>
          <w:tab w:leader="none" w:pos="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fifth Order [***];</w:t>
      </w:r>
    </w:p>
    <w:p>
      <w:pPr>
        <w:spacing w:after="0" w:line="225" w:lineRule="exact"/>
        <w:rPr>
          <w:rFonts w:ascii="Arial" w:cs="Arial" w:eastAsia="Arial" w:hAnsi="Arial"/>
          <w:sz w:val="18"/>
          <w:szCs w:val="18"/>
          <w:color w:val="auto"/>
        </w:rPr>
      </w:pPr>
    </w:p>
    <w:p>
      <w:pPr>
        <w:jc w:val="both"/>
        <w:ind w:left="321" w:hanging="321"/>
        <w:spacing w:after="0" w:line="264" w:lineRule="auto"/>
        <w:tabs>
          <w:tab w:leader="none" w:pos="3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two more optional Orders will be defined further more in detail in 4.1 herein. Each Order will be issued pursuant to the terms and conditions of this Agreement including the attachments thereto. Work performed under the Orders will be in support of the entire Statement of Work based on best effort, up to the value funded on the Order.</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1.4  Milestone Target Budget Values &amp; Forecast Revisions</w:t>
      </w:r>
    </w:p>
    <w:p>
      <w:pPr>
        <w:spacing w:after="0" w:line="229" w:lineRule="exact"/>
        <w:rPr>
          <w:sz w:val="20"/>
          <w:szCs w:val="20"/>
          <w:color w:val="auto"/>
        </w:rPr>
      </w:pPr>
    </w:p>
    <w:p>
      <w:pPr>
        <w:jc w:val="both"/>
        <w:ind w:left="1"/>
        <w:spacing w:after="0" w:line="277" w:lineRule="auto"/>
        <w:rPr>
          <w:sz w:val="20"/>
          <w:szCs w:val="20"/>
          <w:color w:val="auto"/>
        </w:rPr>
      </w:pPr>
      <w:r>
        <w:rPr>
          <w:rFonts w:ascii="Arial" w:cs="Arial" w:eastAsia="Arial" w:hAnsi="Arial"/>
          <w:sz w:val="18"/>
          <w:szCs w:val="18"/>
          <w:color w:val="auto"/>
        </w:rPr>
        <w:t>Exhibit A (Project Funds Status Report) to this Attachment F assigns Initial Target Budget values for each of the 10 Milestones identified in Attachment H.</w:t>
      </w:r>
    </w:p>
    <w:p>
      <w:pPr>
        <w:spacing w:after="0" w:line="170" w:lineRule="exact"/>
        <w:rPr>
          <w:sz w:val="20"/>
          <w:szCs w:val="20"/>
          <w:color w:val="auto"/>
        </w:rPr>
      </w:pPr>
    </w:p>
    <w:p>
      <w:pPr>
        <w:jc w:val="both"/>
        <w:ind w:left="1"/>
        <w:spacing w:after="0" w:line="279" w:lineRule="auto"/>
        <w:rPr>
          <w:sz w:val="20"/>
          <w:szCs w:val="20"/>
          <w:color w:val="auto"/>
        </w:rPr>
      </w:pPr>
      <w:r>
        <w:rPr>
          <w:rFonts w:ascii="Arial" w:cs="Arial" w:eastAsia="Arial" w:hAnsi="Arial"/>
          <w:sz w:val="17"/>
          <w:szCs w:val="17"/>
          <w:color w:val="auto"/>
        </w:rPr>
        <w:t>AV will provide updates and revisions to the Initial Target Budget values for each Milestone and revised and updated forecasts for such Milestones to HAPSMobile on a monthly basis. Milestone values are subject to Change Control based on updated forecasts of program resource requirements to complete the Work required under this Agreement, including the SOW(Attachment C). Milestone values will be based on the AV labor projected spend plan forecasted for each AV fiscal month.</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1.5  Milestone Invoicing &amp; Payment</w:t>
      </w:r>
    </w:p>
    <w:p>
      <w:pPr>
        <w:spacing w:after="0" w:line="229" w:lineRule="exact"/>
        <w:rPr>
          <w:sz w:val="20"/>
          <w:szCs w:val="20"/>
          <w:color w:val="auto"/>
        </w:rPr>
      </w:pPr>
    </w:p>
    <w:p>
      <w:pPr>
        <w:jc w:val="both"/>
        <w:ind w:left="1"/>
        <w:spacing w:after="0" w:line="257" w:lineRule="auto"/>
        <w:rPr>
          <w:sz w:val="20"/>
          <w:szCs w:val="20"/>
          <w:color w:val="auto"/>
        </w:rPr>
      </w:pPr>
      <w:r>
        <w:rPr>
          <w:rFonts w:ascii="Arial" w:cs="Arial" w:eastAsia="Arial" w:hAnsi="Arial"/>
          <w:sz w:val="18"/>
          <w:szCs w:val="18"/>
          <w:color w:val="auto"/>
        </w:rPr>
        <w:t>Upon AV’s written notification to HAPSMobile of AV’s completion of a Milestone, AV will provide an invoice for all AV labor Incurred Costs and [***]% fee. Invoices will include all program labor expenses incurred by AV up through the date of the Milestone acceptance, less any labor already paid for in prior Milestone invoices. Milestones completed before the 15</w:t>
      </w:r>
      <w:r>
        <w:rPr>
          <w:rFonts w:ascii="Arial" w:cs="Arial" w:eastAsia="Arial" w:hAnsi="Arial"/>
          <w:sz w:val="8"/>
          <w:szCs w:val="8"/>
          <w:color w:val="auto"/>
        </w:rPr>
        <w:t>th</w:t>
      </w:r>
      <w:r>
        <w:rPr>
          <w:rFonts w:ascii="Arial" w:cs="Arial" w:eastAsia="Arial" w:hAnsi="Arial"/>
          <w:sz w:val="18"/>
          <w:szCs w:val="18"/>
          <w:color w:val="auto"/>
        </w:rPr>
        <w:t xml:space="preserve"> of the calendar month will be based on actuals from the prior AV fiscal month end. Milestones completed after [***] of the calendar month will be invoiced upon completion of that fiscal month. [***].</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321"/>
        <w:spacing w:after="0" w:line="257" w:lineRule="auto"/>
        <w:rPr>
          <w:sz w:val="20"/>
          <w:szCs w:val="20"/>
          <w:color w:val="auto"/>
        </w:rPr>
      </w:pPr>
      <w:r>
        <w:rPr>
          <w:rFonts w:ascii="Arial" w:cs="Arial" w:eastAsia="Arial" w:hAnsi="Arial"/>
          <w:sz w:val="18"/>
          <w:szCs w:val="18"/>
          <w:color w:val="auto"/>
        </w:rPr>
        <w:t>Notwithstanding the foregoing provisions of this section 1.5, Milestone invoiced amount especially for Milestone 5 [***] ([***]), Milestone 6 ([***]) and Milestone 7 ([***]) shall be paid in respect of each valid invoice no later than, but not be obliged to pay before April 15, 2020. All Milestone payments thereafter will be reevaluated and a decision will be made at the [***] of whether milestone payments will return to their original NET 15 payment terms as originally planned in the DDA or if an extension of NET90 will be permitted.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1" w:right="919" w:bottom="1440" w:gutter="0" w:footer="0" w:header="0"/>
        </w:sectPr>
      </w:pPr>
    </w:p>
    <w:bookmarkStart w:id="54" w:name="page55"/>
    <w:bookmarkEnd w:id="54"/>
    <w:p>
      <w:pPr>
        <w:ind w:left="1"/>
        <w:spacing w:after="0"/>
        <w:rPr>
          <w:sz w:val="20"/>
          <w:szCs w:val="20"/>
          <w:color w:val="auto"/>
        </w:rPr>
      </w:pPr>
      <w:r>
        <w:rPr>
          <w:rFonts w:ascii="Arial" w:cs="Arial" w:eastAsia="Arial" w:hAnsi="Arial"/>
          <w:sz w:val="18"/>
          <w:szCs w:val="18"/>
          <w:b w:val="1"/>
          <w:bCs w:val="1"/>
          <w:color w:val="auto"/>
        </w:rPr>
        <w:t>1.6  Non-Milestone Invoicing &amp; Payment (Monthly Invoices)</w:t>
      </w:r>
    </w:p>
    <w:p>
      <w:pPr>
        <w:spacing w:after="0" w:line="121" w:lineRule="exact"/>
        <w:rPr>
          <w:sz w:val="20"/>
          <w:szCs w:val="20"/>
          <w:color w:val="auto"/>
        </w:rPr>
      </w:pPr>
    </w:p>
    <w:p>
      <w:pPr>
        <w:jc w:val="both"/>
        <w:ind w:left="1"/>
        <w:spacing w:after="0" w:line="259" w:lineRule="auto"/>
        <w:rPr>
          <w:sz w:val="20"/>
          <w:szCs w:val="20"/>
          <w:color w:val="auto"/>
        </w:rPr>
      </w:pPr>
      <w:r>
        <w:rPr>
          <w:rFonts w:ascii="Arial" w:cs="Arial" w:eastAsia="Arial" w:hAnsi="Arial"/>
          <w:sz w:val="18"/>
          <w:szCs w:val="18"/>
          <w:color w:val="auto"/>
        </w:rPr>
        <w:t>Program expenses for material, subcontract and other direct costs will be invoiced by AV to HAPSMobile on a monthly basis based on actual Incurred Cost and [***]% fee. Invoices to be submitted within 4 Business Days after each calendar month end. HAPSMobile agrees to pay each such invoice within the same calendar month. Invoices for material related Cost will be provided with applicable level of detailed description for HAPSMobile’s book keeping purpose.</w:t>
      </w:r>
    </w:p>
    <w:p>
      <w:pPr>
        <w:spacing w:after="0" w:line="187" w:lineRule="exact"/>
        <w:rPr>
          <w:sz w:val="20"/>
          <w:szCs w:val="20"/>
          <w:color w:val="auto"/>
        </w:rPr>
      </w:pPr>
    </w:p>
    <w:p>
      <w:pPr>
        <w:jc w:val="both"/>
        <w:ind w:left="321"/>
        <w:spacing w:after="0" w:line="276" w:lineRule="auto"/>
        <w:rPr>
          <w:sz w:val="20"/>
          <w:szCs w:val="20"/>
          <w:color w:val="auto"/>
        </w:rPr>
      </w:pPr>
      <w:r>
        <w:rPr>
          <w:rFonts w:ascii="Arial" w:cs="Arial" w:eastAsia="Arial" w:hAnsi="Arial"/>
          <w:sz w:val="17"/>
          <w:szCs w:val="17"/>
          <w:color w:val="auto"/>
        </w:rPr>
        <w:t>Notwithstanding the foregoing provisions of this section 1.6, for the Monthly Invoice for November of 2019 through March 2020, HAPSMobile shall make payment in respect of each valid Monthly Invoice no later than, but not be obliged to pay before, ninety (90) calendar days of the end of the calendar month in which the relevant invoice was received by HAPSMobile All non-milestone payments thereafter will be reevaluated and a decision will be made at the [***] of whether milestone payments will return to their original payment made within the same calendar month as the invoice is received or if an extension of NET90 will be permitted.</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1.7  Currency</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All payments under this Agreement shall be made in United States dollars.</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1.8  Excess Incurred Costs</w:t>
      </w:r>
    </w:p>
    <w:p>
      <w:pPr>
        <w:spacing w:after="0" w:line="229" w:lineRule="exact"/>
        <w:rPr>
          <w:sz w:val="20"/>
          <w:szCs w:val="20"/>
          <w:color w:val="auto"/>
        </w:rPr>
      </w:pPr>
    </w:p>
    <w:p>
      <w:pPr>
        <w:jc w:val="both"/>
        <w:ind w:left="321" w:hanging="321"/>
        <w:spacing w:after="0" w:line="259" w:lineRule="auto"/>
        <w:tabs>
          <w:tab w:leader="none" w:pos="3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AV identifies a projected increase in Incurred Costs by AV for the performance of its obligations under the Agreement as identified in the Monthly Status Report, in excess of the Not-to-Exceed Value of the Order as identified in Article 2.3 then the Parties agree the excess of the amount and continue to proceed the Project subject to the process set forth in the Section 4 of this ATTACHMENT F, HAPSMobile may,</w:t>
      </w:r>
    </w:p>
    <w:p>
      <w:pPr>
        <w:spacing w:after="0" w:line="186" w:lineRule="exact"/>
        <w:rPr>
          <w:rFonts w:ascii="Arial" w:cs="Arial" w:eastAsia="Arial" w:hAnsi="Arial"/>
          <w:sz w:val="18"/>
          <w:szCs w:val="18"/>
          <w:color w:val="auto"/>
        </w:rPr>
      </w:pPr>
    </w:p>
    <w:p>
      <w:pPr>
        <w:jc w:val="both"/>
        <w:ind w:left="641" w:hanging="317"/>
        <w:spacing w:after="0" w:line="259" w:lineRule="auto"/>
        <w:tabs>
          <w:tab w:leader="none" w:pos="64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agree to authorize AV to incur the excess costs and provide a modification to increase the Contract Value, provided however that both Parties shall follow the Change Control set forth in Article 2.4 of the Agreement or Amendment of Agreement set forth in Article 13. Should HAPSMobile authorize additional spending, all of AV’s Incurred Costs must be paid to AV with the applicable [***]% fee;</w:t>
      </w:r>
    </w:p>
    <w:p>
      <w:pPr>
        <w:spacing w:after="0" w:line="186" w:lineRule="exact"/>
        <w:rPr>
          <w:rFonts w:ascii="Arial" w:cs="Arial" w:eastAsia="Arial" w:hAnsi="Arial"/>
          <w:sz w:val="18"/>
          <w:szCs w:val="18"/>
          <w:color w:val="auto"/>
        </w:rPr>
      </w:pPr>
    </w:p>
    <w:p>
      <w:pPr>
        <w:ind w:left="641" w:hanging="317"/>
        <w:spacing w:after="0" w:line="308" w:lineRule="auto"/>
        <w:tabs>
          <w:tab w:leader="none" w:pos="641" w:val="left"/>
        </w:tabs>
        <w:numPr>
          <w:ilvl w:val="1"/>
          <w:numId w:val="30"/>
        </w:numPr>
        <w:rPr>
          <w:rFonts w:ascii="Arial" w:cs="Arial" w:eastAsia="Arial" w:hAnsi="Arial"/>
          <w:sz w:val="17"/>
          <w:szCs w:val="17"/>
          <w:color w:val="auto"/>
        </w:rPr>
      </w:pPr>
      <w:r>
        <w:rPr>
          <w:rFonts w:ascii="Arial" w:cs="Arial" w:eastAsia="Arial" w:hAnsi="Arial"/>
          <w:sz w:val="17"/>
          <w:szCs w:val="17"/>
          <w:color w:val="auto"/>
        </w:rPr>
        <w:t>agree in accordance with the Change Control or Amendment of Agreement to reduce the Scope of Agreement so that AV’s performance of the Scope of Agreement will be projected to fall within the amount of the then current Contract Value; or</w:t>
      </w:r>
    </w:p>
    <w:p>
      <w:pPr>
        <w:spacing w:after="0" w:line="146" w:lineRule="exact"/>
        <w:rPr>
          <w:rFonts w:ascii="Arial" w:cs="Arial" w:eastAsia="Arial" w:hAnsi="Arial"/>
          <w:sz w:val="17"/>
          <w:szCs w:val="17"/>
          <w:color w:val="auto"/>
        </w:rPr>
      </w:pPr>
    </w:p>
    <w:p>
      <w:pPr>
        <w:ind w:left="641" w:hanging="317"/>
        <w:spacing w:after="0" w:line="277" w:lineRule="auto"/>
        <w:tabs>
          <w:tab w:leader="none" w:pos="64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Terminate the Agreement for convenience as contemplated by Article 12.3 of the Agreement and pay AV all Termination Liability as defined in paragraph 1.7 of this attachment.</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1.9  Unutilized Consideration</w:t>
      </w:r>
    </w:p>
    <w:p>
      <w:pPr>
        <w:spacing w:after="0" w:line="229" w:lineRule="exact"/>
        <w:rPr>
          <w:sz w:val="20"/>
          <w:szCs w:val="20"/>
          <w:color w:val="auto"/>
        </w:rPr>
      </w:pPr>
    </w:p>
    <w:p>
      <w:pPr>
        <w:jc w:val="both"/>
        <w:ind w:left="1"/>
        <w:spacing w:after="0" w:line="255" w:lineRule="auto"/>
        <w:rPr>
          <w:sz w:val="20"/>
          <w:szCs w:val="20"/>
          <w:color w:val="auto"/>
        </w:rPr>
      </w:pPr>
      <w:r>
        <w:rPr>
          <w:rFonts w:ascii="Arial" w:cs="Arial" w:eastAsia="Arial" w:hAnsi="Arial"/>
          <w:sz w:val="18"/>
          <w:szCs w:val="18"/>
          <w:color w:val="auto"/>
        </w:rPr>
        <w:t>In the event of a projected cost underrun as identified in a Monthly Status Report, any amounts from the Order which remain after completion of the Scope of Agreement may be reimbursed or, if authorized by HAPSMobile separately and specifically, utilized for AV’s risk reduction or additional scope to be defined through written mutual agreement subject to the terms of this Agreement. To avoid confusion, the total amount as identified in paragraph 1 of this Attachment and any portion thereof, to the extent that it is utilized, must be utilized only for matters or items within the Scope of Agreement and any additional scope as agreed. Incurred Costs shall be inclusive of any applicable consumption, value added tax or any other applicable sales/use tax. For the avoidance of doubt, the Incurred Costs shall be exclusive of any and all import duties.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7" w:right="919" w:bottom="1440" w:gutter="0" w:footer="0" w:header="0"/>
        </w:sectPr>
      </w:pPr>
    </w:p>
    <w:bookmarkStart w:id="55" w:name="page56"/>
    <w:bookmarkEnd w:id="55"/>
    <w:p>
      <w:pPr>
        <w:ind w:left="1"/>
        <w:spacing w:after="0"/>
        <w:rPr>
          <w:sz w:val="20"/>
          <w:szCs w:val="20"/>
          <w:color w:val="auto"/>
        </w:rPr>
      </w:pPr>
      <w:r>
        <w:rPr>
          <w:rFonts w:ascii="Arial" w:cs="Arial" w:eastAsia="Arial" w:hAnsi="Arial"/>
          <w:sz w:val="18"/>
          <w:szCs w:val="18"/>
          <w:b w:val="1"/>
          <w:bCs w:val="1"/>
          <w:color w:val="auto"/>
        </w:rPr>
        <w:t>1.10 Termination Liability</w:t>
      </w:r>
    </w:p>
    <w:p>
      <w:pPr>
        <w:spacing w:after="0" w:line="121" w:lineRule="exact"/>
        <w:rPr>
          <w:sz w:val="20"/>
          <w:szCs w:val="20"/>
          <w:color w:val="auto"/>
        </w:rPr>
      </w:pPr>
    </w:p>
    <w:p>
      <w:pPr>
        <w:jc w:val="both"/>
        <w:ind w:left="1" w:right="20"/>
        <w:spacing w:after="0" w:line="255" w:lineRule="auto"/>
        <w:rPr>
          <w:sz w:val="20"/>
          <w:szCs w:val="20"/>
          <w:color w:val="auto"/>
        </w:rPr>
      </w:pPr>
      <w:r>
        <w:rPr>
          <w:rFonts w:ascii="Arial" w:cs="Arial" w:eastAsia="Arial" w:hAnsi="Arial"/>
          <w:sz w:val="18"/>
          <w:szCs w:val="18"/>
          <w:color w:val="auto"/>
        </w:rPr>
        <w:t>AV’s Termination Liability (defined as: all of AV’s Step 2 Incurred Costs incurred prior to the date of the ramp down period specified in Article 12.5 of the Agreement plus the applicable [***]% fee, less all payments received by AV from HAPSMobile under this Agreement, plus all material, subcontract, other direct costs including open commitments and other wind down costs outstanding as of the start of the ramp down period, plus 60 days of AV labor costs incurred during the ramp down period) will be billed to HAPSMobile 30 days after the end of ramp down period and Termination Liability shall not exceed then current Contract Value but AV labor cost may be compensated exceeding then current Contract Value based upon actual Work performed. Schedule delays may occur and be resolved subject to Article 3.2 of the Agreement.</w:t>
      </w:r>
    </w:p>
    <w:p>
      <w:pPr>
        <w:spacing w:after="0" w:line="185" w:lineRule="exact"/>
        <w:rPr>
          <w:sz w:val="20"/>
          <w:szCs w:val="20"/>
          <w:color w:val="auto"/>
        </w:rPr>
      </w:pPr>
    </w:p>
    <w:p>
      <w:pPr>
        <w:ind w:left="1" w:right="8420" w:hanging="1"/>
        <w:spacing w:after="0" w:line="604" w:lineRule="auto"/>
        <w:tabs>
          <w:tab w:leader="none" w:pos="361"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Fee Assumptions 2.1 Exclusion</w:t>
      </w:r>
    </w:p>
    <w:p>
      <w:pPr>
        <w:jc w:val="both"/>
        <w:ind w:left="321" w:right="20" w:hanging="321"/>
        <w:spacing w:after="0" w:line="264" w:lineRule="auto"/>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Range Fees for the High Altitude and Endurance Flight Tests shall be borne by, and be the sole responsibility of, HAPSMobile. AV and HAPSMobile will mutually consult to set up an appropriate implementation plan for High Altitude and Endurance Flight Tests minimizing such Range Fees in accordance with Attachment C and D.</w:t>
      </w:r>
    </w:p>
    <w:p>
      <w:pPr>
        <w:spacing w:after="0" w:line="181" w:lineRule="exact"/>
        <w:rPr>
          <w:rFonts w:ascii="Arial" w:cs="Arial" w:eastAsia="Arial" w:hAnsi="Arial"/>
          <w:sz w:val="18"/>
          <w:szCs w:val="18"/>
          <w:color w:val="auto"/>
        </w:rPr>
      </w:pPr>
    </w:p>
    <w:p>
      <w:pPr>
        <w:ind w:left="321" w:right="40" w:hanging="321"/>
        <w:spacing w:after="0" w:line="277" w:lineRule="auto"/>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Payload Integration is based on the [***] payload only, any changes to Payload Supplier and/or integration will be subject change control process.</w:t>
      </w:r>
    </w:p>
    <w:p>
      <w:pPr>
        <w:spacing w:after="0" w:line="170" w:lineRule="exact"/>
        <w:rPr>
          <w:rFonts w:ascii="Arial" w:cs="Arial" w:eastAsia="Arial" w:hAnsi="Arial"/>
          <w:sz w:val="18"/>
          <w:szCs w:val="18"/>
          <w:color w:val="auto"/>
        </w:rPr>
      </w:pPr>
    </w:p>
    <w:p>
      <w:pPr>
        <w:jc w:val="both"/>
        <w:ind w:left="321" w:right="20" w:hanging="321"/>
        <w:spacing w:after="0" w:line="264" w:lineRule="auto"/>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 shipping and other costs are not included, however is inclusive of labor for obtaining the clearance and permission under EAR or related export regulations for delivery of [***], [***] and GCS at other than the Lanai, Hawaii flight test location. Any changes to the final delivery location will be subject to change control process.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3. Change Control &amp; Agreement Amendments Payment Schedule</w:t>
      </w:r>
    </w:p>
    <w:p>
      <w:pPr>
        <w:spacing w:after="0" w:line="229" w:lineRule="exact"/>
        <w:rPr>
          <w:sz w:val="20"/>
          <w:szCs w:val="20"/>
          <w:color w:val="auto"/>
        </w:rPr>
      </w:pPr>
    </w:p>
    <w:p>
      <w:pPr>
        <w:jc w:val="both"/>
        <w:ind w:left="1" w:right="20"/>
        <w:spacing w:after="0" w:line="287" w:lineRule="auto"/>
        <w:rPr>
          <w:sz w:val="20"/>
          <w:szCs w:val="20"/>
          <w:color w:val="auto"/>
        </w:rPr>
      </w:pPr>
      <w:r>
        <w:rPr>
          <w:rFonts w:ascii="Arial" w:cs="Arial" w:eastAsia="Arial" w:hAnsi="Arial"/>
          <w:sz w:val="16"/>
          <w:szCs w:val="16"/>
          <w:color w:val="auto"/>
        </w:rPr>
        <w:t>HAPSMobile agrees to pay to AV all additional Incurred Costs resulting from any fee adjustments for the Work pursuant to any Change Control per Attachment G or any other amendments to the Agreement, but in any case subject to the terms set forth in Section 1.9 in this ATTACHMENT F. After being provided with a request or providing a Change Control Proposal as provided on Attachment G or any other amendment to the Agreement. AV will provide HAPSMobile with a Change Assessment (as contemplated by Attachment G) or a similar assessment or other proposed amendments to the Agreement with estimated additional or reduced Incurred Costs plus the applicable fee for the applicable Change Control Proposal or other proposed Agreement amendment along with the costs estimation documentation. In the event of a projected increase in Incurred Costs by AV in performance of the Agreement pursuant to Change Control Proposal or other proposed Agreement amendment would result in a total Contract Value that exceeds the then-current Contract Value, HAPSMobile will agree to authorize AV to incur the excess costs (thus increasing the Contract Value) or the Parties will agree in the Change Control (or pursuant to any other Agreement amendment) to reduce the Scope of Agreement so that AV’s performance of the Scope of Agreement will fall within the then-current Contract Value. Any increase in Contract Value that exceeds causes the value of this Agreement to exceed the Initial Contract Value shall require approval by HAPSMobile's board of directors.</w:t>
      </w:r>
    </w:p>
    <w:p>
      <w:pPr>
        <w:spacing w:after="0" w:line="169" w:lineRule="exact"/>
        <w:rPr>
          <w:sz w:val="20"/>
          <w:szCs w:val="20"/>
          <w:color w:val="auto"/>
        </w:rPr>
      </w:pPr>
    </w:p>
    <w:p>
      <w:pPr>
        <w:jc w:val="both"/>
        <w:ind w:left="1" w:right="20"/>
        <w:spacing w:after="0" w:line="264" w:lineRule="auto"/>
        <w:rPr>
          <w:sz w:val="20"/>
          <w:szCs w:val="20"/>
          <w:color w:val="auto"/>
        </w:rPr>
      </w:pPr>
      <w:r>
        <w:rPr>
          <w:rFonts w:ascii="Arial" w:cs="Arial" w:eastAsia="Arial" w:hAnsi="Arial"/>
          <w:sz w:val="18"/>
          <w:szCs w:val="18"/>
          <w:color w:val="auto"/>
        </w:rPr>
        <w:t>The tables below provide the basis for calculating the additional Fees applicable for Change Controls and other Agreement amendments as a result of a Change or other Agreement amendment that may be required from time to time in accordance with relevant clauses of the Agreement.</w:t>
      </w:r>
    </w:p>
    <w:p>
      <w:pPr>
        <w:spacing w:after="0" w:line="189" w:lineRule="exact"/>
        <w:rPr>
          <w:sz w:val="20"/>
          <w:szCs w:val="20"/>
          <w:color w:val="auto"/>
        </w:rPr>
      </w:pPr>
    </w:p>
    <w:tbl>
      <w:tblPr>
        <w:tblLayout w:type="fixed"/>
        <w:tblInd w:w="11" w:type="dxa"/>
        <w:tblCellMar>
          <w:top w:w="0" w:type="dxa"/>
          <w:left w:w="0" w:type="dxa"/>
          <w:bottom w:w="0" w:type="dxa"/>
          <w:right w:w="0" w:type="dxa"/>
        </w:tblCellMar>
      </w:tblPr>
      <w:tr>
        <w:trPr>
          <w:trHeight w:val="189"/>
        </w:trPr>
        <w:tc>
          <w:tcPr>
            <w:tcW w:w="5060" w:type="dxa"/>
            <w:vAlign w:val="bottom"/>
            <w:tcBorders>
              <w:top w:val="single" w:sz="8" w:color="auto"/>
              <w:left w:val="single" w:sz="8" w:color="auto"/>
              <w:right w:val="single" w:sz="8" w:color="auto"/>
            </w:tcBorders>
            <w:gridSpan w:val="3"/>
          </w:tcPr>
          <w:p>
            <w:pPr>
              <w:ind w:left="80"/>
              <w:spacing w:after="0" w:line="189" w:lineRule="exact"/>
              <w:rPr>
                <w:sz w:val="20"/>
                <w:szCs w:val="20"/>
                <w:color w:val="auto"/>
              </w:rPr>
            </w:pPr>
            <w:r>
              <w:rPr>
                <w:rFonts w:ascii="Arial" w:cs="Arial" w:eastAsia="Arial" w:hAnsi="Arial"/>
                <w:sz w:val="18"/>
                <w:szCs w:val="18"/>
                <w:b w:val="1"/>
                <w:bCs w:val="1"/>
                <w:color w:val="auto"/>
              </w:rPr>
              <w:t>Cost Element</w:t>
            </w:r>
          </w:p>
        </w:tc>
        <w:tc>
          <w:tcPr>
            <w:tcW w:w="60" w:type="dxa"/>
            <w:vAlign w:val="bottom"/>
            <w:tcBorders>
              <w:top w:val="single" w:sz="8" w:color="auto"/>
            </w:tcBorders>
          </w:tcPr>
          <w:p>
            <w:pPr>
              <w:spacing w:after="0"/>
              <w:rPr>
                <w:sz w:val="16"/>
                <w:szCs w:val="16"/>
                <w:color w:val="auto"/>
              </w:rPr>
            </w:pPr>
          </w:p>
        </w:tc>
        <w:tc>
          <w:tcPr>
            <w:tcW w:w="496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Description</w:t>
            </w:r>
          </w:p>
        </w:tc>
      </w:tr>
      <w:tr>
        <w:trPr>
          <w:trHeight w:val="21"/>
        </w:trPr>
        <w:tc>
          <w:tcPr>
            <w:tcW w:w="80" w:type="dxa"/>
            <w:vAlign w:val="bottom"/>
            <w:tcBorders>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50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Labor</w:t>
            </w: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4080" w:type="dxa"/>
            <w:vAlign w:val="bottom"/>
            <w:tcBorders>
              <w:bottom w:val="single" w:sz="8" w:color="auto"/>
              <w:right w:val="single" w:sz="8" w:color="auto"/>
            </w:tcBorders>
          </w:tcPr>
          <w:p>
            <w:pPr>
              <w:spacing w:after="0"/>
              <w:rPr>
                <w:sz w:val="18"/>
                <w:szCs w:val="18"/>
                <w:color w:val="auto"/>
              </w:rPr>
            </w:pPr>
          </w:p>
        </w:tc>
      </w:tr>
      <w:tr>
        <w:trPr>
          <w:trHeight w:val="210"/>
        </w:trPr>
        <w:tc>
          <w:tcPr>
            <w:tcW w:w="50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Labor Total Cost w/[***]% Fee</w:t>
            </w: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4080" w:type="dxa"/>
            <w:vAlign w:val="bottom"/>
            <w:tcBorders>
              <w:bottom w:val="single" w:sz="8" w:color="auto"/>
              <w:right w:val="single" w:sz="8" w:color="auto"/>
            </w:tcBorders>
          </w:tcPr>
          <w:p>
            <w:pPr>
              <w:spacing w:after="0"/>
              <w:rPr>
                <w:sz w:val="18"/>
                <w:szCs w:val="18"/>
                <w:color w:val="auto"/>
              </w:rPr>
            </w:pPr>
          </w:p>
        </w:tc>
      </w:tr>
      <w:tr>
        <w:trPr>
          <w:trHeight w:val="210"/>
        </w:trPr>
        <w:tc>
          <w:tcPr>
            <w:tcW w:w="50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Material Total Cost w/[***]% Fee</w:t>
            </w: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t>
            </w:r>
          </w:p>
        </w:tc>
        <w:tc>
          <w:tcPr>
            <w:tcW w:w="40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337" w:right="899" w:bottom="1440" w:gutter="0" w:footer="0" w:header="0"/>
        </w:sectPr>
      </w:pPr>
    </w:p>
    <w:bookmarkStart w:id="56" w:name="page57"/>
    <w:bookmarkEnd w:id="56"/>
    <w:tbl>
      <w:tblPr>
        <w:tblLayout w:type="fixed"/>
        <w:tblInd w:w="11" w:type="dxa"/>
        <w:tblCellMar>
          <w:top w:w="0" w:type="dxa"/>
          <w:left w:w="0" w:type="dxa"/>
          <w:bottom w:w="0" w:type="dxa"/>
          <w:right w:w="0" w:type="dxa"/>
        </w:tblCellMar>
      </w:tblPr>
      <w:tr>
        <w:trPr>
          <w:trHeight w:val="230"/>
        </w:trPr>
        <w:tc>
          <w:tcPr>
            <w:tcW w:w="50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Subcontract Total Cost w/[***]% Fee</w:t>
            </w:r>
          </w:p>
        </w:tc>
        <w:tc>
          <w:tcPr>
            <w:tcW w:w="5020" w:type="dxa"/>
            <w:vAlign w:val="bottom"/>
            <w:tcBorders>
              <w:top w:val="single" w:sz="8" w:color="auto"/>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r>
      <w:tr>
        <w:trPr>
          <w:trHeight w:val="210"/>
        </w:trPr>
        <w:tc>
          <w:tcPr>
            <w:tcW w:w="50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Other Direct Costs (ODC) Total Cost w/[***]% Fee</w:t>
            </w:r>
          </w:p>
        </w:tc>
        <w:tc>
          <w:tcPr>
            <w:tcW w:w="5020" w:type="dxa"/>
            <w:vAlign w:val="bottom"/>
            <w:tcBorders>
              <w:bottom w:val="single" w:sz="8" w:color="auto"/>
              <w:right w:val="single" w:sz="8" w:color="auto"/>
            </w:tcBorders>
          </w:tcPr>
          <w:p>
            <w:pPr>
              <w:jc w:val="right"/>
              <w:ind w:right="449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181" w:hanging="181"/>
        <w:spacing w:after="0"/>
        <w:tabs>
          <w:tab w:leader="none" w:pos="181"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Fifth Work Order and Optional Order</w:t>
      </w:r>
    </w:p>
    <w:p>
      <w:pPr>
        <w:spacing w:after="0" w:line="225" w:lineRule="exact"/>
        <w:rPr>
          <w:rFonts w:ascii="Arial" w:cs="Arial" w:eastAsia="Arial" w:hAnsi="Arial"/>
          <w:sz w:val="18"/>
          <w:szCs w:val="18"/>
          <w:b w:val="1"/>
          <w:bCs w:val="1"/>
          <w:color w:val="auto"/>
        </w:rPr>
      </w:pPr>
    </w:p>
    <w:p>
      <w:pPr>
        <w:ind w:left="1"/>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 Order Schedule</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Fifth Work Order and the following Optional Order will be organized as follows;</w:t>
      </w:r>
    </w:p>
    <w:p>
      <w:pPr>
        <w:spacing w:after="0" w:line="260" w:lineRule="exact"/>
        <w:rPr>
          <w:sz w:val="20"/>
          <w:szCs w:val="20"/>
          <w:color w:val="auto"/>
        </w:rPr>
      </w:pPr>
    </w:p>
    <w:tbl>
      <w:tblPr>
        <w:tblLayout w:type="fixed"/>
        <w:tblInd w:w="11" w:type="dxa"/>
        <w:tblCellMar>
          <w:top w:w="0" w:type="dxa"/>
          <w:left w:w="0" w:type="dxa"/>
          <w:bottom w:w="0" w:type="dxa"/>
          <w:right w:w="0" w:type="dxa"/>
        </w:tblCellMar>
      </w:tblPr>
      <w:tr>
        <w:trPr>
          <w:trHeight w:val="215"/>
        </w:trPr>
        <w:tc>
          <w:tcPr>
            <w:tcW w:w="2180" w:type="dxa"/>
            <w:vAlign w:val="bottom"/>
            <w:tcBorders>
              <w:top w:val="single" w:sz="8" w:color="auto"/>
              <w:left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Name</w:t>
            </w:r>
          </w:p>
        </w:tc>
        <w:tc>
          <w:tcPr>
            <w:tcW w:w="3640" w:type="dxa"/>
            <w:vAlign w:val="bottom"/>
            <w:tcBorders>
              <w:top w:val="single" w:sz="8" w:color="auto"/>
              <w:right w:val="single" w:sz="8" w:color="auto"/>
            </w:tcBorders>
          </w:tcPr>
          <w:p>
            <w:pPr>
              <w:jc w:val="right"/>
              <w:ind w:right="1250"/>
              <w:spacing w:after="0"/>
              <w:rPr>
                <w:sz w:val="20"/>
                <w:szCs w:val="20"/>
                <w:color w:val="auto"/>
              </w:rPr>
            </w:pPr>
            <w:r>
              <w:rPr>
                <w:rFonts w:ascii="Arial" w:cs="Arial" w:eastAsia="Arial" w:hAnsi="Arial"/>
                <w:sz w:val="18"/>
                <w:szCs w:val="18"/>
                <w:color w:val="auto"/>
              </w:rPr>
              <w:t>Covered SoW</w:t>
            </w:r>
          </w:p>
        </w:tc>
        <w:tc>
          <w:tcPr>
            <w:tcW w:w="134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Covered</w:t>
            </w:r>
          </w:p>
        </w:tc>
        <w:tc>
          <w:tcPr>
            <w:tcW w:w="154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WO value</w:t>
            </w:r>
          </w:p>
        </w:tc>
        <w:tc>
          <w:tcPr>
            <w:tcW w:w="138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WO due date</w:t>
            </w:r>
          </w:p>
        </w:tc>
      </w:tr>
      <w:tr>
        <w:trPr>
          <w:trHeight w:val="230"/>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Milestone</w:t>
            </w:r>
          </w:p>
        </w:tc>
        <w:tc>
          <w:tcPr>
            <w:tcW w:w="154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(USD)</w:t>
            </w:r>
          </w:p>
        </w:tc>
        <w:tc>
          <w:tcPr>
            <w:tcW w:w="1380" w:type="dxa"/>
            <w:vAlign w:val="bottom"/>
            <w:tcBorders>
              <w:bottom w:val="single" w:sz="8" w:color="auto"/>
              <w:right w:val="single" w:sz="8" w:color="auto"/>
            </w:tcBorders>
          </w:tcPr>
          <w:p>
            <w:pPr>
              <w:spacing w:after="0"/>
              <w:rPr>
                <w:sz w:val="20"/>
                <w:szCs w:val="20"/>
                <w:color w:val="auto"/>
              </w:rPr>
            </w:pPr>
          </w:p>
        </w:tc>
      </w:tr>
      <w:tr>
        <w:trPr>
          <w:trHeight w:val="210"/>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fifth Work Order</w:t>
            </w:r>
          </w:p>
        </w:tc>
        <w:tc>
          <w:tcPr>
            <w:tcW w:w="3640" w:type="dxa"/>
            <w:vAlign w:val="bottom"/>
            <w:tcBorders>
              <w:bottom w:val="single" w:sz="8" w:color="auto"/>
              <w:right w:val="single" w:sz="8" w:color="auto"/>
            </w:tcBorders>
          </w:tcPr>
          <w:p>
            <w:pPr>
              <w:jc w:val="right"/>
              <w:ind w:right="3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sixth Work Order</w:t>
            </w:r>
          </w:p>
        </w:tc>
        <w:tc>
          <w:tcPr>
            <w:tcW w:w="3640" w:type="dxa"/>
            <w:vAlign w:val="bottom"/>
            <w:tcBorders>
              <w:bottom w:val="single" w:sz="8" w:color="auto"/>
              <w:right w:val="single" w:sz="8" w:color="auto"/>
            </w:tcBorders>
          </w:tcPr>
          <w:p>
            <w:pPr>
              <w:jc w:val="right"/>
              <w:ind w:right="3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Optional Order #1</w:t>
            </w:r>
          </w:p>
        </w:tc>
        <w:tc>
          <w:tcPr>
            <w:tcW w:w="3640" w:type="dxa"/>
            <w:vAlign w:val="bottom"/>
            <w:tcBorders>
              <w:bottom w:val="single" w:sz="8" w:color="auto"/>
              <w:right w:val="single" w:sz="8" w:color="auto"/>
            </w:tcBorders>
          </w:tcPr>
          <w:p>
            <w:pPr>
              <w:jc w:val="right"/>
              <w:ind w:right="31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color w:val="auto"/>
        </w:rPr>
        <w:t>*remark</w:t>
      </w:r>
    </w:p>
    <w:p>
      <w:pPr>
        <w:spacing w:after="0" w:line="233" w:lineRule="exact"/>
        <w:rPr>
          <w:sz w:val="20"/>
          <w:szCs w:val="20"/>
          <w:color w:val="auto"/>
        </w:rPr>
      </w:pPr>
    </w:p>
    <w:tbl>
      <w:tblPr>
        <w:tblLayout w:type="fixed"/>
        <w:tblInd w:w="11" w:type="dxa"/>
        <w:tblCellMar>
          <w:top w:w="0" w:type="dxa"/>
          <w:left w:w="0" w:type="dxa"/>
          <w:bottom w:w="0" w:type="dxa"/>
          <w:right w:w="0" w:type="dxa"/>
        </w:tblCellMar>
      </w:tblPr>
      <w:tr>
        <w:trPr>
          <w:trHeight w:val="230"/>
        </w:trPr>
        <w:tc>
          <w:tcPr>
            <w:tcW w:w="760" w:type="dxa"/>
            <w:vAlign w:val="bottom"/>
            <w:tcBorders>
              <w:top w:val="single" w:sz="8" w:color="auto"/>
              <w:left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Definition</w:t>
            </w:r>
          </w:p>
        </w:tc>
        <w:tc>
          <w:tcPr>
            <w:tcW w:w="1200" w:type="dxa"/>
            <w:vAlign w:val="bottom"/>
            <w:tcBorders>
              <w:top w:val="single" w:sz="8" w:color="auto"/>
              <w:bottom w:val="single" w:sz="8" w:color="auto"/>
            </w:tcBorders>
          </w:tcPr>
          <w:p>
            <w:pPr>
              <w:spacing w:after="0"/>
              <w:rPr>
                <w:sz w:val="19"/>
                <w:szCs w:val="19"/>
                <w:color w:val="auto"/>
              </w:rPr>
            </w:pPr>
          </w:p>
        </w:tc>
        <w:tc>
          <w:tcPr>
            <w:tcW w:w="33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Meaning</w:t>
            </w:r>
          </w:p>
        </w:tc>
        <w:tc>
          <w:tcPr>
            <w:tcW w:w="270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Decision Due Date</w:t>
            </w:r>
          </w:p>
        </w:tc>
      </w:tr>
      <w:tr>
        <w:trPr>
          <w:trHeight w:val="210"/>
        </w:trPr>
        <w:tc>
          <w:tcPr>
            <w:tcW w:w="760" w:type="dxa"/>
            <w:vAlign w:val="bottom"/>
            <w:tcBorders>
              <w:left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3340" w:type="dxa"/>
            <w:vAlign w:val="bottom"/>
            <w:tcBorders>
              <w:bottom w:val="single" w:sz="8" w:color="auto"/>
              <w:right w:val="single" w:sz="8" w:color="auto"/>
            </w:tcBorders>
          </w:tcPr>
          <w:p>
            <w:pPr>
              <w:spacing w:after="0"/>
              <w:rPr>
                <w:sz w:val="18"/>
                <w:szCs w:val="18"/>
                <w:color w:val="auto"/>
              </w:rPr>
            </w:pPr>
          </w:p>
        </w:tc>
        <w:tc>
          <w:tcPr>
            <w:tcW w:w="2700" w:type="dxa"/>
            <w:vAlign w:val="bottom"/>
            <w:tcBorders>
              <w:bottom w:val="single" w:sz="8" w:color="auto"/>
              <w:right w:val="single" w:sz="8" w:color="auto"/>
            </w:tcBorders>
          </w:tcPr>
          <w:p>
            <w:pPr>
              <w:jc w:val="right"/>
              <w:ind w:right="217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 w:right="20"/>
        <w:spacing w:after="0" w:line="277" w:lineRule="auto"/>
        <w:rPr>
          <w:sz w:val="20"/>
          <w:szCs w:val="20"/>
          <w:color w:val="auto"/>
        </w:rPr>
      </w:pPr>
      <w:r>
        <w:rPr>
          <w:rFonts w:ascii="Arial" w:cs="Arial" w:eastAsia="Arial" w:hAnsi="Arial"/>
          <w:sz w:val="18"/>
          <w:szCs w:val="18"/>
          <w:color w:val="auto"/>
        </w:rPr>
        <w:t>HM shall issue the fifth Work Order as defined above, and HM may issue the Optional Order by fully HM’s option considering [***] but until WO due date defined as the above.</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4.2 Effect of No Issuance of Optional Order</w:t>
      </w:r>
    </w:p>
    <w:p>
      <w:pPr>
        <w:spacing w:after="0" w:line="229" w:lineRule="exact"/>
        <w:rPr>
          <w:sz w:val="20"/>
          <w:szCs w:val="20"/>
          <w:color w:val="auto"/>
        </w:rPr>
      </w:pPr>
    </w:p>
    <w:p>
      <w:pPr>
        <w:jc w:val="both"/>
        <w:ind w:left="1" w:right="20"/>
        <w:spacing w:after="0" w:line="264" w:lineRule="auto"/>
        <w:rPr>
          <w:sz w:val="20"/>
          <w:szCs w:val="20"/>
          <w:color w:val="auto"/>
        </w:rPr>
      </w:pPr>
      <w:r>
        <w:rPr>
          <w:rFonts w:ascii="Arial" w:cs="Arial" w:eastAsia="Arial" w:hAnsi="Arial"/>
          <w:sz w:val="18"/>
          <w:szCs w:val="18"/>
          <w:color w:val="auto"/>
        </w:rPr>
        <w:t>In case HM does not issue the Optional Order before or on the due date, AV may suspend the entrance of the equivalent Milestone and covered Works until AV receives the Optional Order. In the event of Optional Work Orders are not exercised, AV will transfer all assets to HAPSMobile.</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Exhibit A – Project Funds Status Report</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Exhibit B – Monthly Status Report (Example)</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Exhibit C – Milestone Invoice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565" w:right="899" w:bottom="1440" w:gutter="0" w:footer="0" w:header="0"/>
        </w:sectPr>
      </w:pPr>
    </w:p>
    <w:bookmarkStart w:id="57" w:name="page58"/>
    <w:bookmarkEnd w:id="57"/>
    <w:p>
      <w:pPr>
        <w:ind w:left="1" w:right="2299" w:firstLine="2824"/>
        <w:spacing w:after="0" w:line="407" w:lineRule="auto"/>
        <w:rPr>
          <w:sz w:val="20"/>
          <w:szCs w:val="20"/>
          <w:color w:val="auto"/>
        </w:rPr>
      </w:pPr>
      <w:r>
        <w:rPr>
          <w:rFonts w:ascii="Arial" w:cs="Arial" w:eastAsia="Arial" w:hAnsi="Arial"/>
          <w:sz w:val="18"/>
          <w:szCs w:val="18"/>
          <w:b w:val="1"/>
          <w:bCs w:val="1"/>
          <w:color w:val="auto"/>
        </w:rPr>
        <w:t xml:space="preserve">Exhibit A to Attachment F – Project Funds Status Report </w:t>
      </w:r>
      <w:r>
        <w:rPr>
          <w:rFonts w:ascii="Arial" w:cs="Arial" w:eastAsia="Arial" w:hAnsi="Arial"/>
          <w:sz w:val="18"/>
          <w:szCs w:val="18"/>
          <w:color w:val="auto"/>
        </w:rPr>
        <w:t>1. Estimate at Completion on Dec.10,2017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46355</wp:posOffset>
            </wp:positionV>
            <wp:extent cx="6174740" cy="4707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174740" cy="470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right="3619" w:hanging="1"/>
        <w:spacing w:after="0" w:line="323" w:lineRule="auto"/>
        <w:tabs>
          <w:tab w:leader="none" w:pos="4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7"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363220</wp:posOffset>
            </wp:positionV>
            <wp:extent cx="6174740" cy="25126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right="3619" w:hanging="1"/>
        <w:spacing w:after="0" w:line="323" w:lineRule="auto"/>
        <w:tabs>
          <w:tab w:leader="none" w:pos="4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440" w:right="1440" w:bottom="1440" w:gutter="0" w:footer="0" w:header="0"/>
        </w:sectPr>
      </w:pPr>
    </w:p>
    <w:bookmarkStart w:id="59" w:name="page60"/>
    <w:bookmarkEnd w:id="59"/>
    <w:p>
      <w:pPr>
        <w:ind w:left="1"/>
        <w:spacing w:after="0"/>
        <w:rPr>
          <w:sz w:val="20"/>
          <w:szCs w:val="20"/>
          <w:color w:val="auto"/>
        </w:rPr>
      </w:pPr>
      <w:r>
        <w:rPr>
          <w:rFonts w:ascii="Arial" w:cs="Arial" w:eastAsia="Arial" w:hAnsi="Arial"/>
          <w:sz w:val="18"/>
          <w:szCs w:val="18"/>
          <w:color w:val="auto"/>
        </w:rPr>
        <w:t>2. Estimate at Completion on Dec.10,2018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152400</wp:posOffset>
            </wp:positionV>
            <wp:extent cx="6174740" cy="5874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174740" cy="587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right="3619" w:hanging="1"/>
        <w:spacing w:after="0" w:line="323" w:lineRule="auto"/>
        <w:tabs>
          <w:tab w:leader="none" w:pos="4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919" w:top="341" w:right="1440"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226060</wp:posOffset>
            </wp:positionV>
            <wp:extent cx="6174740" cy="2830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17474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right="3619" w:hanging="1"/>
        <w:spacing w:after="0" w:line="323" w:lineRule="auto"/>
        <w:tabs>
          <w:tab w:leader="none" w:pos="4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440" w:right="1440" w:bottom="1440" w:gutter="0" w:footer="0" w:header="0"/>
        </w:sectPr>
      </w:pPr>
    </w:p>
    <w:bookmarkStart w:id="61" w:name="page62"/>
    <w:bookmarkEnd w:id="61"/>
    <w:p>
      <w:pPr>
        <w:ind w:left="1"/>
        <w:spacing w:after="0"/>
        <w:rPr>
          <w:sz w:val="20"/>
          <w:szCs w:val="20"/>
          <w:color w:val="auto"/>
        </w:rPr>
      </w:pPr>
      <w:r>
        <w:rPr>
          <w:rFonts w:ascii="Arial" w:cs="Arial" w:eastAsia="Arial" w:hAnsi="Arial"/>
          <w:sz w:val="18"/>
          <w:szCs w:val="18"/>
          <w:color w:val="auto"/>
        </w:rPr>
        <w:t>3. Estimate at Completion on March 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66040</wp:posOffset>
            </wp:positionV>
            <wp:extent cx="6174740" cy="7143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174740" cy="714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right="3619" w:hanging="1"/>
        <w:spacing w:after="0" w:line="323" w:lineRule="auto"/>
        <w:tabs>
          <w:tab w:leader="none" w:pos="4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41" w:right="1440" w:bottom="1440" w:gutter="0" w:footer="0" w:header="0"/>
        </w:sectPr>
      </w:pPr>
    </w:p>
    <w:bookmarkStart w:id="62" w:name="page63"/>
    <w:bookmarkEnd w:id="62"/>
    <w:p>
      <w:pPr>
        <w:ind w:left="1"/>
        <w:spacing w:after="0"/>
        <w:rPr>
          <w:sz w:val="20"/>
          <w:szCs w:val="20"/>
          <w:color w:val="auto"/>
        </w:rPr>
      </w:pPr>
      <w:r>
        <w:rPr>
          <w:rFonts w:ascii="Arial" w:cs="Arial" w:eastAsia="Arial" w:hAnsi="Arial"/>
          <w:sz w:val="18"/>
          <w:szCs w:val="18"/>
          <w:color w:val="auto"/>
        </w:rPr>
        <w:t>4. Estimate at Completion on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152400</wp:posOffset>
            </wp:positionV>
            <wp:extent cx="6174740" cy="4965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6174740" cy="496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right="3619" w:hanging="1"/>
        <w:spacing w:after="0" w:line="323" w:lineRule="auto"/>
        <w:tabs>
          <w:tab w:leader="none" w:pos="4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41" w:right="1440"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226060</wp:posOffset>
            </wp:positionV>
            <wp:extent cx="6174740" cy="5514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174740" cy="551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right="3619" w:hanging="1"/>
        <w:spacing w:after="0" w:line="323" w:lineRule="auto"/>
        <w:tabs>
          <w:tab w:leader="none" w:pos="4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919" w:top="1440" w:right="1440" w:bottom="1440" w:gutter="0" w:footer="0" w:header="0"/>
        </w:sectPr>
      </w:pPr>
    </w:p>
    <w:bookmarkStart w:id="64" w:name="page65"/>
    <w:bookmarkEnd w:id="64"/>
    <w:p>
      <w:pPr>
        <w:jc w:val="right"/>
        <w:ind w:right="2079"/>
        <w:spacing w:after="0"/>
        <w:rPr>
          <w:sz w:val="20"/>
          <w:szCs w:val="20"/>
          <w:color w:val="auto"/>
        </w:rPr>
      </w:pPr>
      <w:r>
        <w:rPr>
          <w:rFonts w:ascii="Arial" w:cs="Arial" w:eastAsia="Arial" w:hAnsi="Arial"/>
          <w:sz w:val="18"/>
          <w:szCs w:val="18"/>
          <w:b w:val="1"/>
          <w:bCs w:val="1"/>
          <w:color w:val="auto"/>
        </w:rPr>
        <w:t>Exhibit B to Attachment F – Monthly Status Report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154940</wp:posOffset>
            </wp:positionV>
            <wp:extent cx="2324100" cy="13462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32410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AeroVironment Inc.</w:t>
      </w:r>
    </w:p>
    <w:p>
      <w:pPr>
        <w:spacing w:after="0" w:line="22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980 Enchanted Way</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Simi Valley, California 93065 – U.S.A.</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Telephone 1(805) 581-2187 – FAX 1(805) 584-6922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39"/>
          </w:cols>
          <w:pgMar w:left="920" w:top="337"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Approvals: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&lt;Enter Name here&gt;</w:t>
            </w:r>
          </w:p>
        </w:tc>
        <w:tc>
          <w:tcPr>
            <w:tcW w:w="300" w:type="dxa"/>
            <w:vAlign w:val="bottom"/>
          </w:tcPr>
          <w:p>
            <w:pPr>
              <w:spacing w:after="0"/>
              <w:rPr>
                <w:sz w:val="18"/>
                <w:szCs w:val="18"/>
                <w:color w:val="auto"/>
              </w:rPr>
            </w:pPr>
          </w:p>
        </w:tc>
        <w:tc>
          <w:tcPr>
            <w:tcW w:w="1380" w:type="dxa"/>
            <w:vAlign w:val="bottom"/>
            <w:tcBorders>
              <w:top w:val="single" w:sz="8" w:color="auto"/>
            </w:tcBorders>
            <w:gridSpan w:val="2"/>
          </w:tcPr>
          <w:p>
            <w:pPr>
              <w:spacing w:after="0"/>
              <w:rPr>
                <w:sz w:val="18"/>
                <w:szCs w:val="18"/>
                <w:color w:val="auto"/>
              </w:rPr>
            </w:pPr>
          </w:p>
        </w:tc>
        <w:tc>
          <w:tcPr>
            <w:tcW w:w="334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6720" w:type="dxa"/>
            <w:vAlign w:val="bottom"/>
            <w:gridSpan w:val="4"/>
          </w:tcPr>
          <w:p>
            <w:pPr>
              <w:jc w:val="center"/>
              <w:ind w:right="1680"/>
              <w:spacing w:after="0"/>
              <w:rPr>
                <w:sz w:val="20"/>
                <w:szCs w:val="20"/>
                <w:color w:val="auto"/>
              </w:rPr>
            </w:pPr>
            <w:r>
              <w:rPr>
                <w:rFonts w:ascii="Arial" w:cs="Arial" w:eastAsia="Arial" w:hAnsi="Arial"/>
                <w:sz w:val="18"/>
                <w:szCs w:val="18"/>
                <w:color w:val="auto"/>
                <w:w w:val="96"/>
              </w:rPr>
              <w:t>Originator</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5040" w:type="dxa"/>
            <w:vAlign w:val="bottom"/>
            <w:tcBorders>
              <w:bottom w:val="single" w:sz="8" w:color="auto"/>
            </w:tcBorders>
          </w:tcPr>
          <w:p>
            <w:pPr>
              <w:spacing w:after="0"/>
              <w:rPr>
                <w:sz w:val="24"/>
                <w:szCs w:val="24"/>
                <w:color w:val="auto"/>
              </w:rPr>
            </w:pPr>
          </w:p>
        </w:tc>
        <w:tc>
          <w:tcPr>
            <w:tcW w:w="340" w:type="dxa"/>
            <w:vAlign w:val="bottom"/>
            <w:gridSpan w:val="2"/>
            <w:vMerge w:val="restart"/>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89"/>
              </w:rPr>
              <w:t>&lt;Enter Name here&gt;</w:t>
            </w:r>
          </w:p>
        </w:tc>
        <w:tc>
          <w:tcPr>
            <w:tcW w:w="34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3340" w:type="dxa"/>
            <w:vAlign w:val="bottom"/>
          </w:tcPr>
          <w:p>
            <w:pPr>
              <w:ind w:left="820"/>
              <w:spacing w:after="0" w:line="195"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6720" w:type="dxa"/>
            <w:vAlign w:val="bottom"/>
            <w:gridSpan w:val="4"/>
          </w:tcPr>
          <w:p>
            <w:pPr>
              <w:jc w:val="center"/>
              <w:ind w:right="1680"/>
              <w:spacing w:after="0"/>
              <w:rPr>
                <w:sz w:val="20"/>
                <w:szCs w:val="20"/>
                <w:color w:val="auto"/>
              </w:rPr>
            </w:pPr>
            <w:r>
              <w:rPr>
                <w:rFonts w:ascii="Arial" w:cs="Arial" w:eastAsia="Arial" w:hAnsi="Arial"/>
                <w:sz w:val="18"/>
                <w:szCs w:val="18"/>
                <w:color w:val="auto"/>
                <w:w w:val="90"/>
              </w:rPr>
              <w:t>Project Manager</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40" w:type="dxa"/>
            <w:vAlign w:val="bottom"/>
            <w:tcBorders>
              <w:bottom w:val="single" w:sz="8" w:color="auto"/>
            </w:tcBorders>
          </w:tcPr>
          <w:p>
            <w:pPr>
              <w:spacing w:after="0"/>
              <w:rPr>
                <w:sz w:val="24"/>
                <w:szCs w:val="24"/>
                <w:color w:val="auto"/>
              </w:rPr>
            </w:pPr>
          </w:p>
        </w:tc>
        <w:tc>
          <w:tcPr>
            <w:tcW w:w="340" w:type="dxa"/>
            <w:vAlign w:val="bottom"/>
            <w:gridSpan w:val="2"/>
            <w:vMerge w:val="restart"/>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89"/>
              </w:rPr>
              <w:t>&lt;Enter Name here&gt;</w:t>
            </w:r>
          </w:p>
        </w:tc>
        <w:tc>
          <w:tcPr>
            <w:tcW w:w="34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3340" w:type="dxa"/>
            <w:vAlign w:val="bottom"/>
          </w:tcPr>
          <w:p>
            <w:pPr>
              <w:ind w:left="820"/>
              <w:spacing w:after="0" w:line="195"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6720" w:type="dxa"/>
            <w:vAlign w:val="bottom"/>
            <w:gridSpan w:val="4"/>
          </w:tcPr>
          <w:p>
            <w:pPr>
              <w:jc w:val="center"/>
              <w:ind w:right="1680"/>
              <w:spacing w:after="0"/>
              <w:rPr>
                <w:sz w:val="20"/>
                <w:szCs w:val="20"/>
                <w:color w:val="auto"/>
              </w:rPr>
            </w:pPr>
            <w:r>
              <w:rPr>
                <w:rFonts w:ascii="Arial" w:cs="Arial" w:eastAsia="Arial" w:hAnsi="Arial"/>
                <w:sz w:val="18"/>
                <w:szCs w:val="18"/>
                <w:color w:val="auto"/>
                <w:w w:val="90"/>
              </w:rPr>
              <w:t>Program Manager</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6"/>
        </w:trPr>
        <w:tc>
          <w:tcPr>
            <w:tcW w:w="53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20" w:type="dxa"/>
            <w:vAlign w:val="bottom"/>
            <w:gridSpan w:val="4"/>
          </w:tcPr>
          <w:p>
            <w:pPr>
              <w:spacing w:after="0"/>
              <w:rPr>
                <w:sz w:val="20"/>
                <w:szCs w:val="20"/>
                <w:color w:val="auto"/>
              </w:rPr>
            </w:pPr>
            <w:r>
              <w:rPr>
                <w:rFonts w:ascii="Arial" w:cs="Arial" w:eastAsia="Arial" w:hAnsi="Arial"/>
                <w:sz w:val="18"/>
                <w:szCs w:val="18"/>
                <w:color w:val="auto"/>
              </w:rPr>
              <w:t>[***] Information has been omitted pursuant to Item 601(b)(2) of Regulation S-K.</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5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41" w:right="91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REVISION HISTORY</w:t>
      </w: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REV</w:t>
            </w:r>
          </w:p>
        </w:tc>
        <w:tc>
          <w:tcPr>
            <w:tcW w:w="1520" w:type="dxa"/>
            <w:vAlign w:val="bottom"/>
          </w:tcPr>
          <w:p>
            <w:pPr>
              <w:ind w:left="340"/>
              <w:spacing w:after="0"/>
              <w:rPr>
                <w:sz w:val="20"/>
                <w:szCs w:val="20"/>
                <w:color w:val="auto"/>
              </w:rPr>
            </w:pPr>
            <w:r>
              <w:rPr>
                <w:rFonts w:ascii="Arial" w:cs="Arial" w:eastAsia="Arial" w:hAnsi="Arial"/>
                <w:sz w:val="18"/>
                <w:szCs w:val="18"/>
                <w:color w:val="auto"/>
              </w:rPr>
              <w:t>EDIT DATE</w:t>
            </w:r>
          </w:p>
        </w:tc>
        <w:tc>
          <w:tcPr>
            <w:tcW w:w="1460" w:type="dxa"/>
            <w:vAlign w:val="bottom"/>
          </w:tcPr>
          <w:p>
            <w:pPr>
              <w:ind w:left="260"/>
              <w:spacing w:after="0"/>
              <w:rPr>
                <w:sz w:val="20"/>
                <w:szCs w:val="20"/>
                <w:color w:val="auto"/>
              </w:rPr>
            </w:pPr>
            <w:r>
              <w:rPr>
                <w:rFonts w:ascii="Arial" w:cs="Arial" w:eastAsia="Arial" w:hAnsi="Arial"/>
                <w:sz w:val="18"/>
                <w:szCs w:val="18"/>
                <w:color w:val="auto"/>
              </w:rPr>
              <w:t>AUTHOR</w:t>
            </w:r>
          </w:p>
        </w:tc>
        <w:tc>
          <w:tcPr>
            <w:tcW w:w="1640" w:type="dxa"/>
            <w:vAlign w:val="bottom"/>
          </w:tcPr>
          <w:p>
            <w:pPr>
              <w:ind w:left="460"/>
              <w:spacing w:after="0"/>
              <w:rPr>
                <w:sz w:val="20"/>
                <w:szCs w:val="20"/>
                <w:color w:val="auto"/>
              </w:rPr>
            </w:pPr>
            <w:r>
              <w:rPr>
                <w:rFonts w:ascii="Arial" w:cs="Arial" w:eastAsia="Arial" w:hAnsi="Arial"/>
                <w:sz w:val="18"/>
                <w:szCs w:val="18"/>
                <w:color w:val="auto"/>
                <w:w w:val="94"/>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397625" cy="19037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397625" cy="1903730"/>
                    </a:xfrm>
                    <a:prstGeom prst="rect">
                      <a:avLst/>
                    </a:prstGeom>
                    <a:noFill/>
                  </pic:spPr>
                </pic:pic>
              </a:graphicData>
            </a:graphic>
          </wp:anchor>
        </w:drawing>
      </w:r>
    </w:p>
    <w:p>
      <w:pPr>
        <w:ind w:left="1120" w:hanging="754"/>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MM/DD/YYYY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363220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37"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5360035" cy="1938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36003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363220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37" w:right="1440" w:bottom="1440" w:gutter="0" w:footer="0" w:header="0"/>
        </w:sectPr>
      </w:pPr>
    </w:p>
    <w:bookmarkStart w:id="68" w:name="page69"/>
    <w:bookmarkEnd w:id="68"/>
    <w:p>
      <w:pPr>
        <w:ind w:left="1"/>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&lt;&lt;HIGH LEVEL PROGRAM OVERVIEW&gt;&gt;</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&lt;&lt;STOPLIGHT CHART&gt;&gt;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4991100" cy="3009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499110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TECHNICAL ACCOMPLISHMENTS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What efforts were started this period?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7"/>
          <w:szCs w:val="17"/>
          <w:color w:val="auto"/>
        </w:rPr>
        <w:t>&lt;&lt;Description of work started and performed during the reporting month&gt;&gt;</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5</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6</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7</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…X</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What efforts were completed this period?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7"/>
          <w:szCs w:val="17"/>
          <w:color w:val="auto"/>
        </w:rPr>
        <w:t>&lt;&lt;Description of work completed and performed during the reporting month&gt;&gt;</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1</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2</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3</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1" w:right="3619" w:hanging="1"/>
        <w:spacing w:after="0" w:line="323" w:lineRule="auto"/>
        <w:tabs>
          <w:tab w:leader="none" w:pos="4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7" w:right="1440" w:bottom="1440" w:gutter="0" w:footer="0" w:header="0"/>
        </w:sectPr>
      </w:pPr>
    </w:p>
    <w:bookmarkStart w:id="69" w:name="page70"/>
    <w:bookmarkEnd w:id="69"/>
    <w:p>
      <w:pPr>
        <w:ind w:left="1"/>
        <w:spacing w:after="0"/>
        <w:rPr>
          <w:sz w:val="20"/>
          <w:szCs w:val="20"/>
          <w:color w:val="auto"/>
        </w:rPr>
      </w:pPr>
      <w:r>
        <w:rPr>
          <w:rFonts w:ascii="Arial" w:cs="Arial" w:eastAsia="Arial" w:hAnsi="Arial"/>
          <w:sz w:val="18"/>
          <w:szCs w:val="18"/>
          <w:u w:val="single" w:color="auto"/>
          <w:color w:val="auto"/>
        </w:rPr>
        <w:t>Key Subcontract Status:</w:t>
      </w:r>
    </w:p>
    <w:p>
      <w:pPr>
        <w:spacing w:after="0" w:line="225" w:lineRule="exact"/>
        <w:rPr>
          <w:sz w:val="20"/>
          <w:szCs w:val="20"/>
          <w:color w:val="auto"/>
        </w:rPr>
      </w:pPr>
    </w:p>
    <w:p>
      <w:pPr>
        <w:ind w:left="641"/>
        <w:spacing w:after="0"/>
        <w:rPr>
          <w:sz w:val="20"/>
          <w:szCs w:val="20"/>
          <w:color w:val="auto"/>
        </w:rPr>
      </w:pPr>
      <w:r>
        <w:rPr>
          <w:rFonts w:ascii="Arial" w:cs="Arial" w:eastAsia="Arial" w:hAnsi="Arial"/>
          <w:sz w:val="18"/>
          <w:szCs w:val="18"/>
          <w:color w:val="auto"/>
        </w:rPr>
        <w:t>Subcontractor A:</w:t>
      </w:r>
    </w:p>
    <w:p>
      <w:pPr>
        <w:spacing w:after="0" w:line="225" w:lineRule="exact"/>
        <w:rPr>
          <w:sz w:val="20"/>
          <w:szCs w:val="20"/>
          <w:color w:val="auto"/>
        </w:rPr>
      </w:pPr>
    </w:p>
    <w:p>
      <w:pPr>
        <w:ind w:left="641"/>
        <w:spacing w:after="0"/>
        <w:rPr>
          <w:sz w:val="20"/>
          <w:szCs w:val="20"/>
          <w:color w:val="auto"/>
        </w:rPr>
      </w:pPr>
      <w:r>
        <w:rPr>
          <w:rFonts w:ascii="Arial" w:cs="Arial" w:eastAsia="Arial" w:hAnsi="Arial"/>
          <w:sz w:val="18"/>
          <w:szCs w:val="18"/>
          <w:color w:val="auto"/>
        </w:rPr>
        <w:t>Subcontractor B:</w:t>
      </w:r>
    </w:p>
    <w:p>
      <w:pPr>
        <w:spacing w:after="0" w:line="225" w:lineRule="exact"/>
        <w:rPr>
          <w:sz w:val="20"/>
          <w:szCs w:val="20"/>
          <w:color w:val="auto"/>
        </w:rPr>
      </w:pPr>
    </w:p>
    <w:p>
      <w:pPr>
        <w:ind w:left="641"/>
        <w:spacing w:after="0"/>
        <w:rPr>
          <w:sz w:val="20"/>
          <w:szCs w:val="20"/>
          <w:color w:val="auto"/>
        </w:rPr>
      </w:pPr>
      <w:r>
        <w:rPr>
          <w:rFonts w:ascii="Arial" w:cs="Arial" w:eastAsia="Arial" w:hAnsi="Arial"/>
          <w:sz w:val="18"/>
          <w:szCs w:val="18"/>
          <w:color w:val="auto"/>
        </w:rPr>
        <w:t>Subcontractor C:</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SCHEDULE UPDATE</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Integrated Master Schedule Update</w:t>
      </w:r>
      <w:r>
        <w:rPr>
          <w:rFonts w:ascii="Arial" w:cs="Arial" w:eastAsia="Arial" w:hAnsi="Arial"/>
          <w:sz w:val="18"/>
          <w:szCs w:val="18"/>
          <w:color w:val="auto"/>
        </w:rPr>
        <w:t xml:space="preserve"> &lt;&lt;EXAMPLE&gt;&gt;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152400</wp:posOffset>
            </wp:positionV>
            <wp:extent cx="6114415" cy="3738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11441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Milestone Status Update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left="1" w:right="3619" w:hanging="1"/>
        <w:spacing w:after="0" w:line="323" w:lineRule="auto"/>
        <w:tabs>
          <w:tab w:leader="none" w:pos="4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41" w:right="1440" w:bottom="1440" w:gutter="0" w:footer="0" w:header="0"/>
        </w:sectPr>
      </w:pPr>
    </w:p>
    <w:bookmarkStart w:id="70" w:name="page71"/>
    <w:bookmarkEnd w:id="70"/>
    <w:p>
      <w:pPr>
        <w:ind w:left="1"/>
        <w:spacing w:after="0"/>
        <w:rPr>
          <w:sz w:val="20"/>
          <w:szCs w:val="20"/>
          <w:color w:val="auto"/>
        </w:rPr>
      </w:pPr>
      <w:r>
        <w:rPr>
          <w:rFonts w:ascii="Arial" w:cs="Arial" w:eastAsia="Arial" w:hAnsi="Arial"/>
          <w:sz w:val="18"/>
          <w:szCs w:val="18"/>
          <w:b w:val="1"/>
          <w:bCs w:val="1"/>
          <w:color w:val="auto"/>
        </w:rPr>
        <w:t>REFERENCE TO ATTACHMENT H</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SPEND PLAN</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Spend Plan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152400</wp:posOffset>
            </wp:positionV>
            <wp:extent cx="6174740" cy="37731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174740"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ind w:left="1" w:right="3619" w:hanging="1"/>
        <w:spacing w:after="0" w:line="323" w:lineRule="auto"/>
        <w:tabs>
          <w:tab w:leader="none" w:pos="4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7" w:right="1440"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226060</wp:posOffset>
            </wp:positionV>
            <wp:extent cx="6174740" cy="4699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174740" cy="469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COST PERFORMANCE REPORT</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Cost Performance Update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ind w:left="1" w:right="3619" w:hanging="1"/>
        <w:spacing w:after="0" w:line="323" w:lineRule="auto"/>
        <w:tabs>
          <w:tab w:leader="none" w:pos="4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723265</wp:posOffset>
            </wp:positionH>
            <wp:positionV relativeFrom="page">
              <wp:posOffset>226060</wp:posOffset>
            </wp:positionV>
            <wp:extent cx="6114415" cy="3404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11441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SCHEDULE PERFORMANCE REPORT</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&lt;&lt;Schedule Performance Report&gt;&gt;</w:t>
      </w:r>
    </w:p>
    <w:p>
      <w:pPr>
        <w:spacing w:after="0" w:line="225" w:lineRule="exact"/>
        <w:rPr>
          <w:sz w:val="20"/>
          <w:szCs w:val="20"/>
          <w:color w:val="auto"/>
        </w:rPr>
      </w:pPr>
    </w:p>
    <w:p>
      <w:pPr>
        <w:ind w:left="641" w:hanging="317"/>
        <w:spacing w:after="0"/>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Critical Path Analysis</w:t>
      </w:r>
    </w:p>
    <w:p>
      <w:pPr>
        <w:spacing w:after="0" w:line="23" w:lineRule="exact"/>
        <w:rPr>
          <w:rFonts w:ascii="Arial" w:cs="Arial" w:eastAsia="Arial" w:hAnsi="Arial"/>
          <w:sz w:val="18"/>
          <w:szCs w:val="18"/>
          <w:color w:val="auto"/>
        </w:rPr>
      </w:pPr>
    </w:p>
    <w:p>
      <w:pPr>
        <w:ind w:left="641" w:hanging="317"/>
        <w:spacing w:after="0"/>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Schedule Performance Index (if applicable)</w:t>
      </w:r>
    </w:p>
    <w:p>
      <w:pPr>
        <w:spacing w:after="0" w:line="9" w:lineRule="exact"/>
        <w:rPr>
          <w:rFonts w:ascii="Arial" w:cs="Arial" w:eastAsia="Arial" w:hAnsi="Arial"/>
          <w:sz w:val="18"/>
          <w:szCs w:val="18"/>
          <w:color w:val="auto"/>
        </w:rPr>
      </w:pPr>
    </w:p>
    <w:p>
      <w:pPr>
        <w:ind w:left="641" w:hanging="317"/>
        <w:spacing w:after="0"/>
        <w:tabs>
          <w:tab w:leader="none" w:pos="6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Near term upcoming milestones (30 – 60 days )</w:t>
      </w:r>
    </w:p>
    <w:p>
      <w:pPr>
        <w:spacing w:after="0" w:line="211" w:lineRule="exact"/>
        <w:rPr>
          <w:sz w:val="20"/>
          <w:szCs w:val="20"/>
          <w:color w:val="auto"/>
        </w:rPr>
      </w:pPr>
    </w:p>
    <w:p>
      <w:pPr>
        <w:ind w:left="1301" w:hanging="328"/>
        <w:spacing w:after="0"/>
        <w:tabs>
          <w:tab w:leader="none" w:pos="1301" w:val="left"/>
        </w:tabs>
        <w:numPr>
          <w:ilvl w:val="0"/>
          <w:numId w:val="47"/>
        </w:numPr>
        <w:rPr>
          <w:rFonts w:ascii="Courier New" w:cs="Courier New" w:eastAsia="Courier New" w:hAnsi="Courier New"/>
          <w:sz w:val="18"/>
          <w:szCs w:val="18"/>
          <w:color w:val="auto"/>
        </w:rPr>
      </w:pPr>
      <w:r>
        <w:rPr>
          <w:rFonts w:ascii="Arial" w:cs="Arial" w:eastAsia="Arial" w:hAnsi="Arial"/>
          <w:sz w:val="18"/>
          <w:szCs w:val="18"/>
          <w:color w:val="auto"/>
        </w:rPr>
        <w:t>Milestone 1 =</w:t>
      </w:r>
    </w:p>
    <w:p>
      <w:pPr>
        <w:spacing w:after="0" w:line="7" w:lineRule="exact"/>
        <w:rPr>
          <w:rFonts w:ascii="Courier New" w:cs="Courier New" w:eastAsia="Courier New" w:hAnsi="Courier New"/>
          <w:sz w:val="18"/>
          <w:szCs w:val="18"/>
          <w:color w:val="auto"/>
        </w:rPr>
      </w:pPr>
    </w:p>
    <w:p>
      <w:pPr>
        <w:ind w:left="1301" w:hanging="328"/>
        <w:spacing w:after="0" w:line="232" w:lineRule="auto"/>
        <w:tabs>
          <w:tab w:leader="none" w:pos="1301" w:val="left"/>
        </w:tabs>
        <w:numPr>
          <w:ilvl w:val="0"/>
          <w:numId w:val="47"/>
        </w:numPr>
        <w:rPr>
          <w:rFonts w:ascii="Courier New" w:cs="Courier New" w:eastAsia="Courier New" w:hAnsi="Courier New"/>
          <w:sz w:val="18"/>
          <w:szCs w:val="18"/>
          <w:color w:val="auto"/>
        </w:rPr>
      </w:pPr>
      <w:r>
        <w:rPr>
          <w:rFonts w:ascii="Arial" w:cs="Arial" w:eastAsia="Arial" w:hAnsi="Arial"/>
          <w:sz w:val="18"/>
          <w:szCs w:val="18"/>
          <w:color w:val="auto"/>
        </w:rPr>
        <w:t>Milestone 2 =</w:t>
      </w:r>
    </w:p>
    <w:p>
      <w:pPr>
        <w:ind w:left="1301" w:hanging="328"/>
        <w:spacing w:after="0" w:line="232" w:lineRule="auto"/>
        <w:tabs>
          <w:tab w:leader="none" w:pos="1301" w:val="left"/>
        </w:tabs>
        <w:numPr>
          <w:ilvl w:val="0"/>
          <w:numId w:val="47"/>
        </w:numPr>
        <w:rPr>
          <w:rFonts w:ascii="Courier New" w:cs="Courier New" w:eastAsia="Courier New" w:hAnsi="Courier New"/>
          <w:sz w:val="18"/>
          <w:szCs w:val="18"/>
          <w:color w:val="auto"/>
        </w:rPr>
      </w:pPr>
      <w:r>
        <w:rPr>
          <w:rFonts w:ascii="Arial" w:cs="Arial" w:eastAsia="Arial" w:hAnsi="Arial"/>
          <w:sz w:val="18"/>
          <w:szCs w:val="18"/>
          <w:color w:val="auto"/>
        </w:rPr>
        <w:t>Milestone X =</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1"/>
        <w:spacing w:after="0"/>
        <w:rPr>
          <w:sz w:val="20"/>
          <w:szCs w:val="20"/>
          <w:color w:val="auto"/>
        </w:rPr>
      </w:pPr>
      <w:r>
        <w:rPr>
          <w:rFonts w:ascii="Arial" w:cs="Arial" w:eastAsia="Arial" w:hAnsi="Arial"/>
          <w:sz w:val="18"/>
          <w:szCs w:val="18"/>
          <w:color w:val="auto"/>
        </w:rPr>
        <w:t>10</w:t>
      </w:r>
    </w:p>
    <w:p>
      <w:pPr>
        <w:spacing w:after="0" w:line="23" w:lineRule="exact"/>
        <w:rPr>
          <w:sz w:val="20"/>
          <w:szCs w:val="20"/>
          <w:color w:val="auto"/>
        </w:rPr>
      </w:pPr>
    </w:p>
    <w:p>
      <w:pPr>
        <w:ind w:left="1" w:right="3619" w:hanging="1"/>
        <w:spacing w:after="0" w:line="323" w:lineRule="auto"/>
        <w:tabs>
          <w:tab w:leader="none" w:pos="4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440" w:right="1440" w:bottom="1440" w:gutter="0" w:footer="0" w:header="0"/>
        </w:sectPr>
      </w:pPr>
    </w:p>
    <w:bookmarkStart w:id="73" w:name="page74"/>
    <w:bookmarkEnd w:id="73"/>
    <w:p>
      <w:pPr>
        <w:ind w:left="1"/>
        <w:spacing w:after="0"/>
        <w:rPr>
          <w:sz w:val="20"/>
          <w:szCs w:val="20"/>
          <w:color w:val="auto"/>
        </w:rPr>
      </w:pPr>
      <w:r>
        <w:rPr>
          <w:rFonts w:ascii="Arial" w:cs="Arial" w:eastAsia="Arial" w:hAnsi="Arial"/>
          <w:sz w:val="18"/>
          <w:szCs w:val="18"/>
          <w:b w:val="1"/>
          <w:bCs w:val="1"/>
          <w:color w:val="auto"/>
        </w:rPr>
        <w:t>MONTHLY INVOICE – (NON-LABOR)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154940</wp:posOffset>
            </wp:positionV>
            <wp:extent cx="5634355" cy="6646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634355" cy="664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941"/>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left="1" w:right="3619" w:hanging="1"/>
        <w:spacing w:after="0" w:line="323" w:lineRule="auto"/>
        <w:tabs>
          <w:tab w:leader="none" w:pos="4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7" w:right="1440" w:bottom="1440" w:gutter="0" w:footer="0" w:header="0"/>
        </w:sectPr>
      </w:pPr>
    </w:p>
    <w:bookmarkStart w:id="74" w:name="page75"/>
    <w:bookmarkEnd w:id="74"/>
    <w:p>
      <w:pPr>
        <w:jc w:val="right"/>
        <w:ind w:right="3479"/>
        <w:spacing w:after="0"/>
        <w:rPr>
          <w:sz w:val="20"/>
          <w:szCs w:val="20"/>
          <w:color w:val="auto"/>
        </w:rPr>
      </w:pPr>
      <w:r>
        <w:rPr>
          <w:rFonts w:ascii="Arial" w:cs="Arial" w:eastAsia="Arial" w:hAnsi="Arial"/>
          <w:sz w:val="18"/>
          <w:szCs w:val="18"/>
          <w:b w:val="1"/>
          <w:bCs w:val="1"/>
          <w:color w:val="auto"/>
        </w:rPr>
        <w:t>Exhibit C to Attachment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17145</wp:posOffset>
            </wp:positionV>
            <wp:extent cx="5634355" cy="6646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634355" cy="664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41"/>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ind w:left="1" w:right="3619" w:hanging="1"/>
        <w:spacing w:after="0" w:line="323" w:lineRule="auto"/>
        <w:tabs>
          <w:tab w:leader="none" w:pos="4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7"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963930</wp:posOffset>
            </wp:positionH>
            <wp:positionV relativeFrom="page">
              <wp:posOffset>226060</wp:posOffset>
            </wp:positionV>
            <wp:extent cx="5634355" cy="6646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5634355" cy="664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41"/>
        <w:spacing w:after="0"/>
        <w:rPr>
          <w:sz w:val="20"/>
          <w:szCs w:val="20"/>
          <w:color w:val="auto"/>
        </w:rPr>
      </w:pPr>
      <w:r>
        <w:rPr>
          <w:rFonts w:ascii="Arial" w:cs="Arial" w:eastAsia="Arial" w:hAnsi="Arial"/>
          <w:sz w:val="18"/>
          <w:szCs w:val="18"/>
          <w:color w:val="auto"/>
        </w:rPr>
        <w:t>13</w:t>
      </w:r>
    </w:p>
    <w:p>
      <w:pPr>
        <w:spacing w:after="0" w:line="23" w:lineRule="exact"/>
        <w:rPr>
          <w:sz w:val="20"/>
          <w:szCs w:val="20"/>
          <w:color w:val="auto"/>
        </w:rPr>
      </w:pPr>
    </w:p>
    <w:p>
      <w:pPr>
        <w:ind w:left="1" w:right="3619" w:hanging="1"/>
        <w:spacing w:after="0" w:line="323" w:lineRule="auto"/>
        <w:tabs>
          <w:tab w:leader="none" w:pos="4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440" w:right="1440"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t>ATTACHMENT H</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PROJECT MILESTONE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Attachment H is revised in its entirety by the Amendment No. 9 to the DDA)</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0" w:type="dxa"/>
            <w:vAlign w:val="bottom"/>
            <w:tcBorders>
              <w:top w:val="single" w:sz="8" w:color="999999"/>
              <w:left w:val="single" w:sz="8" w:color="999999"/>
              <w:bottom w:val="single" w:sz="8" w:color="999999"/>
              <w:right w:val="single" w:sz="8" w:color="999999"/>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999999"/>
              <w:bottom w:val="single" w:sz="8" w:color="999999"/>
              <w:right w:val="single" w:sz="8" w:color="999999"/>
            </w:tcBorders>
          </w:tcPr>
          <w:p>
            <w:pPr>
              <w:ind w:left="180"/>
              <w:spacing w:after="0"/>
              <w:rPr>
                <w:sz w:val="20"/>
                <w:szCs w:val="20"/>
                <w:color w:val="auto"/>
              </w:rPr>
            </w:pPr>
            <w:r>
              <w:rPr>
                <w:rFonts w:ascii="Arial" w:cs="Arial" w:eastAsia="Arial" w:hAnsi="Arial"/>
                <w:sz w:val="18"/>
                <w:szCs w:val="18"/>
                <w:b w:val="1"/>
                <w:bCs w:val="1"/>
                <w:color w:val="auto"/>
              </w:rPr>
              <w:t>Milestone</w:t>
            </w:r>
          </w:p>
        </w:tc>
        <w:tc>
          <w:tcPr>
            <w:tcW w:w="6760" w:type="dxa"/>
            <w:vAlign w:val="bottom"/>
            <w:tcBorders>
              <w:top w:val="single" w:sz="8" w:color="999999"/>
              <w:bottom w:val="single" w:sz="8" w:color="999999"/>
              <w:right w:val="single" w:sz="8" w:color="999999"/>
            </w:tcBorders>
          </w:tcPr>
          <w:p>
            <w:pPr>
              <w:ind w:left="3060"/>
              <w:spacing w:after="0"/>
              <w:rPr>
                <w:sz w:val="20"/>
                <w:szCs w:val="20"/>
                <w:color w:val="auto"/>
              </w:rPr>
            </w:pPr>
            <w:r>
              <w:rPr>
                <w:rFonts w:ascii="Arial" w:cs="Arial" w:eastAsia="Arial" w:hAnsi="Arial"/>
                <w:sz w:val="18"/>
                <w:szCs w:val="18"/>
                <w:b w:val="1"/>
                <w:bCs w:val="1"/>
                <w:color w:val="auto"/>
              </w:rPr>
              <w:t>Criteria</w:t>
            </w:r>
          </w:p>
        </w:tc>
        <w:tc>
          <w:tcPr>
            <w:tcW w:w="1660" w:type="dxa"/>
            <w:vAlign w:val="bottom"/>
            <w:tcBorders>
              <w:top w:val="single" w:sz="8" w:color="999999"/>
              <w:bottom w:val="single" w:sz="8" w:color="999999"/>
              <w:right w:val="single" w:sz="8" w:color="999999"/>
            </w:tcBorders>
          </w:tcPr>
          <w:p>
            <w:pPr>
              <w:ind w:left="640"/>
              <w:spacing w:after="0"/>
              <w:rPr>
                <w:sz w:val="20"/>
                <w:szCs w:val="20"/>
                <w:color w:val="auto"/>
              </w:rPr>
            </w:pPr>
            <w:r>
              <w:rPr>
                <w:rFonts w:ascii="Arial" w:cs="Arial" w:eastAsia="Arial" w:hAnsi="Arial"/>
                <w:sz w:val="18"/>
                <w:szCs w:val="18"/>
                <w:b w:val="1"/>
                <w:bCs w:val="1"/>
                <w:color w:val="auto"/>
              </w:rPr>
              <w:t>Date</w:t>
            </w:r>
          </w:p>
        </w:tc>
      </w:tr>
      <w:tr>
        <w:trPr>
          <w:trHeight w:val="210"/>
        </w:trPr>
        <w:tc>
          <w:tcPr>
            <w:tcW w:w="520" w:type="dxa"/>
            <w:vAlign w:val="bottom"/>
            <w:tcBorders>
              <w:left w:val="single" w:sz="8" w:color="999999"/>
              <w:bottom w:val="single" w:sz="8" w:color="999999"/>
              <w:right w:val="single" w:sz="8" w:color="999999"/>
            </w:tcBorders>
            <w:shd w:val="clear" w:color="auto" w:fill="D9D9D9"/>
          </w:tcPr>
          <w:p>
            <w:pPr>
              <w:jc w:val="right"/>
              <w:ind w:right="210"/>
              <w:spacing w:after="0"/>
              <w:rPr>
                <w:sz w:val="20"/>
                <w:szCs w:val="20"/>
                <w:color w:val="auto"/>
              </w:rPr>
            </w:pPr>
            <w:r>
              <w:rPr>
                <w:rFonts w:ascii="Arial" w:cs="Arial" w:eastAsia="Arial" w:hAnsi="Arial"/>
                <w:sz w:val="18"/>
                <w:szCs w:val="18"/>
                <w:b w:val="1"/>
                <w:bCs w:val="1"/>
                <w:color w:val="auto"/>
              </w:rPr>
              <w:t>1</w:t>
            </w:r>
          </w:p>
        </w:tc>
        <w:tc>
          <w:tcPr>
            <w:tcW w:w="114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18"/>
                <w:szCs w:val="18"/>
                <w:color w:val="auto"/>
              </w:rPr>
            </w:pPr>
          </w:p>
        </w:tc>
        <w:tc>
          <w:tcPr>
            <w:tcW w:w="1660" w:type="dxa"/>
            <w:vAlign w:val="bottom"/>
            <w:tcBorders>
              <w:bottom w:val="single" w:sz="8" w:color="999999"/>
              <w:right w:val="single" w:sz="8" w:color="999999"/>
            </w:tcBorders>
            <w:shd w:val="clear" w:color="auto" w:fill="D9D9D9"/>
          </w:tcPr>
          <w:p>
            <w:pPr>
              <w:ind w:left="620"/>
              <w:spacing w:after="0"/>
              <w:rPr>
                <w:sz w:val="20"/>
                <w:szCs w:val="20"/>
                <w:color w:val="auto"/>
              </w:rPr>
            </w:pPr>
            <w:r>
              <w:rPr>
                <w:rFonts w:ascii="Arial" w:cs="Arial" w:eastAsia="Arial" w:hAnsi="Arial"/>
                <w:sz w:val="18"/>
                <w:szCs w:val="18"/>
                <w:color w:val="auto"/>
              </w:rPr>
              <w:t>[***]</w:t>
            </w:r>
          </w:p>
        </w:tc>
      </w:tr>
      <w:tr>
        <w:trPr>
          <w:trHeight w:val="210"/>
        </w:trPr>
        <w:tc>
          <w:tcPr>
            <w:tcW w:w="520" w:type="dxa"/>
            <w:vAlign w:val="bottom"/>
            <w:tcBorders>
              <w:left w:val="single" w:sz="8" w:color="999999"/>
              <w:bottom w:val="single" w:sz="8" w:color="999999"/>
              <w:right w:val="single" w:sz="8" w:color="999999"/>
            </w:tcBorders>
            <w:shd w:val="clear" w:color="auto" w:fill="F2F2F2"/>
          </w:tcPr>
          <w:p>
            <w:pPr>
              <w:spacing w:after="0"/>
              <w:rPr>
                <w:sz w:val="18"/>
                <w:szCs w:val="18"/>
                <w:color w:val="auto"/>
              </w:rPr>
            </w:pPr>
          </w:p>
        </w:tc>
        <w:tc>
          <w:tcPr>
            <w:tcW w:w="114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F2F2F2"/>
          </w:tcPr>
          <w:p>
            <w:pPr>
              <w:spacing w:after="0"/>
              <w:rPr>
                <w:sz w:val="18"/>
                <w:szCs w:val="18"/>
                <w:color w:val="auto"/>
              </w:rPr>
            </w:pPr>
          </w:p>
        </w:tc>
        <w:tc>
          <w:tcPr>
            <w:tcW w:w="1660" w:type="dxa"/>
            <w:vAlign w:val="bottom"/>
            <w:tcBorders>
              <w:bottom w:val="single" w:sz="8" w:color="999999"/>
              <w:right w:val="single" w:sz="8" w:color="999999"/>
            </w:tcBorders>
            <w:shd w:val="clear" w:color="auto" w:fill="F2F2F2"/>
          </w:tcPr>
          <w:p>
            <w:pPr>
              <w:spacing w:after="0"/>
              <w:rPr>
                <w:sz w:val="18"/>
                <w:szCs w:val="18"/>
                <w:color w:val="auto"/>
              </w:rPr>
            </w:pPr>
          </w:p>
        </w:tc>
      </w:tr>
      <w:tr>
        <w:trPr>
          <w:trHeight w:val="195"/>
        </w:trPr>
        <w:tc>
          <w:tcPr>
            <w:tcW w:w="520" w:type="dxa"/>
            <w:vAlign w:val="bottom"/>
            <w:tcBorders>
              <w:left w:val="single" w:sz="8" w:color="999999"/>
              <w:right w:val="single" w:sz="8" w:color="999999"/>
            </w:tcBorders>
          </w:tcPr>
          <w:p>
            <w:pPr>
              <w:spacing w:after="0"/>
              <w:rPr>
                <w:sz w:val="16"/>
                <w:szCs w:val="16"/>
                <w:color w:val="auto"/>
              </w:rPr>
            </w:pPr>
          </w:p>
        </w:tc>
        <w:tc>
          <w:tcPr>
            <w:tcW w:w="1140" w:type="dxa"/>
            <w:vAlign w:val="bottom"/>
            <w:tcBorders>
              <w:right w:val="single" w:sz="8" w:color="999999"/>
            </w:tcBorders>
          </w:tcPr>
          <w:p>
            <w:pPr>
              <w:spacing w:after="0"/>
              <w:rPr>
                <w:sz w:val="16"/>
                <w:szCs w:val="16"/>
                <w:color w:val="auto"/>
              </w:rPr>
            </w:pPr>
          </w:p>
        </w:tc>
        <w:tc>
          <w:tcPr>
            <w:tcW w:w="6760" w:type="dxa"/>
            <w:vAlign w:val="bottom"/>
            <w:tcBorders>
              <w:right w:val="single" w:sz="8" w:color="999999"/>
            </w:tcBorders>
          </w:tcPr>
          <w:p>
            <w:pPr>
              <w:ind w:left="100"/>
              <w:spacing w:after="0" w:line="19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660" w:type="dxa"/>
            <w:vAlign w:val="bottom"/>
            <w:tcBorders>
              <w:right w:val="single" w:sz="8" w:color="999999"/>
            </w:tcBorders>
          </w:tcPr>
          <w:p>
            <w:pPr>
              <w:spacing w:after="0"/>
              <w:rPr>
                <w:sz w:val="16"/>
                <w:szCs w:val="16"/>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6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6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6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30"/>
        </w:trPr>
        <w:tc>
          <w:tcPr>
            <w:tcW w:w="520" w:type="dxa"/>
            <w:vAlign w:val="bottom"/>
            <w:tcBorders>
              <w:left w:val="single" w:sz="8" w:color="999999"/>
              <w:bottom w:val="single" w:sz="8" w:color="999999"/>
              <w:right w:val="single" w:sz="8" w:color="999999"/>
            </w:tcBorders>
          </w:tcPr>
          <w:p>
            <w:pPr>
              <w:spacing w:after="0"/>
              <w:rPr>
                <w:sz w:val="20"/>
                <w:szCs w:val="20"/>
                <w:color w:val="auto"/>
              </w:rPr>
            </w:pPr>
          </w:p>
        </w:tc>
        <w:tc>
          <w:tcPr>
            <w:tcW w:w="1140" w:type="dxa"/>
            <w:vAlign w:val="bottom"/>
            <w:tcBorders>
              <w:bottom w:val="single" w:sz="8" w:color="999999"/>
              <w:right w:val="single" w:sz="8" w:color="999999"/>
            </w:tcBorders>
          </w:tcPr>
          <w:p>
            <w:pPr>
              <w:spacing w:after="0"/>
              <w:rPr>
                <w:sz w:val="20"/>
                <w:szCs w:val="20"/>
                <w:color w:val="auto"/>
              </w:rPr>
            </w:pPr>
          </w:p>
        </w:tc>
        <w:tc>
          <w:tcPr>
            <w:tcW w:w="6760" w:type="dxa"/>
            <w:vAlign w:val="bottom"/>
            <w:tcBorders>
              <w:bottom w:val="single" w:sz="8" w:color="999999"/>
              <w:right w:val="single" w:sz="8" w:color="999999"/>
            </w:tcBorders>
          </w:tcPr>
          <w:p>
            <w:pPr>
              <w:ind w:left="5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999999"/>
              <w:right w:val="single" w:sz="8" w:color="999999"/>
            </w:tcBorders>
          </w:tcPr>
          <w:p>
            <w:pPr>
              <w:spacing w:after="0"/>
              <w:rPr>
                <w:sz w:val="20"/>
                <w:szCs w:val="20"/>
                <w:color w:val="auto"/>
              </w:rPr>
            </w:pPr>
          </w:p>
        </w:tc>
      </w:tr>
      <w:tr>
        <w:trPr>
          <w:trHeight w:val="210"/>
        </w:trPr>
        <w:tc>
          <w:tcPr>
            <w:tcW w:w="520" w:type="dxa"/>
            <w:vAlign w:val="bottom"/>
            <w:tcBorders>
              <w:left w:val="single" w:sz="8" w:color="999999"/>
              <w:bottom w:val="single" w:sz="8" w:color="999999"/>
              <w:right w:val="single" w:sz="8" w:color="999999"/>
            </w:tcBorders>
            <w:shd w:val="clear" w:color="auto" w:fill="D9D9D9"/>
          </w:tcPr>
          <w:p>
            <w:pPr>
              <w:jc w:val="right"/>
              <w:ind w:right="210"/>
              <w:spacing w:after="0"/>
              <w:rPr>
                <w:sz w:val="20"/>
                <w:szCs w:val="20"/>
                <w:color w:val="auto"/>
              </w:rPr>
            </w:pPr>
            <w:r>
              <w:rPr>
                <w:rFonts w:ascii="Arial" w:cs="Arial" w:eastAsia="Arial" w:hAnsi="Arial"/>
                <w:sz w:val="18"/>
                <w:szCs w:val="18"/>
                <w:b w:val="1"/>
                <w:bCs w:val="1"/>
                <w:color w:val="auto"/>
              </w:rPr>
              <w:t>2</w:t>
            </w:r>
          </w:p>
        </w:tc>
        <w:tc>
          <w:tcPr>
            <w:tcW w:w="114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18"/>
                <w:szCs w:val="18"/>
                <w:color w:val="auto"/>
              </w:rPr>
            </w:pPr>
          </w:p>
        </w:tc>
        <w:tc>
          <w:tcPr>
            <w:tcW w:w="1660" w:type="dxa"/>
            <w:vAlign w:val="bottom"/>
            <w:tcBorders>
              <w:bottom w:val="single" w:sz="8" w:color="999999"/>
              <w:right w:val="single" w:sz="8" w:color="999999"/>
            </w:tcBorders>
            <w:shd w:val="clear" w:color="auto" w:fill="D9D9D9"/>
          </w:tcPr>
          <w:p>
            <w:pPr>
              <w:ind w:left="620"/>
              <w:spacing w:after="0"/>
              <w:rPr>
                <w:sz w:val="20"/>
                <w:szCs w:val="20"/>
                <w:color w:val="auto"/>
              </w:rPr>
            </w:pPr>
            <w:r>
              <w:rPr>
                <w:rFonts w:ascii="Arial" w:cs="Arial" w:eastAsia="Arial" w:hAnsi="Arial"/>
                <w:sz w:val="18"/>
                <w:szCs w:val="18"/>
                <w:color w:val="auto"/>
              </w:rPr>
              <w:t>[***]</w:t>
            </w:r>
          </w:p>
        </w:tc>
      </w:tr>
      <w:tr>
        <w:trPr>
          <w:trHeight w:val="224"/>
        </w:trPr>
        <w:tc>
          <w:tcPr>
            <w:tcW w:w="520" w:type="dxa"/>
            <w:vAlign w:val="bottom"/>
            <w:tcBorders>
              <w:left w:val="single" w:sz="8" w:color="999999"/>
              <w:right w:val="single" w:sz="8" w:color="999999"/>
            </w:tcBorders>
            <w:shd w:val="clear" w:color="auto" w:fill="F2F2F2"/>
          </w:tcPr>
          <w:p>
            <w:pPr>
              <w:spacing w:after="0"/>
              <w:rPr>
                <w:sz w:val="19"/>
                <w:szCs w:val="19"/>
                <w:color w:val="auto"/>
              </w:rPr>
            </w:pPr>
          </w:p>
        </w:tc>
        <w:tc>
          <w:tcPr>
            <w:tcW w:w="114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19"/>
                <w:szCs w:val="19"/>
                <w:color w:val="auto"/>
              </w:rPr>
            </w:pPr>
          </w:p>
        </w:tc>
        <w:tc>
          <w:tcPr>
            <w:tcW w:w="1660" w:type="dxa"/>
            <w:vAlign w:val="bottom"/>
            <w:tcBorders>
              <w:right w:val="single" w:sz="8" w:color="999999"/>
            </w:tcBorders>
            <w:shd w:val="clear" w:color="auto" w:fill="F2F2F2"/>
          </w:tcPr>
          <w:p>
            <w:pPr>
              <w:spacing w:after="0"/>
              <w:rPr>
                <w:sz w:val="19"/>
                <w:szCs w:val="19"/>
                <w:color w:val="auto"/>
              </w:rPr>
            </w:pPr>
          </w:p>
        </w:tc>
      </w:tr>
      <w:tr>
        <w:trPr>
          <w:trHeight w:val="404"/>
        </w:trPr>
        <w:tc>
          <w:tcPr>
            <w:tcW w:w="520" w:type="dxa"/>
            <w:vAlign w:val="bottom"/>
            <w:tcBorders>
              <w:left w:val="single" w:sz="8" w:color="999999"/>
              <w:right w:val="single" w:sz="8" w:color="999999"/>
            </w:tcBorders>
            <w:shd w:val="clear" w:color="auto" w:fill="F2F2F2"/>
          </w:tcPr>
          <w:p>
            <w:pPr>
              <w:spacing w:after="0"/>
              <w:rPr>
                <w:sz w:val="24"/>
                <w:szCs w:val="24"/>
                <w:color w:val="auto"/>
              </w:rPr>
            </w:pPr>
          </w:p>
        </w:tc>
        <w:tc>
          <w:tcPr>
            <w:tcW w:w="114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24"/>
                <w:szCs w:val="24"/>
                <w:color w:val="auto"/>
              </w:rPr>
            </w:pPr>
          </w:p>
        </w:tc>
        <w:tc>
          <w:tcPr>
            <w:tcW w:w="1660" w:type="dxa"/>
            <w:vAlign w:val="bottom"/>
            <w:tcBorders>
              <w:right w:val="single" w:sz="8" w:color="999999"/>
            </w:tcBorders>
            <w:shd w:val="clear" w:color="auto" w:fill="F2F2F2"/>
          </w:tcPr>
          <w:p>
            <w:pPr>
              <w:spacing w:after="0"/>
              <w:rPr>
                <w:sz w:val="24"/>
                <w:szCs w:val="24"/>
                <w:color w:val="auto"/>
              </w:rPr>
            </w:pPr>
          </w:p>
        </w:tc>
      </w:tr>
      <w:tr>
        <w:trPr>
          <w:trHeight w:val="230"/>
        </w:trPr>
        <w:tc>
          <w:tcPr>
            <w:tcW w:w="520" w:type="dxa"/>
            <w:vAlign w:val="bottom"/>
            <w:tcBorders>
              <w:left w:val="single" w:sz="8" w:color="999999"/>
              <w:bottom w:val="single" w:sz="8" w:color="999999"/>
              <w:right w:val="single" w:sz="8" w:color="999999"/>
            </w:tcBorders>
            <w:shd w:val="clear" w:color="auto" w:fill="F2F2F2"/>
          </w:tcPr>
          <w:p>
            <w:pPr>
              <w:spacing w:after="0"/>
              <w:rPr>
                <w:sz w:val="20"/>
                <w:szCs w:val="20"/>
                <w:color w:val="auto"/>
              </w:rPr>
            </w:pPr>
          </w:p>
        </w:tc>
        <w:tc>
          <w:tcPr>
            <w:tcW w:w="114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F2F2F2"/>
          </w:tcPr>
          <w:p>
            <w:pPr>
              <w:spacing w:after="0"/>
              <w:rPr>
                <w:sz w:val="20"/>
                <w:szCs w:val="20"/>
                <w:color w:val="auto"/>
              </w:rPr>
            </w:pPr>
          </w:p>
        </w:tc>
        <w:tc>
          <w:tcPr>
            <w:tcW w:w="1660" w:type="dxa"/>
            <w:vAlign w:val="bottom"/>
            <w:tcBorders>
              <w:bottom w:val="single" w:sz="8" w:color="999999"/>
              <w:right w:val="single" w:sz="8" w:color="999999"/>
            </w:tcBorders>
            <w:shd w:val="clear" w:color="auto" w:fill="F2F2F2"/>
          </w:tcPr>
          <w:p>
            <w:pPr>
              <w:spacing w:after="0"/>
              <w:rPr>
                <w:sz w:val="20"/>
                <w:szCs w:val="20"/>
                <w:color w:val="auto"/>
              </w:rPr>
            </w:pPr>
          </w:p>
        </w:tc>
      </w:tr>
      <w:tr>
        <w:trPr>
          <w:trHeight w:val="195"/>
        </w:trPr>
        <w:tc>
          <w:tcPr>
            <w:tcW w:w="520" w:type="dxa"/>
            <w:vAlign w:val="bottom"/>
            <w:tcBorders>
              <w:left w:val="single" w:sz="8" w:color="999999"/>
              <w:right w:val="single" w:sz="8" w:color="999999"/>
            </w:tcBorders>
          </w:tcPr>
          <w:p>
            <w:pPr>
              <w:spacing w:after="0"/>
              <w:rPr>
                <w:sz w:val="16"/>
                <w:szCs w:val="16"/>
                <w:color w:val="auto"/>
              </w:rPr>
            </w:pPr>
          </w:p>
        </w:tc>
        <w:tc>
          <w:tcPr>
            <w:tcW w:w="1140" w:type="dxa"/>
            <w:vAlign w:val="bottom"/>
            <w:tcBorders>
              <w:right w:val="single" w:sz="8" w:color="999999"/>
            </w:tcBorders>
          </w:tcPr>
          <w:p>
            <w:pPr>
              <w:spacing w:after="0"/>
              <w:rPr>
                <w:sz w:val="16"/>
                <w:szCs w:val="16"/>
                <w:color w:val="auto"/>
              </w:rPr>
            </w:pPr>
          </w:p>
        </w:tc>
        <w:tc>
          <w:tcPr>
            <w:tcW w:w="6760" w:type="dxa"/>
            <w:vAlign w:val="bottom"/>
            <w:tcBorders>
              <w:right w:val="single" w:sz="8" w:color="999999"/>
            </w:tcBorders>
          </w:tcPr>
          <w:p>
            <w:pPr>
              <w:ind w:left="100"/>
              <w:spacing w:after="0" w:line="195" w:lineRule="exact"/>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6"/>
                <w:szCs w:val="16"/>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2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2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2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2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30"/>
        </w:trPr>
        <w:tc>
          <w:tcPr>
            <w:tcW w:w="520" w:type="dxa"/>
            <w:vAlign w:val="bottom"/>
            <w:tcBorders>
              <w:left w:val="single" w:sz="8" w:color="999999"/>
              <w:bottom w:val="single" w:sz="8" w:color="999999"/>
              <w:right w:val="single" w:sz="8" w:color="999999"/>
            </w:tcBorders>
          </w:tcPr>
          <w:p>
            <w:pPr>
              <w:spacing w:after="0"/>
              <w:rPr>
                <w:sz w:val="20"/>
                <w:szCs w:val="20"/>
                <w:color w:val="auto"/>
              </w:rPr>
            </w:pPr>
          </w:p>
        </w:tc>
        <w:tc>
          <w:tcPr>
            <w:tcW w:w="1140" w:type="dxa"/>
            <w:vAlign w:val="bottom"/>
            <w:tcBorders>
              <w:bottom w:val="single" w:sz="8" w:color="999999"/>
              <w:right w:val="single" w:sz="8" w:color="999999"/>
            </w:tcBorders>
          </w:tcPr>
          <w:p>
            <w:pPr>
              <w:spacing w:after="0"/>
              <w:rPr>
                <w:sz w:val="20"/>
                <w:szCs w:val="20"/>
                <w:color w:val="auto"/>
              </w:rPr>
            </w:pPr>
          </w:p>
        </w:tc>
        <w:tc>
          <w:tcPr>
            <w:tcW w:w="6760" w:type="dxa"/>
            <w:vAlign w:val="bottom"/>
            <w:tcBorders>
              <w:bottom w:val="single" w:sz="8" w:color="999999"/>
              <w:right w:val="single" w:sz="8" w:color="999999"/>
            </w:tcBorders>
          </w:tcPr>
          <w:p>
            <w:pPr>
              <w:ind w:left="5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999999"/>
              <w:right w:val="single" w:sz="8" w:color="999999"/>
            </w:tcBorders>
          </w:tcPr>
          <w:p>
            <w:pPr>
              <w:spacing w:after="0"/>
              <w:rPr>
                <w:sz w:val="20"/>
                <w:szCs w:val="20"/>
                <w:color w:val="auto"/>
              </w:rPr>
            </w:pPr>
          </w:p>
        </w:tc>
      </w:tr>
      <w:tr>
        <w:trPr>
          <w:trHeight w:val="210"/>
        </w:trPr>
        <w:tc>
          <w:tcPr>
            <w:tcW w:w="520" w:type="dxa"/>
            <w:vAlign w:val="bottom"/>
            <w:tcBorders>
              <w:left w:val="single" w:sz="8" w:color="999999"/>
              <w:bottom w:val="single" w:sz="8" w:color="999999"/>
              <w:right w:val="single" w:sz="8" w:color="999999"/>
            </w:tcBorders>
            <w:shd w:val="clear" w:color="auto" w:fill="D9D9D9"/>
          </w:tcPr>
          <w:p>
            <w:pPr>
              <w:jc w:val="right"/>
              <w:ind w:right="210"/>
              <w:spacing w:after="0"/>
              <w:rPr>
                <w:sz w:val="20"/>
                <w:szCs w:val="20"/>
                <w:color w:val="auto"/>
              </w:rPr>
            </w:pPr>
            <w:r>
              <w:rPr>
                <w:rFonts w:ascii="Arial" w:cs="Arial" w:eastAsia="Arial" w:hAnsi="Arial"/>
                <w:sz w:val="18"/>
                <w:szCs w:val="18"/>
                <w:b w:val="1"/>
                <w:bCs w:val="1"/>
                <w:color w:val="auto"/>
              </w:rPr>
              <w:t>3</w:t>
            </w:r>
          </w:p>
        </w:tc>
        <w:tc>
          <w:tcPr>
            <w:tcW w:w="114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18"/>
                <w:szCs w:val="18"/>
                <w:color w:val="auto"/>
              </w:rPr>
            </w:pPr>
          </w:p>
        </w:tc>
        <w:tc>
          <w:tcPr>
            <w:tcW w:w="1660" w:type="dxa"/>
            <w:vAlign w:val="bottom"/>
            <w:tcBorders>
              <w:bottom w:val="single" w:sz="8" w:color="999999"/>
              <w:right w:val="single" w:sz="8" w:color="999999"/>
            </w:tcBorders>
            <w:shd w:val="clear" w:color="auto" w:fill="D9D9D9"/>
          </w:tcPr>
          <w:p>
            <w:pPr>
              <w:ind w:left="620"/>
              <w:spacing w:after="0"/>
              <w:rPr>
                <w:sz w:val="20"/>
                <w:szCs w:val="20"/>
                <w:color w:val="auto"/>
              </w:rPr>
            </w:pPr>
            <w:r>
              <w:rPr>
                <w:rFonts w:ascii="Arial" w:cs="Arial" w:eastAsia="Arial" w:hAnsi="Arial"/>
                <w:sz w:val="18"/>
                <w:szCs w:val="18"/>
                <w:color w:val="auto"/>
              </w:rPr>
              <w:t>[***]</w:t>
            </w:r>
          </w:p>
        </w:tc>
      </w:tr>
      <w:tr>
        <w:trPr>
          <w:trHeight w:val="224"/>
        </w:trPr>
        <w:tc>
          <w:tcPr>
            <w:tcW w:w="520" w:type="dxa"/>
            <w:vAlign w:val="bottom"/>
            <w:tcBorders>
              <w:left w:val="single" w:sz="8" w:color="999999"/>
              <w:right w:val="single" w:sz="8" w:color="999999"/>
            </w:tcBorders>
            <w:shd w:val="clear" w:color="auto" w:fill="F2F2F2"/>
          </w:tcPr>
          <w:p>
            <w:pPr>
              <w:spacing w:after="0"/>
              <w:rPr>
                <w:sz w:val="19"/>
                <w:szCs w:val="19"/>
                <w:color w:val="auto"/>
              </w:rPr>
            </w:pPr>
          </w:p>
        </w:tc>
        <w:tc>
          <w:tcPr>
            <w:tcW w:w="114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19"/>
                <w:szCs w:val="19"/>
                <w:color w:val="auto"/>
              </w:rPr>
            </w:pPr>
          </w:p>
        </w:tc>
        <w:tc>
          <w:tcPr>
            <w:tcW w:w="1660" w:type="dxa"/>
            <w:vAlign w:val="bottom"/>
            <w:tcBorders>
              <w:right w:val="single" w:sz="8" w:color="999999"/>
            </w:tcBorders>
            <w:shd w:val="clear" w:color="auto" w:fill="F2F2F2"/>
          </w:tcPr>
          <w:p>
            <w:pPr>
              <w:spacing w:after="0"/>
              <w:rPr>
                <w:sz w:val="19"/>
                <w:szCs w:val="19"/>
                <w:color w:val="auto"/>
              </w:rPr>
            </w:pPr>
          </w:p>
        </w:tc>
      </w:tr>
      <w:tr>
        <w:trPr>
          <w:trHeight w:val="404"/>
        </w:trPr>
        <w:tc>
          <w:tcPr>
            <w:tcW w:w="520" w:type="dxa"/>
            <w:vAlign w:val="bottom"/>
            <w:tcBorders>
              <w:left w:val="single" w:sz="8" w:color="999999"/>
              <w:right w:val="single" w:sz="8" w:color="999999"/>
            </w:tcBorders>
            <w:shd w:val="clear" w:color="auto" w:fill="F2F2F2"/>
          </w:tcPr>
          <w:p>
            <w:pPr>
              <w:spacing w:after="0"/>
              <w:rPr>
                <w:sz w:val="24"/>
                <w:szCs w:val="24"/>
                <w:color w:val="auto"/>
              </w:rPr>
            </w:pPr>
          </w:p>
        </w:tc>
        <w:tc>
          <w:tcPr>
            <w:tcW w:w="114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24"/>
                <w:szCs w:val="24"/>
                <w:color w:val="auto"/>
              </w:rPr>
            </w:pPr>
          </w:p>
        </w:tc>
        <w:tc>
          <w:tcPr>
            <w:tcW w:w="1660" w:type="dxa"/>
            <w:vAlign w:val="bottom"/>
            <w:tcBorders>
              <w:right w:val="single" w:sz="8" w:color="999999"/>
            </w:tcBorders>
            <w:shd w:val="clear" w:color="auto" w:fill="F2F2F2"/>
          </w:tcPr>
          <w:p>
            <w:pPr>
              <w:spacing w:after="0"/>
              <w:rPr>
                <w:sz w:val="24"/>
                <w:szCs w:val="24"/>
                <w:color w:val="auto"/>
              </w:rPr>
            </w:pPr>
          </w:p>
        </w:tc>
      </w:tr>
      <w:tr>
        <w:trPr>
          <w:trHeight w:val="230"/>
        </w:trPr>
        <w:tc>
          <w:tcPr>
            <w:tcW w:w="520" w:type="dxa"/>
            <w:vAlign w:val="bottom"/>
            <w:tcBorders>
              <w:left w:val="single" w:sz="8" w:color="999999"/>
              <w:bottom w:val="single" w:sz="8" w:color="999999"/>
              <w:right w:val="single" w:sz="8" w:color="999999"/>
            </w:tcBorders>
            <w:shd w:val="clear" w:color="auto" w:fill="F2F2F2"/>
          </w:tcPr>
          <w:p>
            <w:pPr>
              <w:spacing w:after="0"/>
              <w:rPr>
                <w:sz w:val="20"/>
                <w:szCs w:val="20"/>
                <w:color w:val="auto"/>
              </w:rPr>
            </w:pPr>
          </w:p>
        </w:tc>
        <w:tc>
          <w:tcPr>
            <w:tcW w:w="114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F2F2F2"/>
          </w:tcPr>
          <w:p>
            <w:pPr>
              <w:spacing w:after="0"/>
              <w:rPr>
                <w:sz w:val="20"/>
                <w:szCs w:val="20"/>
                <w:color w:val="auto"/>
              </w:rPr>
            </w:pPr>
          </w:p>
        </w:tc>
        <w:tc>
          <w:tcPr>
            <w:tcW w:w="1660" w:type="dxa"/>
            <w:vAlign w:val="bottom"/>
            <w:tcBorders>
              <w:bottom w:val="single" w:sz="8" w:color="999999"/>
              <w:right w:val="single" w:sz="8" w:color="999999"/>
            </w:tcBorders>
            <w:shd w:val="clear" w:color="auto" w:fill="F2F2F2"/>
          </w:tcPr>
          <w:p>
            <w:pPr>
              <w:spacing w:after="0"/>
              <w:rPr>
                <w:sz w:val="20"/>
                <w:szCs w:val="20"/>
                <w:color w:val="auto"/>
              </w:rPr>
            </w:pPr>
          </w:p>
        </w:tc>
      </w:tr>
      <w:tr>
        <w:trPr>
          <w:trHeight w:val="195"/>
        </w:trPr>
        <w:tc>
          <w:tcPr>
            <w:tcW w:w="520" w:type="dxa"/>
            <w:vAlign w:val="bottom"/>
            <w:tcBorders>
              <w:left w:val="single" w:sz="8" w:color="999999"/>
              <w:right w:val="single" w:sz="8" w:color="999999"/>
            </w:tcBorders>
          </w:tcPr>
          <w:p>
            <w:pPr>
              <w:spacing w:after="0"/>
              <w:rPr>
                <w:sz w:val="16"/>
                <w:szCs w:val="16"/>
                <w:color w:val="auto"/>
              </w:rPr>
            </w:pPr>
          </w:p>
        </w:tc>
        <w:tc>
          <w:tcPr>
            <w:tcW w:w="1140" w:type="dxa"/>
            <w:vAlign w:val="bottom"/>
            <w:tcBorders>
              <w:right w:val="single" w:sz="8" w:color="999999"/>
            </w:tcBorders>
          </w:tcPr>
          <w:p>
            <w:pPr>
              <w:spacing w:after="0"/>
              <w:rPr>
                <w:sz w:val="16"/>
                <w:szCs w:val="16"/>
                <w:color w:val="auto"/>
              </w:rPr>
            </w:pPr>
          </w:p>
        </w:tc>
        <w:tc>
          <w:tcPr>
            <w:tcW w:w="6760" w:type="dxa"/>
            <w:vAlign w:val="bottom"/>
            <w:tcBorders>
              <w:right w:val="single" w:sz="8" w:color="999999"/>
            </w:tcBorders>
          </w:tcPr>
          <w:p>
            <w:pPr>
              <w:ind w:left="100"/>
              <w:spacing w:after="0" w:line="195"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660" w:type="dxa"/>
            <w:vAlign w:val="bottom"/>
            <w:tcBorders>
              <w:right w:val="single" w:sz="8" w:color="999999"/>
            </w:tcBorders>
          </w:tcPr>
          <w:p>
            <w:pPr>
              <w:spacing w:after="0"/>
              <w:rPr>
                <w:sz w:val="16"/>
                <w:szCs w:val="16"/>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4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12"/>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48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20"/>
        </w:trPr>
        <w:tc>
          <w:tcPr>
            <w:tcW w:w="520" w:type="dxa"/>
            <w:vAlign w:val="bottom"/>
            <w:tcBorders>
              <w:left w:val="single" w:sz="8" w:color="999999"/>
              <w:right w:val="single" w:sz="8" w:color="999999"/>
            </w:tcBorders>
          </w:tcPr>
          <w:p>
            <w:pPr>
              <w:spacing w:after="0"/>
              <w:rPr>
                <w:sz w:val="19"/>
                <w:szCs w:val="19"/>
                <w:color w:val="auto"/>
              </w:rPr>
            </w:pPr>
          </w:p>
        </w:tc>
        <w:tc>
          <w:tcPr>
            <w:tcW w:w="1140" w:type="dxa"/>
            <w:vAlign w:val="bottom"/>
            <w:tcBorders>
              <w:right w:val="single" w:sz="8" w:color="999999"/>
            </w:tcBorders>
          </w:tcPr>
          <w:p>
            <w:pPr>
              <w:spacing w:after="0"/>
              <w:rPr>
                <w:sz w:val="19"/>
                <w:szCs w:val="19"/>
                <w:color w:val="auto"/>
              </w:rPr>
            </w:pPr>
          </w:p>
        </w:tc>
        <w:tc>
          <w:tcPr>
            <w:tcW w:w="6760" w:type="dxa"/>
            <w:vAlign w:val="bottom"/>
            <w:tcBorders>
              <w:right w:val="single" w:sz="8" w:color="999999"/>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660" w:type="dxa"/>
            <w:vAlign w:val="bottom"/>
            <w:tcBorders>
              <w:right w:val="single" w:sz="8" w:color="999999"/>
            </w:tcBorders>
          </w:tcPr>
          <w:p>
            <w:pPr>
              <w:spacing w:after="0"/>
              <w:rPr>
                <w:sz w:val="19"/>
                <w:szCs w:val="19"/>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4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2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999999"/>
            </w:tcBorders>
          </w:tcPr>
          <w:p>
            <w:pPr>
              <w:spacing w:after="0"/>
              <w:rPr>
                <w:sz w:val="18"/>
                <w:szCs w:val="18"/>
                <w:color w:val="auto"/>
              </w:rPr>
            </w:pPr>
          </w:p>
        </w:tc>
      </w:tr>
      <w:tr>
        <w:trPr>
          <w:trHeight w:val="230"/>
        </w:trPr>
        <w:tc>
          <w:tcPr>
            <w:tcW w:w="520" w:type="dxa"/>
            <w:vAlign w:val="bottom"/>
            <w:tcBorders>
              <w:left w:val="single" w:sz="8" w:color="999999"/>
              <w:bottom w:val="single" w:sz="8" w:color="999999"/>
              <w:right w:val="single" w:sz="8" w:color="999999"/>
            </w:tcBorders>
          </w:tcPr>
          <w:p>
            <w:pPr>
              <w:spacing w:after="0"/>
              <w:rPr>
                <w:sz w:val="20"/>
                <w:szCs w:val="20"/>
                <w:color w:val="auto"/>
              </w:rPr>
            </w:pPr>
          </w:p>
        </w:tc>
        <w:tc>
          <w:tcPr>
            <w:tcW w:w="1140" w:type="dxa"/>
            <w:vAlign w:val="bottom"/>
            <w:tcBorders>
              <w:bottom w:val="single" w:sz="8" w:color="999999"/>
              <w:right w:val="single" w:sz="8" w:color="999999"/>
            </w:tcBorders>
          </w:tcPr>
          <w:p>
            <w:pPr>
              <w:spacing w:after="0"/>
              <w:rPr>
                <w:sz w:val="20"/>
                <w:szCs w:val="20"/>
                <w:color w:val="auto"/>
              </w:rPr>
            </w:pPr>
          </w:p>
        </w:tc>
        <w:tc>
          <w:tcPr>
            <w:tcW w:w="6760" w:type="dxa"/>
            <w:vAlign w:val="bottom"/>
            <w:tcBorders>
              <w:bottom w:val="single" w:sz="8" w:color="999999"/>
              <w:right w:val="single" w:sz="8" w:color="999999"/>
            </w:tcBorders>
          </w:tcPr>
          <w:p>
            <w:pPr>
              <w:ind w:left="5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999999"/>
              <w:right w:val="single" w:sz="8" w:color="999999"/>
            </w:tcBorders>
          </w:tcPr>
          <w:p>
            <w:pPr>
              <w:spacing w:after="0"/>
              <w:rPr>
                <w:sz w:val="20"/>
                <w:szCs w:val="20"/>
                <w:color w:val="auto"/>
              </w:rPr>
            </w:pPr>
          </w:p>
        </w:tc>
      </w:tr>
      <w:tr>
        <w:trPr>
          <w:trHeight w:val="210"/>
        </w:trPr>
        <w:tc>
          <w:tcPr>
            <w:tcW w:w="520" w:type="dxa"/>
            <w:vAlign w:val="bottom"/>
            <w:tcBorders>
              <w:left w:val="single" w:sz="8" w:color="999999"/>
              <w:bottom w:val="single" w:sz="8" w:color="999999"/>
              <w:right w:val="single" w:sz="8" w:color="999999"/>
            </w:tcBorders>
            <w:shd w:val="clear" w:color="auto" w:fill="D9D9D9"/>
          </w:tcPr>
          <w:p>
            <w:pPr>
              <w:jc w:val="right"/>
              <w:ind w:right="210"/>
              <w:spacing w:after="0"/>
              <w:rPr>
                <w:sz w:val="20"/>
                <w:szCs w:val="20"/>
                <w:color w:val="auto"/>
              </w:rPr>
            </w:pPr>
            <w:r>
              <w:rPr>
                <w:rFonts w:ascii="Arial" w:cs="Arial" w:eastAsia="Arial" w:hAnsi="Arial"/>
                <w:sz w:val="18"/>
                <w:szCs w:val="18"/>
                <w:b w:val="1"/>
                <w:bCs w:val="1"/>
                <w:color w:val="auto"/>
              </w:rPr>
              <w:t>4</w:t>
            </w:r>
          </w:p>
        </w:tc>
        <w:tc>
          <w:tcPr>
            <w:tcW w:w="114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18"/>
                <w:szCs w:val="18"/>
                <w:color w:val="auto"/>
              </w:rPr>
            </w:pPr>
          </w:p>
        </w:tc>
        <w:tc>
          <w:tcPr>
            <w:tcW w:w="1660" w:type="dxa"/>
            <w:vAlign w:val="bottom"/>
            <w:tcBorders>
              <w:bottom w:val="single" w:sz="8" w:color="999999"/>
              <w:right w:val="single" w:sz="8" w:color="999999"/>
            </w:tcBorders>
            <w:shd w:val="clear" w:color="auto" w:fill="D9D9D9"/>
          </w:tcPr>
          <w:p>
            <w:pPr>
              <w:ind w:left="620"/>
              <w:spacing w:after="0"/>
              <w:rPr>
                <w:sz w:val="20"/>
                <w:szCs w:val="20"/>
                <w:color w:val="auto"/>
              </w:rPr>
            </w:pPr>
            <w:r>
              <w:rPr>
                <w:rFonts w:ascii="Arial" w:cs="Arial" w:eastAsia="Arial" w:hAnsi="Arial"/>
                <w:sz w:val="18"/>
                <w:szCs w:val="18"/>
                <w:color w:val="auto"/>
              </w:rPr>
              <w:t>[***]</w:t>
            </w:r>
          </w:p>
        </w:tc>
      </w:tr>
      <w:tr>
        <w:trPr>
          <w:trHeight w:val="224"/>
        </w:trPr>
        <w:tc>
          <w:tcPr>
            <w:tcW w:w="520" w:type="dxa"/>
            <w:vAlign w:val="bottom"/>
            <w:tcBorders>
              <w:left w:val="single" w:sz="8" w:color="999999"/>
              <w:right w:val="single" w:sz="8" w:color="999999"/>
            </w:tcBorders>
            <w:shd w:val="clear" w:color="auto" w:fill="F2F2F2"/>
          </w:tcPr>
          <w:p>
            <w:pPr>
              <w:spacing w:after="0"/>
              <w:rPr>
                <w:sz w:val="19"/>
                <w:szCs w:val="19"/>
                <w:color w:val="auto"/>
              </w:rPr>
            </w:pPr>
          </w:p>
        </w:tc>
        <w:tc>
          <w:tcPr>
            <w:tcW w:w="114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19"/>
                <w:szCs w:val="19"/>
                <w:color w:val="auto"/>
              </w:rPr>
            </w:pPr>
          </w:p>
        </w:tc>
        <w:tc>
          <w:tcPr>
            <w:tcW w:w="1660" w:type="dxa"/>
            <w:vAlign w:val="bottom"/>
            <w:tcBorders>
              <w:right w:val="single" w:sz="8" w:color="999999"/>
            </w:tcBorders>
            <w:shd w:val="clear" w:color="auto" w:fill="F2F2F2"/>
          </w:tcPr>
          <w:p>
            <w:pPr>
              <w:spacing w:after="0"/>
              <w:rPr>
                <w:sz w:val="19"/>
                <w:szCs w:val="19"/>
                <w:color w:val="auto"/>
              </w:rPr>
            </w:pPr>
          </w:p>
        </w:tc>
      </w:tr>
      <w:tr>
        <w:trPr>
          <w:trHeight w:val="404"/>
        </w:trPr>
        <w:tc>
          <w:tcPr>
            <w:tcW w:w="520" w:type="dxa"/>
            <w:vAlign w:val="bottom"/>
            <w:tcBorders>
              <w:left w:val="single" w:sz="8" w:color="999999"/>
              <w:right w:val="single" w:sz="8" w:color="999999"/>
            </w:tcBorders>
            <w:shd w:val="clear" w:color="auto" w:fill="F2F2F2"/>
          </w:tcPr>
          <w:p>
            <w:pPr>
              <w:spacing w:after="0"/>
              <w:rPr>
                <w:sz w:val="24"/>
                <w:szCs w:val="24"/>
                <w:color w:val="auto"/>
              </w:rPr>
            </w:pPr>
          </w:p>
        </w:tc>
        <w:tc>
          <w:tcPr>
            <w:tcW w:w="114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24"/>
                <w:szCs w:val="24"/>
                <w:color w:val="auto"/>
              </w:rPr>
            </w:pPr>
          </w:p>
        </w:tc>
        <w:tc>
          <w:tcPr>
            <w:tcW w:w="1660" w:type="dxa"/>
            <w:vAlign w:val="bottom"/>
            <w:tcBorders>
              <w:right w:val="single" w:sz="8" w:color="999999"/>
            </w:tcBorders>
            <w:shd w:val="clear" w:color="auto" w:fill="F2F2F2"/>
          </w:tcPr>
          <w:p>
            <w:pPr>
              <w:spacing w:after="0"/>
              <w:rPr>
                <w:sz w:val="24"/>
                <w:szCs w:val="24"/>
                <w:color w:val="auto"/>
              </w:rPr>
            </w:pPr>
          </w:p>
        </w:tc>
      </w:tr>
      <w:tr>
        <w:trPr>
          <w:trHeight w:val="230"/>
        </w:trPr>
        <w:tc>
          <w:tcPr>
            <w:tcW w:w="520" w:type="dxa"/>
            <w:vAlign w:val="bottom"/>
            <w:tcBorders>
              <w:left w:val="single" w:sz="8" w:color="999999"/>
              <w:bottom w:val="single" w:sz="8" w:color="999999"/>
              <w:right w:val="single" w:sz="8" w:color="999999"/>
            </w:tcBorders>
            <w:shd w:val="clear" w:color="auto" w:fill="F2F2F2"/>
          </w:tcPr>
          <w:p>
            <w:pPr>
              <w:spacing w:after="0"/>
              <w:rPr>
                <w:sz w:val="20"/>
                <w:szCs w:val="20"/>
                <w:color w:val="auto"/>
              </w:rPr>
            </w:pPr>
          </w:p>
        </w:tc>
        <w:tc>
          <w:tcPr>
            <w:tcW w:w="114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F2F2F2"/>
          </w:tcPr>
          <w:p>
            <w:pPr>
              <w:spacing w:after="0"/>
              <w:rPr>
                <w:sz w:val="20"/>
                <w:szCs w:val="20"/>
                <w:color w:val="auto"/>
              </w:rPr>
            </w:pPr>
          </w:p>
        </w:tc>
        <w:tc>
          <w:tcPr>
            <w:tcW w:w="1660" w:type="dxa"/>
            <w:vAlign w:val="bottom"/>
            <w:tcBorders>
              <w:bottom w:val="single" w:sz="8" w:color="999999"/>
              <w:right w:val="single" w:sz="8" w:color="999999"/>
            </w:tcBorders>
            <w:shd w:val="clear" w:color="auto" w:fill="F2F2F2"/>
          </w:tcPr>
          <w:p>
            <w:pPr>
              <w:spacing w:after="0"/>
              <w:rPr>
                <w:sz w:val="20"/>
                <w:szCs w:val="20"/>
                <w:color w:val="auto"/>
              </w:rPr>
            </w:pPr>
          </w:p>
        </w:tc>
      </w:tr>
      <w:tr>
        <w:trPr>
          <w:trHeight w:val="844"/>
        </w:trPr>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760" w:type="dxa"/>
            <w:vAlign w:val="bottom"/>
          </w:tcPr>
          <w:p>
            <w:pPr>
              <w:ind w:left="3280"/>
              <w:spacing w:after="0"/>
              <w:rPr>
                <w:sz w:val="20"/>
                <w:szCs w:val="20"/>
                <w:color w:val="auto"/>
              </w:rPr>
            </w:pPr>
            <w:r>
              <w:rPr>
                <w:rFonts w:ascii="Arial" w:cs="Arial" w:eastAsia="Arial" w:hAnsi="Arial"/>
                <w:sz w:val="18"/>
                <w:szCs w:val="18"/>
                <w:color w:val="auto"/>
              </w:rPr>
              <w:t>14</w:t>
            </w:r>
          </w:p>
        </w:tc>
        <w:tc>
          <w:tcPr>
            <w:tcW w:w="1660" w:type="dxa"/>
            <w:vAlign w:val="bottom"/>
          </w:tcPr>
          <w:p>
            <w:pPr>
              <w:spacing w:after="0"/>
              <w:rPr>
                <w:sz w:val="24"/>
                <w:szCs w:val="24"/>
                <w:color w:val="auto"/>
              </w:rPr>
            </w:pPr>
          </w:p>
        </w:tc>
      </w:tr>
      <w:tr>
        <w:trPr>
          <w:trHeight w:val="230"/>
        </w:trPr>
        <w:tc>
          <w:tcPr>
            <w:tcW w:w="8420" w:type="dxa"/>
            <w:vAlign w:val="bottom"/>
            <w:gridSpan w:val="3"/>
          </w:tcPr>
          <w:p>
            <w:pPr>
              <w:spacing w:after="0"/>
              <w:rPr>
                <w:sz w:val="20"/>
                <w:szCs w:val="20"/>
                <w:color w:val="auto"/>
              </w:rPr>
            </w:pPr>
            <w:r>
              <w:rPr>
                <w:rFonts w:ascii="Arial" w:cs="Arial" w:eastAsia="Arial" w:hAnsi="Arial"/>
                <w:sz w:val="18"/>
                <w:szCs w:val="18"/>
                <w:color w:val="auto"/>
              </w:rPr>
              <w:t>[***] Information has been omitted pursuant to Item 601(b)(2) of Regulation S-K.</w:t>
            </w:r>
          </w:p>
        </w:tc>
        <w:tc>
          <w:tcPr>
            <w:tcW w:w="1660" w:type="dxa"/>
            <w:vAlign w:val="bottom"/>
          </w:tcPr>
          <w:p>
            <w:pPr>
              <w:spacing w:after="0"/>
              <w:rPr>
                <w:sz w:val="20"/>
                <w:szCs w:val="20"/>
                <w:color w:val="auto"/>
              </w:rPr>
            </w:pPr>
          </w:p>
        </w:tc>
      </w:tr>
      <w:tr>
        <w:trPr>
          <w:trHeight w:val="561"/>
        </w:trPr>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553" w:right="899" w:bottom="1440" w:gutter="0" w:footer="0" w:header="0"/>
        </w:sectPr>
      </w:pPr>
    </w:p>
    <w:bookmarkStart w:id="77" w:name="page78"/>
    <w:bookmarkEnd w:id="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20" w:type="dxa"/>
            <w:vAlign w:val="bottom"/>
            <w:tcBorders>
              <w:top w:val="single" w:sz="8" w:color="999999"/>
              <w:left w:val="single" w:sz="8" w:color="999999"/>
              <w:right w:val="single" w:sz="8" w:color="999999"/>
            </w:tcBorders>
          </w:tcPr>
          <w:p>
            <w:pPr>
              <w:spacing w:after="0"/>
              <w:rPr>
                <w:sz w:val="18"/>
                <w:szCs w:val="18"/>
                <w:color w:val="auto"/>
              </w:rPr>
            </w:pPr>
          </w:p>
        </w:tc>
        <w:tc>
          <w:tcPr>
            <w:tcW w:w="1120" w:type="dxa"/>
            <w:vAlign w:val="bottom"/>
            <w:tcBorders>
              <w:top w:val="single" w:sz="8" w:color="999999"/>
              <w:right w:val="single" w:sz="8" w:color="999999"/>
            </w:tcBorders>
          </w:tcPr>
          <w:p>
            <w:pPr>
              <w:spacing w:after="0"/>
              <w:rPr>
                <w:sz w:val="18"/>
                <w:szCs w:val="18"/>
                <w:color w:val="auto"/>
              </w:rPr>
            </w:pPr>
          </w:p>
        </w:tc>
        <w:tc>
          <w:tcPr>
            <w:tcW w:w="6760" w:type="dxa"/>
            <w:vAlign w:val="bottom"/>
            <w:tcBorders>
              <w:top w:val="single" w:sz="8" w:color="999999"/>
              <w:right w:val="single" w:sz="8" w:color="999999"/>
            </w:tcBorders>
          </w:tcPr>
          <w:p>
            <w:pPr>
              <w:ind w:left="12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top w:val="single" w:sz="8" w:color="999999"/>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8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34"/>
        </w:trPr>
        <w:tc>
          <w:tcPr>
            <w:tcW w:w="520" w:type="dxa"/>
            <w:vAlign w:val="bottom"/>
            <w:tcBorders>
              <w:left w:val="single" w:sz="8" w:color="999999"/>
              <w:bottom w:val="single" w:sz="8" w:color="999999"/>
              <w:right w:val="single" w:sz="8" w:color="999999"/>
            </w:tcBorders>
          </w:tcPr>
          <w:p>
            <w:pPr>
              <w:spacing w:after="0"/>
              <w:rPr>
                <w:sz w:val="20"/>
                <w:szCs w:val="20"/>
                <w:color w:val="auto"/>
              </w:rPr>
            </w:pPr>
          </w:p>
        </w:tc>
        <w:tc>
          <w:tcPr>
            <w:tcW w:w="1120" w:type="dxa"/>
            <w:vAlign w:val="bottom"/>
            <w:tcBorders>
              <w:bottom w:val="single" w:sz="8" w:color="999999"/>
              <w:right w:val="single" w:sz="8" w:color="999999"/>
            </w:tcBorders>
          </w:tcPr>
          <w:p>
            <w:pPr>
              <w:spacing w:after="0"/>
              <w:rPr>
                <w:sz w:val="20"/>
                <w:szCs w:val="20"/>
                <w:color w:val="auto"/>
              </w:rPr>
            </w:pPr>
          </w:p>
        </w:tc>
        <w:tc>
          <w:tcPr>
            <w:tcW w:w="6760" w:type="dxa"/>
            <w:vAlign w:val="bottom"/>
            <w:tcBorders>
              <w:bottom w:val="single" w:sz="8" w:color="999999"/>
              <w:right w:val="single" w:sz="8" w:color="999999"/>
            </w:tcBorders>
          </w:tcPr>
          <w:p>
            <w:pPr>
              <w:ind w:left="54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999999"/>
              <w:right w:val="single" w:sz="8" w:color="999999"/>
            </w:tcBorders>
          </w:tcPr>
          <w:p>
            <w:pPr>
              <w:spacing w:after="0"/>
              <w:rPr>
                <w:sz w:val="20"/>
                <w:szCs w:val="20"/>
                <w:color w:val="auto"/>
              </w:rPr>
            </w:pPr>
          </w:p>
        </w:tc>
      </w:tr>
      <w:tr>
        <w:trPr>
          <w:trHeight w:val="210"/>
        </w:trPr>
        <w:tc>
          <w:tcPr>
            <w:tcW w:w="520" w:type="dxa"/>
            <w:vAlign w:val="bottom"/>
            <w:tcBorders>
              <w:left w:val="single" w:sz="8" w:color="999999"/>
              <w:bottom w:val="single" w:sz="8" w:color="999999"/>
              <w:right w:val="single" w:sz="8" w:color="999999"/>
            </w:tcBorders>
            <w:shd w:val="clear" w:color="auto" w:fill="D9D9D9"/>
          </w:tcPr>
          <w:p>
            <w:pPr>
              <w:jc w:val="right"/>
              <w:ind w:right="210"/>
              <w:spacing w:after="0"/>
              <w:rPr>
                <w:sz w:val="20"/>
                <w:szCs w:val="20"/>
                <w:color w:val="auto"/>
              </w:rPr>
            </w:pPr>
            <w:r>
              <w:rPr>
                <w:rFonts w:ascii="Arial" w:cs="Arial" w:eastAsia="Arial" w:hAnsi="Arial"/>
                <w:sz w:val="18"/>
                <w:szCs w:val="18"/>
                <w:b w:val="1"/>
                <w:bCs w:val="1"/>
                <w:color w:val="auto"/>
              </w:rPr>
              <w:t>5</w:t>
            </w:r>
          </w:p>
        </w:tc>
        <w:tc>
          <w:tcPr>
            <w:tcW w:w="112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18"/>
                <w:szCs w:val="18"/>
                <w:color w:val="auto"/>
              </w:rPr>
            </w:pPr>
          </w:p>
        </w:tc>
        <w:tc>
          <w:tcPr>
            <w:tcW w:w="1680" w:type="dxa"/>
            <w:vAlign w:val="bottom"/>
            <w:tcBorders>
              <w:bottom w:val="single" w:sz="8" w:color="999999"/>
              <w:right w:val="single" w:sz="8" w:color="999999"/>
            </w:tcBorders>
            <w:shd w:val="clear" w:color="auto" w:fill="D9D9D9"/>
          </w:tcPr>
          <w:p>
            <w:pPr>
              <w:jc w:val="right"/>
              <w:ind w:right="570"/>
              <w:spacing w:after="0"/>
              <w:rPr>
                <w:sz w:val="20"/>
                <w:szCs w:val="20"/>
                <w:color w:val="auto"/>
              </w:rPr>
            </w:pPr>
            <w:r>
              <w:rPr>
                <w:rFonts w:ascii="Arial" w:cs="Arial" w:eastAsia="Arial" w:hAnsi="Arial"/>
                <w:sz w:val="18"/>
                <w:szCs w:val="18"/>
                <w:color w:val="auto"/>
              </w:rPr>
              <w:t>[***]</w:t>
            </w:r>
          </w:p>
        </w:tc>
      </w:tr>
      <w:tr>
        <w:trPr>
          <w:trHeight w:val="224"/>
        </w:trPr>
        <w:tc>
          <w:tcPr>
            <w:tcW w:w="520" w:type="dxa"/>
            <w:vAlign w:val="bottom"/>
            <w:tcBorders>
              <w:left w:val="single" w:sz="8" w:color="999999"/>
              <w:right w:val="single" w:sz="8" w:color="999999"/>
            </w:tcBorders>
            <w:shd w:val="clear" w:color="auto" w:fill="F2F2F2"/>
          </w:tcPr>
          <w:p>
            <w:pPr>
              <w:spacing w:after="0"/>
              <w:rPr>
                <w:sz w:val="19"/>
                <w:szCs w:val="19"/>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19"/>
                <w:szCs w:val="19"/>
                <w:color w:val="auto"/>
              </w:rPr>
            </w:pPr>
          </w:p>
        </w:tc>
        <w:tc>
          <w:tcPr>
            <w:tcW w:w="1680" w:type="dxa"/>
            <w:vAlign w:val="bottom"/>
            <w:tcBorders>
              <w:right w:val="single" w:sz="8" w:color="999999"/>
            </w:tcBorders>
            <w:shd w:val="clear" w:color="auto" w:fill="F2F2F2"/>
          </w:tcPr>
          <w:p>
            <w:pPr>
              <w:spacing w:after="0"/>
              <w:rPr>
                <w:sz w:val="19"/>
                <w:szCs w:val="19"/>
                <w:color w:val="auto"/>
              </w:rPr>
            </w:pPr>
          </w:p>
        </w:tc>
      </w:tr>
      <w:tr>
        <w:trPr>
          <w:trHeight w:val="404"/>
        </w:trPr>
        <w:tc>
          <w:tcPr>
            <w:tcW w:w="520" w:type="dxa"/>
            <w:vAlign w:val="bottom"/>
            <w:tcBorders>
              <w:left w:val="single" w:sz="8" w:color="999999"/>
              <w:right w:val="single" w:sz="8" w:color="999999"/>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24"/>
                <w:szCs w:val="24"/>
                <w:color w:val="auto"/>
              </w:rPr>
            </w:pPr>
          </w:p>
        </w:tc>
        <w:tc>
          <w:tcPr>
            <w:tcW w:w="1680" w:type="dxa"/>
            <w:vAlign w:val="bottom"/>
            <w:tcBorders>
              <w:right w:val="single" w:sz="8" w:color="999999"/>
            </w:tcBorders>
            <w:shd w:val="clear" w:color="auto" w:fill="F2F2F2"/>
          </w:tcPr>
          <w:p>
            <w:pPr>
              <w:spacing w:after="0"/>
              <w:rPr>
                <w:sz w:val="24"/>
                <w:szCs w:val="24"/>
                <w:color w:val="auto"/>
              </w:rPr>
            </w:pPr>
          </w:p>
        </w:tc>
      </w:tr>
      <w:tr>
        <w:trPr>
          <w:trHeight w:val="230"/>
        </w:trPr>
        <w:tc>
          <w:tcPr>
            <w:tcW w:w="520" w:type="dxa"/>
            <w:vAlign w:val="bottom"/>
            <w:tcBorders>
              <w:left w:val="single" w:sz="8" w:color="999999"/>
              <w:bottom w:val="single" w:sz="8" w:color="999999"/>
              <w:right w:val="single" w:sz="8" w:color="999999"/>
            </w:tcBorders>
            <w:shd w:val="clear" w:color="auto" w:fill="F2F2F2"/>
          </w:tcPr>
          <w:p>
            <w:pPr>
              <w:spacing w:after="0"/>
              <w:rPr>
                <w:sz w:val="20"/>
                <w:szCs w:val="20"/>
                <w:color w:val="auto"/>
              </w:rPr>
            </w:pPr>
          </w:p>
        </w:tc>
        <w:tc>
          <w:tcPr>
            <w:tcW w:w="112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F2F2F2"/>
          </w:tcPr>
          <w:p>
            <w:pPr>
              <w:spacing w:after="0"/>
              <w:rPr>
                <w:sz w:val="20"/>
                <w:szCs w:val="20"/>
                <w:color w:val="auto"/>
              </w:rPr>
            </w:pPr>
          </w:p>
        </w:tc>
        <w:tc>
          <w:tcPr>
            <w:tcW w:w="1680" w:type="dxa"/>
            <w:vAlign w:val="bottom"/>
            <w:tcBorders>
              <w:bottom w:val="single" w:sz="8" w:color="999999"/>
              <w:right w:val="single" w:sz="8" w:color="999999"/>
            </w:tcBorders>
            <w:shd w:val="clear" w:color="auto" w:fill="F2F2F2"/>
          </w:tcPr>
          <w:p>
            <w:pPr>
              <w:spacing w:after="0"/>
              <w:rPr>
                <w:sz w:val="20"/>
                <w:szCs w:val="20"/>
                <w:color w:val="auto"/>
              </w:rPr>
            </w:pPr>
          </w:p>
        </w:tc>
      </w:tr>
      <w:tr>
        <w:trPr>
          <w:trHeight w:val="195"/>
        </w:trPr>
        <w:tc>
          <w:tcPr>
            <w:tcW w:w="520" w:type="dxa"/>
            <w:vAlign w:val="bottom"/>
            <w:tcBorders>
              <w:left w:val="single" w:sz="8" w:color="999999"/>
              <w:right w:val="single" w:sz="8" w:color="999999"/>
            </w:tcBorders>
          </w:tcPr>
          <w:p>
            <w:pPr>
              <w:spacing w:after="0"/>
              <w:rPr>
                <w:sz w:val="16"/>
                <w:szCs w:val="16"/>
                <w:color w:val="auto"/>
              </w:rPr>
            </w:pPr>
          </w:p>
        </w:tc>
        <w:tc>
          <w:tcPr>
            <w:tcW w:w="1120" w:type="dxa"/>
            <w:vAlign w:val="bottom"/>
            <w:tcBorders>
              <w:right w:val="single" w:sz="8" w:color="999999"/>
            </w:tcBorders>
          </w:tcPr>
          <w:p>
            <w:pPr>
              <w:spacing w:after="0"/>
              <w:rPr>
                <w:sz w:val="16"/>
                <w:szCs w:val="16"/>
                <w:color w:val="auto"/>
              </w:rPr>
            </w:pPr>
          </w:p>
        </w:tc>
        <w:tc>
          <w:tcPr>
            <w:tcW w:w="6760" w:type="dxa"/>
            <w:vAlign w:val="bottom"/>
            <w:tcBorders>
              <w:right w:val="single" w:sz="8" w:color="999999"/>
            </w:tcBorders>
          </w:tcPr>
          <w:p>
            <w:pPr>
              <w:ind w:left="120"/>
              <w:spacing w:after="0" w:line="195" w:lineRule="exact"/>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6"/>
                <w:szCs w:val="16"/>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2"/>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20"/>
        </w:trPr>
        <w:tc>
          <w:tcPr>
            <w:tcW w:w="520" w:type="dxa"/>
            <w:vAlign w:val="bottom"/>
            <w:tcBorders>
              <w:left w:val="single" w:sz="8" w:color="999999"/>
              <w:right w:val="single" w:sz="8" w:color="999999"/>
            </w:tcBorders>
          </w:tcPr>
          <w:p>
            <w:pPr>
              <w:spacing w:after="0"/>
              <w:rPr>
                <w:sz w:val="19"/>
                <w:szCs w:val="19"/>
                <w:color w:val="auto"/>
              </w:rPr>
            </w:pPr>
          </w:p>
        </w:tc>
        <w:tc>
          <w:tcPr>
            <w:tcW w:w="1120" w:type="dxa"/>
            <w:vAlign w:val="bottom"/>
            <w:tcBorders>
              <w:right w:val="single" w:sz="8" w:color="999999"/>
            </w:tcBorders>
          </w:tcPr>
          <w:p>
            <w:pPr>
              <w:spacing w:after="0"/>
              <w:rPr>
                <w:sz w:val="19"/>
                <w:szCs w:val="19"/>
                <w:color w:val="auto"/>
              </w:rPr>
            </w:pPr>
          </w:p>
        </w:tc>
        <w:tc>
          <w:tcPr>
            <w:tcW w:w="6760" w:type="dxa"/>
            <w:vAlign w:val="bottom"/>
            <w:tcBorders>
              <w:right w:val="single" w:sz="8" w:color="999999"/>
            </w:tcBorders>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680" w:type="dxa"/>
            <w:vAlign w:val="bottom"/>
            <w:tcBorders>
              <w:right w:val="single" w:sz="8" w:color="999999"/>
            </w:tcBorders>
          </w:tcPr>
          <w:p>
            <w:pPr>
              <w:spacing w:after="0"/>
              <w:rPr>
                <w:sz w:val="19"/>
                <w:szCs w:val="19"/>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30"/>
        </w:trPr>
        <w:tc>
          <w:tcPr>
            <w:tcW w:w="520" w:type="dxa"/>
            <w:vAlign w:val="bottom"/>
            <w:tcBorders>
              <w:left w:val="single" w:sz="8" w:color="999999"/>
              <w:bottom w:val="single" w:sz="8" w:color="999999"/>
              <w:right w:val="single" w:sz="8" w:color="999999"/>
            </w:tcBorders>
          </w:tcPr>
          <w:p>
            <w:pPr>
              <w:spacing w:after="0"/>
              <w:rPr>
                <w:sz w:val="20"/>
                <w:szCs w:val="20"/>
                <w:color w:val="auto"/>
              </w:rPr>
            </w:pPr>
          </w:p>
        </w:tc>
        <w:tc>
          <w:tcPr>
            <w:tcW w:w="1120" w:type="dxa"/>
            <w:vAlign w:val="bottom"/>
            <w:tcBorders>
              <w:bottom w:val="single" w:sz="8" w:color="999999"/>
              <w:right w:val="single" w:sz="8" w:color="999999"/>
            </w:tcBorders>
          </w:tcPr>
          <w:p>
            <w:pPr>
              <w:spacing w:after="0"/>
              <w:rPr>
                <w:sz w:val="20"/>
                <w:szCs w:val="20"/>
                <w:color w:val="auto"/>
              </w:rPr>
            </w:pPr>
          </w:p>
        </w:tc>
        <w:tc>
          <w:tcPr>
            <w:tcW w:w="6760" w:type="dxa"/>
            <w:vAlign w:val="bottom"/>
            <w:tcBorders>
              <w:bottom w:val="single" w:sz="8" w:color="999999"/>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999999"/>
              <w:right w:val="single" w:sz="8" w:color="999999"/>
            </w:tcBorders>
          </w:tcPr>
          <w:p>
            <w:pPr>
              <w:spacing w:after="0"/>
              <w:rPr>
                <w:sz w:val="20"/>
                <w:szCs w:val="20"/>
                <w:color w:val="auto"/>
              </w:rPr>
            </w:pPr>
          </w:p>
        </w:tc>
      </w:tr>
      <w:tr>
        <w:trPr>
          <w:trHeight w:val="210"/>
        </w:trPr>
        <w:tc>
          <w:tcPr>
            <w:tcW w:w="520" w:type="dxa"/>
            <w:vAlign w:val="bottom"/>
            <w:tcBorders>
              <w:left w:val="single" w:sz="8" w:color="999999"/>
              <w:bottom w:val="single" w:sz="8" w:color="999999"/>
              <w:right w:val="single" w:sz="8" w:color="999999"/>
            </w:tcBorders>
            <w:shd w:val="clear" w:color="auto" w:fill="D9D9D9"/>
          </w:tcPr>
          <w:p>
            <w:pPr>
              <w:jc w:val="right"/>
              <w:ind w:right="210"/>
              <w:spacing w:after="0"/>
              <w:rPr>
                <w:sz w:val="20"/>
                <w:szCs w:val="20"/>
                <w:color w:val="auto"/>
              </w:rPr>
            </w:pPr>
            <w:r>
              <w:rPr>
                <w:rFonts w:ascii="Arial" w:cs="Arial" w:eastAsia="Arial" w:hAnsi="Arial"/>
                <w:sz w:val="18"/>
                <w:szCs w:val="18"/>
                <w:b w:val="1"/>
                <w:bCs w:val="1"/>
                <w:color w:val="auto"/>
              </w:rPr>
              <w:t>6</w:t>
            </w:r>
          </w:p>
        </w:tc>
        <w:tc>
          <w:tcPr>
            <w:tcW w:w="112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18"/>
                <w:szCs w:val="18"/>
                <w:color w:val="auto"/>
              </w:rPr>
            </w:pPr>
          </w:p>
        </w:tc>
        <w:tc>
          <w:tcPr>
            <w:tcW w:w="1680" w:type="dxa"/>
            <w:vAlign w:val="bottom"/>
            <w:tcBorders>
              <w:bottom w:val="single" w:sz="8" w:color="999999"/>
              <w:right w:val="single" w:sz="8" w:color="999999"/>
            </w:tcBorders>
            <w:shd w:val="clear" w:color="auto" w:fill="D9D9D9"/>
          </w:tcPr>
          <w:p>
            <w:pPr>
              <w:jc w:val="right"/>
              <w:ind w:right="570"/>
              <w:spacing w:after="0"/>
              <w:rPr>
                <w:sz w:val="20"/>
                <w:szCs w:val="20"/>
                <w:color w:val="auto"/>
              </w:rPr>
            </w:pPr>
            <w:r>
              <w:rPr>
                <w:rFonts w:ascii="Arial" w:cs="Arial" w:eastAsia="Arial" w:hAnsi="Arial"/>
                <w:sz w:val="18"/>
                <w:szCs w:val="18"/>
                <w:color w:val="auto"/>
              </w:rPr>
              <w:t>[***]</w:t>
            </w:r>
          </w:p>
        </w:tc>
      </w:tr>
      <w:tr>
        <w:trPr>
          <w:trHeight w:val="224"/>
        </w:trPr>
        <w:tc>
          <w:tcPr>
            <w:tcW w:w="520" w:type="dxa"/>
            <w:vAlign w:val="bottom"/>
            <w:tcBorders>
              <w:left w:val="single" w:sz="8" w:color="999999"/>
              <w:right w:val="single" w:sz="8" w:color="999999"/>
            </w:tcBorders>
            <w:shd w:val="clear" w:color="auto" w:fill="F2F2F2"/>
          </w:tcPr>
          <w:p>
            <w:pPr>
              <w:spacing w:after="0"/>
              <w:rPr>
                <w:sz w:val="19"/>
                <w:szCs w:val="19"/>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19"/>
                <w:szCs w:val="19"/>
                <w:color w:val="auto"/>
              </w:rPr>
            </w:pPr>
          </w:p>
        </w:tc>
        <w:tc>
          <w:tcPr>
            <w:tcW w:w="1680" w:type="dxa"/>
            <w:vAlign w:val="bottom"/>
            <w:tcBorders>
              <w:right w:val="single" w:sz="8" w:color="999999"/>
            </w:tcBorders>
            <w:shd w:val="clear" w:color="auto" w:fill="F2F2F2"/>
          </w:tcPr>
          <w:p>
            <w:pPr>
              <w:spacing w:after="0"/>
              <w:rPr>
                <w:sz w:val="19"/>
                <w:szCs w:val="19"/>
                <w:color w:val="auto"/>
              </w:rPr>
            </w:pPr>
          </w:p>
        </w:tc>
      </w:tr>
      <w:tr>
        <w:trPr>
          <w:trHeight w:val="404"/>
        </w:trPr>
        <w:tc>
          <w:tcPr>
            <w:tcW w:w="520" w:type="dxa"/>
            <w:vAlign w:val="bottom"/>
            <w:tcBorders>
              <w:left w:val="single" w:sz="8" w:color="999999"/>
              <w:right w:val="single" w:sz="8" w:color="999999"/>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24"/>
                <w:szCs w:val="24"/>
                <w:color w:val="auto"/>
              </w:rPr>
            </w:pPr>
          </w:p>
        </w:tc>
        <w:tc>
          <w:tcPr>
            <w:tcW w:w="1680" w:type="dxa"/>
            <w:vAlign w:val="bottom"/>
            <w:tcBorders>
              <w:right w:val="single" w:sz="8" w:color="999999"/>
            </w:tcBorders>
            <w:shd w:val="clear" w:color="auto" w:fill="F2F2F2"/>
          </w:tcPr>
          <w:p>
            <w:pPr>
              <w:spacing w:after="0"/>
              <w:rPr>
                <w:sz w:val="24"/>
                <w:szCs w:val="24"/>
                <w:color w:val="auto"/>
              </w:rPr>
            </w:pPr>
          </w:p>
        </w:tc>
      </w:tr>
      <w:tr>
        <w:trPr>
          <w:trHeight w:val="230"/>
        </w:trPr>
        <w:tc>
          <w:tcPr>
            <w:tcW w:w="520" w:type="dxa"/>
            <w:vAlign w:val="bottom"/>
            <w:tcBorders>
              <w:left w:val="single" w:sz="8" w:color="999999"/>
              <w:bottom w:val="single" w:sz="8" w:color="999999"/>
              <w:right w:val="single" w:sz="8" w:color="999999"/>
            </w:tcBorders>
            <w:shd w:val="clear" w:color="auto" w:fill="F2F2F2"/>
          </w:tcPr>
          <w:p>
            <w:pPr>
              <w:spacing w:after="0"/>
              <w:rPr>
                <w:sz w:val="20"/>
                <w:szCs w:val="20"/>
                <w:color w:val="auto"/>
              </w:rPr>
            </w:pPr>
          </w:p>
        </w:tc>
        <w:tc>
          <w:tcPr>
            <w:tcW w:w="112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F2F2F2"/>
          </w:tcPr>
          <w:p>
            <w:pPr>
              <w:spacing w:after="0"/>
              <w:rPr>
                <w:sz w:val="20"/>
                <w:szCs w:val="20"/>
                <w:color w:val="auto"/>
              </w:rPr>
            </w:pPr>
          </w:p>
        </w:tc>
        <w:tc>
          <w:tcPr>
            <w:tcW w:w="1680" w:type="dxa"/>
            <w:vAlign w:val="bottom"/>
            <w:tcBorders>
              <w:bottom w:val="single" w:sz="8" w:color="999999"/>
              <w:right w:val="single" w:sz="8" w:color="999999"/>
            </w:tcBorders>
            <w:shd w:val="clear" w:color="auto" w:fill="F2F2F2"/>
          </w:tcPr>
          <w:p>
            <w:pPr>
              <w:spacing w:after="0"/>
              <w:rPr>
                <w:sz w:val="20"/>
                <w:szCs w:val="20"/>
                <w:color w:val="auto"/>
              </w:rPr>
            </w:pPr>
          </w:p>
        </w:tc>
      </w:tr>
      <w:tr>
        <w:trPr>
          <w:trHeight w:val="195"/>
        </w:trPr>
        <w:tc>
          <w:tcPr>
            <w:tcW w:w="520" w:type="dxa"/>
            <w:vAlign w:val="bottom"/>
            <w:tcBorders>
              <w:left w:val="single" w:sz="8" w:color="999999"/>
              <w:right w:val="single" w:sz="8" w:color="999999"/>
            </w:tcBorders>
          </w:tcPr>
          <w:p>
            <w:pPr>
              <w:spacing w:after="0"/>
              <w:rPr>
                <w:sz w:val="16"/>
                <w:szCs w:val="16"/>
                <w:color w:val="auto"/>
              </w:rPr>
            </w:pPr>
          </w:p>
        </w:tc>
        <w:tc>
          <w:tcPr>
            <w:tcW w:w="1120" w:type="dxa"/>
            <w:vAlign w:val="bottom"/>
            <w:tcBorders>
              <w:right w:val="single" w:sz="8" w:color="999999"/>
            </w:tcBorders>
          </w:tcPr>
          <w:p>
            <w:pPr>
              <w:spacing w:after="0"/>
              <w:rPr>
                <w:sz w:val="16"/>
                <w:szCs w:val="16"/>
                <w:color w:val="auto"/>
              </w:rPr>
            </w:pPr>
          </w:p>
        </w:tc>
        <w:tc>
          <w:tcPr>
            <w:tcW w:w="6760" w:type="dxa"/>
            <w:vAlign w:val="bottom"/>
            <w:tcBorders>
              <w:right w:val="single" w:sz="8" w:color="999999"/>
            </w:tcBorders>
          </w:tcPr>
          <w:p>
            <w:pPr>
              <w:ind w:left="120"/>
              <w:spacing w:after="0" w:line="195" w:lineRule="exact"/>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6"/>
                <w:szCs w:val="16"/>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30"/>
        </w:trPr>
        <w:tc>
          <w:tcPr>
            <w:tcW w:w="520" w:type="dxa"/>
            <w:vAlign w:val="bottom"/>
            <w:tcBorders>
              <w:left w:val="single" w:sz="8" w:color="999999"/>
              <w:right w:val="single" w:sz="8" w:color="999999"/>
            </w:tcBorders>
          </w:tcPr>
          <w:p>
            <w:pPr>
              <w:spacing w:after="0"/>
              <w:rPr>
                <w:sz w:val="20"/>
                <w:szCs w:val="20"/>
                <w:color w:val="auto"/>
              </w:rPr>
            </w:pPr>
          </w:p>
        </w:tc>
        <w:tc>
          <w:tcPr>
            <w:tcW w:w="1120" w:type="dxa"/>
            <w:vAlign w:val="bottom"/>
            <w:tcBorders>
              <w:right w:val="single" w:sz="8" w:color="999999"/>
            </w:tcBorders>
          </w:tcPr>
          <w:p>
            <w:pPr>
              <w:spacing w:after="0"/>
              <w:rPr>
                <w:sz w:val="20"/>
                <w:szCs w:val="20"/>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20"/>
                <w:szCs w:val="20"/>
                <w:color w:val="auto"/>
              </w:rPr>
            </w:pPr>
          </w:p>
        </w:tc>
      </w:tr>
      <w:tr>
        <w:trPr>
          <w:trHeight w:val="216"/>
        </w:trPr>
        <w:tc>
          <w:tcPr>
            <w:tcW w:w="520" w:type="dxa"/>
            <w:vAlign w:val="bottom"/>
            <w:tcBorders>
              <w:left w:val="single" w:sz="8" w:color="999999"/>
              <w:bottom w:val="single" w:sz="8" w:color="999999"/>
              <w:right w:val="single" w:sz="8" w:color="999999"/>
            </w:tcBorders>
          </w:tcPr>
          <w:p>
            <w:pPr>
              <w:spacing w:after="0"/>
              <w:rPr>
                <w:sz w:val="18"/>
                <w:szCs w:val="18"/>
                <w:color w:val="auto"/>
              </w:rPr>
            </w:pPr>
          </w:p>
        </w:tc>
        <w:tc>
          <w:tcPr>
            <w:tcW w:w="1120" w:type="dxa"/>
            <w:vAlign w:val="bottom"/>
            <w:tcBorders>
              <w:bottom w:val="single" w:sz="8" w:color="999999"/>
              <w:right w:val="single" w:sz="8" w:color="999999"/>
            </w:tcBorders>
          </w:tcPr>
          <w:p>
            <w:pPr>
              <w:spacing w:after="0"/>
              <w:rPr>
                <w:sz w:val="18"/>
                <w:szCs w:val="18"/>
                <w:color w:val="auto"/>
              </w:rPr>
            </w:pPr>
          </w:p>
        </w:tc>
        <w:tc>
          <w:tcPr>
            <w:tcW w:w="6760" w:type="dxa"/>
            <w:vAlign w:val="bottom"/>
            <w:tcBorders>
              <w:bottom w:val="single" w:sz="8" w:color="999999"/>
              <w:right w:val="single" w:sz="8" w:color="999999"/>
            </w:tcBorders>
          </w:tcPr>
          <w:p>
            <w:pPr>
              <w:spacing w:after="0"/>
              <w:rPr>
                <w:sz w:val="18"/>
                <w:szCs w:val="18"/>
                <w:color w:val="auto"/>
              </w:rPr>
            </w:pPr>
          </w:p>
        </w:tc>
        <w:tc>
          <w:tcPr>
            <w:tcW w:w="1680" w:type="dxa"/>
            <w:vAlign w:val="bottom"/>
            <w:tcBorders>
              <w:bottom w:val="single" w:sz="8" w:color="999999"/>
              <w:right w:val="single" w:sz="8" w:color="999999"/>
            </w:tcBorders>
          </w:tcPr>
          <w:p>
            <w:pPr>
              <w:spacing w:after="0"/>
              <w:rPr>
                <w:sz w:val="18"/>
                <w:szCs w:val="18"/>
                <w:color w:val="auto"/>
              </w:rPr>
            </w:pPr>
          </w:p>
        </w:tc>
      </w:tr>
      <w:tr>
        <w:trPr>
          <w:trHeight w:val="210"/>
        </w:trPr>
        <w:tc>
          <w:tcPr>
            <w:tcW w:w="520" w:type="dxa"/>
            <w:vAlign w:val="bottom"/>
            <w:tcBorders>
              <w:left w:val="single" w:sz="8" w:color="999999"/>
              <w:bottom w:val="single" w:sz="8" w:color="999999"/>
              <w:right w:val="single" w:sz="8" w:color="999999"/>
            </w:tcBorders>
            <w:shd w:val="clear" w:color="auto" w:fill="D9D9D9"/>
          </w:tcPr>
          <w:p>
            <w:pPr>
              <w:jc w:val="right"/>
              <w:ind w:right="210"/>
              <w:spacing w:after="0"/>
              <w:rPr>
                <w:sz w:val="20"/>
                <w:szCs w:val="20"/>
                <w:color w:val="auto"/>
              </w:rPr>
            </w:pPr>
            <w:r>
              <w:rPr>
                <w:rFonts w:ascii="Arial" w:cs="Arial" w:eastAsia="Arial" w:hAnsi="Arial"/>
                <w:sz w:val="18"/>
                <w:szCs w:val="18"/>
                <w:b w:val="1"/>
                <w:bCs w:val="1"/>
                <w:color w:val="auto"/>
              </w:rPr>
              <w:t>7</w:t>
            </w:r>
          </w:p>
        </w:tc>
        <w:tc>
          <w:tcPr>
            <w:tcW w:w="112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18"/>
                <w:szCs w:val="18"/>
                <w:color w:val="auto"/>
              </w:rPr>
            </w:pPr>
          </w:p>
        </w:tc>
        <w:tc>
          <w:tcPr>
            <w:tcW w:w="1680" w:type="dxa"/>
            <w:vAlign w:val="bottom"/>
            <w:tcBorders>
              <w:bottom w:val="single" w:sz="8" w:color="999999"/>
              <w:right w:val="single" w:sz="8" w:color="999999"/>
            </w:tcBorders>
            <w:shd w:val="clear" w:color="auto" w:fill="D9D9D9"/>
          </w:tcPr>
          <w:p>
            <w:pPr>
              <w:jc w:val="right"/>
              <w:ind w:right="570"/>
              <w:spacing w:after="0"/>
              <w:rPr>
                <w:sz w:val="20"/>
                <w:szCs w:val="20"/>
                <w:color w:val="auto"/>
              </w:rPr>
            </w:pPr>
            <w:r>
              <w:rPr>
                <w:rFonts w:ascii="Arial" w:cs="Arial" w:eastAsia="Arial" w:hAnsi="Arial"/>
                <w:sz w:val="18"/>
                <w:szCs w:val="18"/>
                <w:color w:val="auto"/>
              </w:rPr>
              <w:t>[***]</w:t>
            </w:r>
          </w:p>
        </w:tc>
      </w:tr>
      <w:tr>
        <w:trPr>
          <w:trHeight w:val="224"/>
        </w:trPr>
        <w:tc>
          <w:tcPr>
            <w:tcW w:w="520" w:type="dxa"/>
            <w:vAlign w:val="bottom"/>
            <w:tcBorders>
              <w:left w:val="single" w:sz="8" w:color="999999"/>
              <w:right w:val="single" w:sz="8" w:color="999999"/>
            </w:tcBorders>
            <w:shd w:val="clear" w:color="auto" w:fill="F2F2F2"/>
          </w:tcPr>
          <w:p>
            <w:pPr>
              <w:spacing w:after="0"/>
              <w:rPr>
                <w:sz w:val="19"/>
                <w:szCs w:val="19"/>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19"/>
                <w:szCs w:val="19"/>
                <w:color w:val="auto"/>
              </w:rPr>
            </w:pPr>
          </w:p>
        </w:tc>
        <w:tc>
          <w:tcPr>
            <w:tcW w:w="1680" w:type="dxa"/>
            <w:vAlign w:val="bottom"/>
            <w:tcBorders>
              <w:right w:val="single" w:sz="8" w:color="999999"/>
            </w:tcBorders>
            <w:shd w:val="clear" w:color="auto" w:fill="F2F2F2"/>
          </w:tcPr>
          <w:p>
            <w:pPr>
              <w:spacing w:after="0"/>
              <w:rPr>
                <w:sz w:val="19"/>
                <w:szCs w:val="19"/>
                <w:color w:val="auto"/>
              </w:rPr>
            </w:pPr>
          </w:p>
        </w:tc>
      </w:tr>
      <w:tr>
        <w:trPr>
          <w:trHeight w:val="404"/>
        </w:trPr>
        <w:tc>
          <w:tcPr>
            <w:tcW w:w="520" w:type="dxa"/>
            <w:vAlign w:val="bottom"/>
            <w:tcBorders>
              <w:left w:val="single" w:sz="8" w:color="999999"/>
              <w:right w:val="single" w:sz="8" w:color="999999"/>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24"/>
                <w:szCs w:val="24"/>
                <w:color w:val="auto"/>
              </w:rPr>
            </w:pPr>
          </w:p>
        </w:tc>
        <w:tc>
          <w:tcPr>
            <w:tcW w:w="1680" w:type="dxa"/>
            <w:vAlign w:val="bottom"/>
            <w:tcBorders>
              <w:right w:val="single" w:sz="8" w:color="999999"/>
            </w:tcBorders>
            <w:shd w:val="clear" w:color="auto" w:fill="F2F2F2"/>
          </w:tcPr>
          <w:p>
            <w:pPr>
              <w:spacing w:after="0"/>
              <w:rPr>
                <w:sz w:val="24"/>
                <w:szCs w:val="24"/>
                <w:color w:val="auto"/>
              </w:rPr>
            </w:pPr>
          </w:p>
        </w:tc>
      </w:tr>
      <w:tr>
        <w:trPr>
          <w:trHeight w:val="230"/>
        </w:trPr>
        <w:tc>
          <w:tcPr>
            <w:tcW w:w="520" w:type="dxa"/>
            <w:vAlign w:val="bottom"/>
            <w:tcBorders>
              <w:left w:val="single" w:sz="8" w:color="999999"/>
              <w:bottom w:val="single" w:sz="8" w:color="auto"/>
              <w:right w:val="single" w:sz="8" w:color="999999"/>
            </w:tcBorders>
            <w:shd w:val="clear" w:color="auto" w:fill="F2F2F2"/>
          </w:tcPr>
          <w:p>
            <w:pPr>
              <w:spacing w:after="0"/>
              <w:rPr>
                <w:sz w:val="20"/>
                <w:szCs w:val="20"/>
                <w:color w:val="auto"/>
              </w:rPr>
            </w:pPr>
          </w:p>
        </w:tc>
        <w:tc>
          <w:tcPr>
            <w:tcW w:w="1120" w:type="dxa"/>
            <w:vAlign w:val="bottom"/>
            <w:tcBorders>
              <w:bottom w:val="single" w:sz="8" w:color="auto"/>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auto"/>
              <w:right w:val="single" w:sz="8" w:color="999999"/>
            </w:tcBorders>
            <w:shd w:val="clear" w:color="auto" w:fill="F2F2F2"/>
          </w:tcPr>
          <w:p>
            <w:pPr>
              <w:spacing w:after="0"/>
              <w:rPr>
                <w:sz w:val="20"/>
                <w:szCs w:val="20"/>
                <w:color w:val="auto"/>
              </w:rPr>
            </w:pPr>
          </w:p>
        </w:tc>
        <w:tc>
          <w:tcPr>
            <w:tcW w:w="1680" w:type="dxa"/>
            <w:vAlign w:val="bottom"/>
            <w:tcBorders>
              <w:bottom w:val="single" w:sz="8" w:color="999999"/>
              <w:right w:val="single" w:sz="8" w:color="999999"/>
            </w:tcBorders>
            <w:shd w:val="clear" w:color="auto" w:fill="F2F2F2"/>
          </w:tcPr>
          <w:p>
            <w:pPr>
              <w:spacing w:after="0"/>
              <w:rPr>
                <w:sz w:val="20"/>
                <w:szCs w:val="20"/>
                <w:color w:val="auto"/>
              </w:rPr>
            </w:pPr>
          </w:p>
        </w:tc>
      </w:tr>
      <w:tr>
        <w:trPr>
          <w:trHeight w:val="195"/>
        </w:trPr>
        <w:tc>
          <w:tcPr>
            <w:tcW w:w="520" w:type="dxa"/>
            <w:vAlign w:val="bottom"/>
            <w:tcBorders>
              <w:left w:val="single" w:sz="8" w:color="999999"/>
              <w:right w:val="single" w:sz="8" w:color="999999"/>
            </w:tcBorders>
          </w:tcPr>
          <w:p>
            <w:pPr>
              <w:spacing w:after="0"/>
              <w:rPr>
                <w:sz w:val="16"/>
                <w:szCs w:val="16"/>
                <w:color w:val="auto"/>
              </w:rPr>
            </w:pPr>
          </w:p>
        </w:tc>
        <w:tc>
          <w:tcPr>
            <w:tcW w:w="1120" w:type="dxa"/>
            <w:vAlign w:val="bottom"/>
            <w:tcBorders>
              <w:right w:val="single" w:sz="8" w:color="999999"/>
            </w:tcBorders>
          </w:tcPr>
          <w:p>
            <w:pPr>
              <w:spacing w:after="0"/>
              <w:rPr>
                <w:sz w:val="16"/>
                <w:szCs w:val="16"/>
                <w:color w:val="auto"/>
              </w:rPr>
            </w:pPr>
          </w:p>
        </w:tc>
        <w:tc>
          <w:tcPr>
            <w:tcW w:w="6760" w:type="dxa"/>
            <w:vAlign w:val="bottom"/>
            <w:tcBorders>
              <w:right w:val="single" w:sz="8" w:color="999999"/>
            </w:tcBorders>
          </w:tcPr>
          <w:p>
            <w:pPr>
              <w:ind w:left="120"/>
              <w:spacing w:after="0" w:line="195" w:lineRule="exact"/>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6"/>
                <w:szCs w:val="16"/>
                <w:color w:val="auto"/>
              </w:rPr>
            </w:pPr>
          </w:p>
        </w:tc>
      </w:tr>
      <w:tr>
        <w:trPr>
          <w:trHeight w:val="230"/>
        </w:trPr>
        <w:tc>
          <w:tcPr>
            <w:tcW w:w="520" w:type="dxa"/>
            <w:vAlign w:val="bottom"/>
            <w:tcBorders>
              <w:left w:val="single" w:sz="8" w:color="999999"/>
              <w:bottom w:val="single" w:sz="8" w:color="999999"/>
              <w:right w:val="single" w:sz="8" w:color="999999"/>
            </w:tcBorders>
          </w:tcPr>
          <w:p>
            <w:pPr>
              <w:spacing w:after="0"/>
              <w:rPr>
                <w:sz w:val="20"/>
                <w:szCs w:val="20"/>
                <w:color w:val="auto"/>
              </w:rPr>
            </w:pPr>
          </w:p>
        </w:tc>
        <w:tc>
          <w:tcPr>
            <w:tcW w:w="1120" w:type="dxa"/>
            <w:vAlign w:val="bottom"/>
            <w:tcBorders>
              <w:bottom w:val="single" w:sz="8" w:color="999999"/>
              <w:right w:val="single" w:sz="8" w:color="999999"/>
            </w:tcBorders>
          </w:tcPr>
          <w:p>
            <w:pPr>
              <w:spacing w:after="0"/>
              <w:rPr>
                <w:sz w:val="20"/>
                <w:szCs w:val="20"/>
                <w:color w:val="auto"/>
              </w:rPr>
            </w:pPr>
          </w:p>
        </w:tc>
        <w:tc>
          <w:tcPr>
            <w:tcW w:w="676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999999"/>
              <w:right w:val="single" w:sz="8" w:color="999999"/>
            </w:tcBorders>
          </w:tcPr>
          <w:p>
            <w:pPr>
              <w:spacing w:after="0"/>
              <w:rPr>
                <w:sz w:val="20"/>
                <w:szCs w:val="20"/>
                <w:color w:val="auto"/>
              </w:rPr>
            </w:pPr>
          </w:p>
        </w:tc>
      </w:tr>
      <w:tr>
        <w:trPr>
          <w:trHeight w:val="210"/>
        </w:trPr>
        <w:tc>
          <w:tcPr>
            <w:tcW w:w="520" w:type="dxa"/>
            <w:vAlign w:val="bottom"/>
            <w:tcBorders>
              <w:left w:val="single" w:sz="8" w:color="999999"/>
              <w:bottom w:val="single" w:sz="8" w:color="999999"/>
              <w:right w:val="single" w:sz="8" w:color="999999"/>
            </w:tcBorders>
            <w:shd w:val="clear" w:color="auto" w:fill="D9D9D9"/>
          </w:tcPr>
          <w:p>
            <w:pPr>
              <w:jc w:val="right"/>
              <w:ind w:right="210"/>
              <w:spacing w:after="0"/>
              <w:rPr>
                <w:sz w:val="20"/>
                <w:szCs w:val="20"/>
                <w:color w:val="auto"/>
              </w:rPr>
            </w:pPr>
            <w:r>
              <w:rPr>
                <w:rFonts w:ascii="Arial" w:cs="Arial" w:eastAsia="Arial" w:hAnsi="Arial"/>
                <w:sz w:val="18"/>
                <w:szCs w:val="18"/>
                <w:b w:val="1"/>
                <w:bCs w:val="1"/>
                <w:color w:val="auto"/>
              </w:rPr>
              <w:t>8</w:t>
            </w:r>
          </w:p>
        </w:tc>
        <w:tc>
          <w:tcPr>
            <w:tcW w:w="112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18"/>
                <w:szCs w:val="18"/>
                <w:color w:val="auto"/>
              </w:rPr>
            </w:pPr>
          </w:p>
        </w:tc>
        <w:tc>
          <w:tcPr>
            <w:tcW w:w="1680" w:type="dxa"/>
            <w:vAlign w:val="bottom"/>
            <w:tcBorders>
              <w:bottom w:val="single" w:sz="8" w:color="999999"/>
              <w:right w:val="single" w:sz="8" w:color="999999"/>
            </w:tcBorders>
            <w:shd w:val="clear" w:color="auto" w:fill="D9D9D9"/>
          </w:tcPr>
          <w:p>
            <w:pPr>
              <w:jc w:val="right"/>
              <w:ind w:right="570"/>
              <w:spacing w:after="0"/>
              <w:rPr>
                <w:sz w:val="20"/>
                <w:szCs w:val="20"/>
                <w:color w:val="auto"/>
              </w:rPr>
            </w:pPr>
            <w:r>
              <w:rPr>
                <w:rFonts w:ascii="Arial" w:cs="Arial" w:eastAsia="Arial" w:hAnsi="Arial"/>
                <w:sz w:val="18"/>
                <w:szCs w:val="18"/>
                <w:color w:val="auto"/>
              </w:rPr>
              <w:t>[***]</w:t>
            </w:r>
          </w:p>
        </w:tc>
      </w:tr>
      <w:tr>
        <w:trPr>
          <w:trHeight w:val="224"/>
        </w:trPr>
        <w:tc>
          <w:tcPr>
            <w:tcW w:w="520" w:type="dxa"/>
            <w:vAlign w:val="bottom"/>
            <w:tcBorders>
              <w:left w:val="single" w:sz="8" w:color="999999"/>
              <w:right w:val="single" w:sz="8" w:color="999999"/>
            </w:tcBorders>
            <w:shd w:val="clear" w:color="auto" w:fill="F2F2F2"/>
          </w:tcPr>
          <w:p>
            <w:pPr>
              <w:spacing w:after="0"/>
              <w:rPr>
                <w:sz w:val="19"/>
                <w:szCs w:val="19"/>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19"/>
                <w:szCs w:val="19"/>
                <w:color w:val="auto"/>
              </w:rPr>
            </w:pPr>
          </w:p>
        </w:tc>
        <w:tc>
          <w:tcPr>
            <w:tcW w:w="1680" w:type="dxa"/>
            <w:vAlign w:val="bottom"/>
            <w:tcBorders>
              <w:right w:val="single" w:sz="8" w:color="999999"/>
            </w:tcBorders>
            <w:shd w:val="clear" w:color="auto" w:fill="F2F2F2"/>
          </w:tcPr>
          <w:p>
            <w:pPr>
              <w:spacing w:after="0"/>
              <w:rPr>
                <w:sz w:val="19"/>
                <w:szCs w:val="19"/>
                <w:color w:val="auto"/>
              </w:rPr>
            </w:pPr>
          </w:p>
        </w:tc>
      </w:tr>
      <w:tr>
        <w:trPr>
          <w:trHeight w:val="404"/>
        </w:trPr>
        <w:tc>
          <w:tcPr>
            <w:tcW w:w="520" w:type="dxa"/>
            <w:vAlign w:val="bottom"/>
            <w:tcBorders>
              <w:left w:val="single" w:sz="8" w:color="999999"/>
              <w:right w:val="single" w:sz="8" w:color="999999"/>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24"/>
                <w:szCs w:val="24"/>
                <w:color w:val="auto"/>
              </w:rPr>
            </w:pPr>
          </w:p>
        </w:tc>
        <w:tc>
          <w:tcPr>
            <w:tcW w:w="1680" w:type="dxa"/>
            <w:vAlign w:val="bottom"/>
            <w:tcBorders>
              <w:right w:val="single" w:sz="8" w:color="999999"/>
            </w:tcBorders>
            <w:shd w:val="clear" w:color="auto" w:fill="F2F2F2"/>
          </w:tcPr>
          <w:p>
            <w:pPr>
              <w:spacing w:after="0"/>
              <w:rPr>
                <w:sz w:val="24"/>
                <w:szCs w:val="24"/>
                <w:color w:val="auto"/>
              </w:rPr>
            </w:pPr>
          </w:p>
        </w:tc>
      </w:tr>
      <w:tr>
        <w:trPr>
          <w:trHeight w:val="230"/>
        </w:trPr>
        <w:tc>
          <w:tcPr>
            <w:tcW w:w="520" w:type="dxa"/>
            <w:vAlign w:val="bottom"/>
            <w:tcBorders>
              <w:left w:val="single" w:sz="8" w:color="999999"/>
              <w:bottom w:val="single" w:sz="8" w:color="999999"/>
              <w:right w:val="single" w:sz="8" w:color="999999"/>
            </w:tcBorders>
            <w:shd w:val="clear" w:color="auto" w:fill="F2F2F2"/>
          </w:tcPr>
          <w:p>
            <w:pPr>
              <w:spacing w:after="0"/>
              <w:rPr>
                <w:sz w:val="20"/>
                <w:szCs w:val="20"/>
                <w:color w:val="auto"/>
              </w:rPr>
            </w:pPr>
          </w:p>
        </w:tc>
        <w:tc>
          <w:tcPr>
            <w:tcW w:w="112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F2F2F2"/>
          </w:tcPr>
          <w:p>
            <w:pPr>
              <w:spacing w:after="0"/>
              <w:rPr>
                <w:sz w:val="20"/>
                <w:szCs w:val="20"/>
                <w:color w:val="auto"/>
              </w:rPr>
            </w:pPr>
          </w:p>
        </w:tc>
        <w:tc>
          <w:tcPr>
            <w:tcW w:w="1680" w:type="dxa"/>
            <w:vAlign w:val="bottom"/>
            <w:tcBorders>
              <w:bottom w:val="single" w:sz="8" w:color="999999"/>
              <w:right w:val="single" w:sz="8" w:color="999999"/>
            </w:tcBorders>
            <w:shd w:val="clear" w:color="auto" w:fill="F2F2F2"/>
          </w:tcPr>
          <w:p>
            <w:pPr>
              <w:spacing w:after="0"/>
              <w:rPr>
                <w:sz w:val="20"/>
                <w:szCs w:val="20"/>
                <w:color w:val="auto"/>
              </w:rPr>
            </w:pPr>
          </w:p>
        </w:tc>
      </w:tr>
      <w:tr>
        <w:trPr>
          <w:trHeight w:val="195"/>
        </w:trPr>
        <w:tc>
          <w:tcPr>
            <w:tcW w:w="520" w:type="dxa"/>
            <w:vAlign w:val="bottom"/>
            <w:tcBorders>
              <w:left w:val="single" w:sz="8" w:color="999999"/>
              <w:right w:val="single" w:sz="8" w:color="999999"/>
            </w:tcBorders>
          </w:tcPr>
          <w:p>
            <w:pPr>
              <w:spacing w:after="0"/>
              <w:rPr>
                <w:sz w:val="16"/>
                <w:szCs w:val="16"/>
                <w:color w:val="auto"/>
              </w:rPr>
            </w:pPr>
          </w:p>
        </w:tc>
        <w:tc>
          <w:tcPr>
            <w:tcW w:w="1120" w:type="dxa"/>
            <w:vAlign w:val="bottom"/>
            <w:tcBorders>
              <w:right w:val="single" w:sz="8" w:color="999999"/>
            </w:tcBorders>
          </w:tcPr>
          <w:p>
            <w:pPr>
              <w:spacing w:after="0"/>
              <w:rPr>
                <w:sz w:val="16"/>
                <w:szCs w:val="16"/>
                <w:color w:val="auto"/>
              </w:rPr>
            </w:pPr>
          </w:p>
        </w:tc>
        <w:tc>
          <w:tcPr>
            <w:tcW w:w="6760" w:type="dxa"/>
            <w:vAlign w:val="bottom"/>
            <w:tcBorders>
              <w:right w:val="single" w:sz="8" w:color="999999"/>
            </w:tcBorders>
          </w:tcPr>
          <w:p>
            <w:pPr>
              <w:ind w:left="120"/>
              <w:spacing w:after="0" w:line="195" w:lineRule="exact"/>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6"/>
                <w:szCs w:val="16"/>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30"/>
        </w:trPr>
        <w:tc>
          <w:tcPr>
            <w:tcW w:w="520" w:type="dxa"/>
            <w:vAlign w:val="bottom"/>
            <w:tcBorders>
              <w:left w:val="single" w:sz="8" w:color="999999"/>
              <w:bottom w:val="single" w:sz="8" w:color="999999"/>
              <w:right w:val="single" w:sz="8" w:color="999999"/>
            </w:tcBorders>
          </w:tcPr>
          <w:p>
            <w:pPr>
              <w:spacing w:after="0"/>
              <w:rPr>
                <w:sz w:val="20"/>
                <w:szCs w:val="20"/>
                <w:color w:val="auto"/>
              </w:rPr>
            </w:pPr>
          </w:p>
        </w:tc>
        <w:tc>
          <w:tcPr>
            <w:tcW w:w="1120" w:type="dxa"/>
            <w:vAlign w:val="bottom"/>
            <w:tcBorders>
              <w:bottom w:val="single" w:sz="8" w:color="999999"/>
              <w:right w:val="single" w:sz="8" w:color="999999"/>
            </w:tcBorders>
          </w:tcPr>
          <w:p>
            <w:pPr>
              <w:spacing w:after="0"/>
              <w:rPr>
                <w:sz w:val="20"/>
                <w:szCs w:val="20"/>
                <w:color w:val="auto"/>
              </w:rPr>
            </w:pPr>
          </w:p>
        </w:tc>
        <w:tc>
          <w:tcPr>
            <w:tcW w:w="6760" w:type="dxa"/>
            <w:vAlign w:val="bottom"/>
            <w:tcBorders>
              <w:bottom w:val="single" w:sz="8" w:color="999999"/>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999999"/>
              <w:right w:val="single" w:sz="8" w:color="999999"/>
            </w:tcBorders>
          </w:tcPr>
          <w:p>
            <w:pPr>
              <w:spacing w:after="0"/>
              <w:rPr>
                <w:sz w:val="20"/>
                <w:szCs w:val="20"/>
                <w:color w:val="auto"/>
              </w:rPr>
            </w:pPr>
          </w:p>
        </w:tc>
      </w:tr>
      <w:tr>
        <w:trPr>
          <w:trHeight w:val="858"/>
        </w:trPr>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760" w:type="dxa"/>
            <w:vAlign w:val="bottom"/>
          </w:tcPr>
          <w:p>
            <w:pPr>
              <w:ind w:left="3300"/>
              <w:spacing w:after="0"/>
              <w:rPr>
                <w:sz w:val="20"/>
                <w:szCs w:val="20"/>
                <w:color w:val="auto"/>
              </w:rPr>
            </w:pPr>
            <w:r>
              <w:rPr>
                <w:rFonts w:ascii="Arial" w:cs="Arial" w:eastAsia="Arial" w:hAnsi="Arial"/>
                <w:sz w:val="18"/>
                <w:szCs w:val="18"/>
                <w:color w:val="auto"/>
              </w:rPr>
              <w:t>15</w:t>
            </w:r>
          </w:p>
        </w:tc>
        <w:tc>
          <w:tcPr>
            <w:tcW w:w="168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6" w:right="919" w:bottom="1440" w:gutter="0" w:footer="0" w:header="0"/>
        </w:sectPr>
      </w:pPr>
    </w:p>
    <w:bookmarkStart w:id="78" w:name="page79"/>
    <w:bookmarkEnd w:id="78"/>
    <w:tbl>
      <w:tblPr>
        <w:tblLayout w:type="fixed"/>
        <w:tblInd w:w="10" w:type="dxa"/>
        <w:tblCellMar>
          <w:top w:w="0" w:type="dxa"/>
          <w:left w:w="0" w:type="dxa"/>
          <w:bottom w:w="0" w:type="dxa"/>
          <w:right w:w="0" w:type="dxa"/>
        </w:tblCellMar>
      </w:tblPr>
      <w:tr>
        <w:trPr>
          <w:trHeight w:val="230"/>
        </w:trPr>
        <w:tc>
          <w:tcPr>
            <w:tcW w:w="520" w:type="dxa"/>
            <w:vAlign w:val="bottom"/>
            <w:tcBorders>
              <w:top w:val="single" w:sz="8" w:color="999999"/>
              <w:left w:val="single" w:sz="8" w:color="999999"/>
              <w:bottom w:val="single" w:sz="8" w:color="999999"/>
              <w:right w:val="single" w:sz="8" w:color="999999"/>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9</w:t>
            </w:r>
          </w:p>
        </w:tc>
        <w:tc>
          <w:tcPr>
            <w:tcW w:w="1120" w:type="dxa"/>
            <w:vAlign w:val="bottom"/>
            <w:tcBorders>
              <w:top w:val="single" w:sz="8" w:color="999999"/>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w:t>
            </w:r>
          </w:p>
        </w:tc>
        <w:tc>
          <w:tcPr>
            <w:tcW w:w="6760" w:type="dxa"/>
            <w:vAlign w:val="bottom"/>
            <w:tcBorders>
              <w:top w:val="single" w:sz="8" w:color="999999"/>
              <w:bottom w:val="single" w:sz="8" w:color="999999"/>
              <w:right w:val="single" w:sz="8" w:color="999999"/>
            </w:tcBorders>
            <w:shd w:val="clear" w:color="auto" w:fill="D9D9D9"/>
          </w:tcPr>
          <w:p>
            <w:pPr>
              <w:spacing w:after="0"/>
              <w:rPr>
                <w:sz w:val="19"/>
                <w:szCs w:val="19"/>
                <w:color w:val="auto"/>
              </w:rPr>
            </w:pPr>
          </w:p>
        </w:tc>
        <w:tc>
          <w:tcPr>
            <w:tcW w:w="1680" w:type="dxa"/>
            <w:vAlign w:val="bottom"/>
            <w:tcBorders>
              <w:top w:val="single" w:sz="8" w:color="999999"/>
              <w:bottom w:val="single" w:sz="8" w:color="999999"/>
              <w:right w:val="single" w:sz="8" w:color="999999"/>
            </w:tcBorders>
            <w:shd w:val="clear" w:color="auto" w:fill="D9D9D9"/>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24"/>
        </w:trPr>
        <w:tc>
          <w:tcPr>
            <w:tcW w:w="520" w:type="dxa"/>
            <w:vAlign w:val="bottom"/>
            <w:tcBorders>
              <w:left w:val="single" w:sz="8" w:color="999999"/>
              <w:right w:val="single" w:sz="8" w:color="999999"/>
            </w:tcBorders>
            <w:shd w:val="clear" w:color="auto" w:fill="D9D9D9"/>
          </w:tcPr>
          <w:p>
            <w:pPr>
              <w:spacing w:after="0"/>
              <w:rPr>
                <w:sz w:val="19"/>
                <w:szCs w:val="19"/>
                <w:color w:val="auto"/>
              </w:rPr>
            </w:pPr>
          </w:p>
        </w:tc>
        <w:tc>
          <w:tcPr>
            <w:tcW w:w="1120" w:type="dxa"/>
            <w:vAlign w:val="bottom"/>
            <w:tcBorders>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D9D9D9"/>
          </w:tcPr>
          <w:p>
            <w:pPr>
              <w:spacing w:after="0"/>
              <w:rPr>
                <w:sz w:val="19"/>
                <w:szCs w:val="19"/>
                <w:color w:val="auto"/>
              </w:rPr>
            </w:pPr>
          </w:p>
        </w:tc>
        <w:tc>
          <w:tcPr>
            <w:tcW w:w="1680" w:type="dxa"/>
            <w:vAlign w:val="bottom"/>
            <w:tcBorders>
              <w:right w:val="single" w:sz="8" w:color="999999"/>
            </w:tcBorders>
            <w:shd w:val="clear" w:color="auto" w:fill="D9D9D9"/>
          </w:tcPr>
          <w:p>
            <w:pPr>
              <w:spacing w:after="0"/>
              <w:rPr>
                <w:sz w:val="19"/>
                <w:szCs w:val="19"/>
                <w:color w:val="auto"/>
              </w:rPr>
            </w:pPr>
          </w:p>
        </w:tc>
      </w:tr>
      <w:tr>
        <w:trPr>
          <w:trHeight w:val="404"/>
        </w:trPr>
        <w:tc>
          <w:tcPr>
            <w:tcW w:w="520" w:type="dxa"/>
            <w:vAlign w:val="bottom"/>
            <w:tcBorders>
              <w:left w:val="single" w:sz="8" w:color="999999"/>
              <w:right w:val="single" w:sz="8" w:color="999999"/>
            </w:tcBorders>
            <w:shd w:val="clear" w:color="auto" w:fill="D9D9D9"/>
          </w:tcPr>
          <w:p>
            <w:pPr>
              <w:spacing w:after="0"/>
              <w:rPr>
                <w:sz w:val="24"/>
                <w:szCs w:val="24"/>
                <w:color w:val="auto"/>
              </w:rPr>
            </w:pPr>
          </w:p>
        </w:tc>
        <w:tc>
          <w:tcPr>
            <w:tcW w:w="1120" w:type="dxa"/>
            <w:vAlign w:val="bottom"/>
            <w:tcBorders>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D9D9D9"/>
          </w:tcPr>
          <w:p>
            <w:pPr>
              <w:spacing w:after="0"/>
              <w:rPr>
                <w:sz w:val="24"/>
                <w:szCs w:val="24"/>
                <w:color w:val="auto"/>
              </w:rPr>
            </w:pPr>
          </w:p>
        </w:tc>
        <w:tc>
          <w:tcPr>
            <w:tcW w:w="1680" w:type="dxa"/>
            <w:vAlign w:val="bottom"/>
            <w:tcBorders>
              <w:right w:val="single" w:sz="8" w:color="999999"/>
            </w:tcBorders>
            <w:shd w:val="clear" w:color="auto" w:fill="D9D9D9"/>
          </w:tcPr>
          <w:p>
            <w:pPr>
              <w:spacing w:after="0"/>
              <w:rPr>
                <w:sz w:val="24"/>
                <w:szCs w:val="24"/>
                <w:color w:val="auto"/>
              </w:rPr>
            </w:pPr>
          </w:p>
        </w:tc>
      </w:tr>
      <w:tr>
        <w:trPr>
          <w:trHeight w:val="230"/>
        </w:trPr>
        <w:tc>
          <w:tcPr>
            <w:tcW w:w="520" w:type="dxa"/>
            <w:vAlign w:val="bottom"/>
            <w:tcBorders>
              <w:left w:val="single" w:sz="8" w:color="999999"/>
              <w:bottom w:val="single" w:sz="8" w:color="999999"/>
              <w:right w:val="single" w:sz="8" w:color="999999"/>
            </w:tcBorders>
            <w:shd w:val="clear" w:color="auto" w:fill="D9D9D9"/>
          </w:tcPr>
          <w:p>
            <w:pPr>
              <w:spacing w:after="0"/>
              <w:rPr>
                <w:sz w:val="20"/>
                <w:szCs w:val="20"/>
                <w:color w:val="auto"/>
              </w:rPr>
            </w:pPr>
          </w:p>
        </w:tc>
        <w:tc>
          <w:tcPr>
            <w:tcW w:w="112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20"/>
                <w:szCs w:val="20"/>
                <w:color w:val="auto"/>
              </w:rPr>
            </w:pPr>
          </w:p>
        </w:tc>
        <w:tc>
          <w:tcPr>
            <w:tcW w:w="1680" w:type="dxa"/>
            <w:vAlign w:val="bottom"/>
            <w:tcBorders>
              <w:bottom w:val="single" w:sz="8" w:color="999999"/>
              <w:right w:val="single" w:sz="8" w:color="999999"/>
            </w:tcBorders>
            <w:shd w:val="clear" w:color="auto" w:fill="D9D9D9"/>
          </w:tcPr>
          <w:p>
            <w:pPr>
              <w:spacing w:after="0"/>
              <w:rPr>
                <w:sz w:val="20"/>
                <w:szCs w:val="20"/>
                <w:color w:val="auto"/>
              </w:rPr>
            </w:pPr>
          </w:p>
        </w:tc>
      </w:tr>
      <w:tr>
        <w:trPr>
          <w:trHeight w:val="195"/>
        </w:trPr>
        <w:tc>
          <w:tcPr>
            <w:tcW w:w="520" w:type="dxa"/>
            <w:vAlign w:val="bottom"/>
            <w:tcBorders>
              <w:left w:val="single" w:sz="8" w:color="999999"/>
              <w:right w:val="single" w:sz="8" w:color="999999"/>
            </w:tcBorders>
          </w:tcPr>
          <w:p>
            <w:pPr>
              <w:spacing w:after="0"/>
              <w:rPr>
                <w:sz w:val="16"/>
                <w:szCs w:val="16"/>
                <w:color w:val="auto"/>
              </w:rPr>
            </w:pPr>
          </w:p>
        </w:tc>
        <w:tc>
          <w:tcPr>
            <w:tcW w:w="1120" w:type="dxa"/>
            <w:vAlign w:val="bottom"/>
            <w:tcBorders>
              <w:right w:val="single" w:sz="8" w:color="999999"/>
            </w:tcBorders>
          </w:tcPr>
          <w:p>
            <w:pPr>
              <w:spacing w:after="0"/>
              <w:rPr>
                <w:sz w:val="16"/>
                <w:szCs w:val="16"/>
                <w:color w:val="auto"/>
              </w:rPr>
            </w:pPr>
          </w:p>
        </w:tc>
        <w:tc>
          <w:tcPr>
            <w:tcW w:w="6760" w:type="dxa"/>
            <w:vAlign w:val="bottom"/>
            <w:tcBorders>
              <w:right w:val="single" w:sz="8" w:color="999999"/>
            </w:tcBorders>
          </w:tcPr>
          <w:p>
            <w:pPr>
              <w:ind w:left="120"/>
              <w:spacing w:after="0" w:line="195" w:lineRule="exact"/>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6"/>
                <w:szCs w:val="16"/>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30"/>
        </w:trPr>
        <w:tc>
          <w:tcPr>
            <w:tcW w:w="520" w:type="dxa"/>
            <w:vAlign w:val="bottom"/>
            <w:tcBorders>
              <w:left w:val="single" w:sz="8" w:color="999999"/>
              <w:right w:val="single" w:sz="8" w:color="999999"/>
            </w:tcBorders>
          </w:tcPr>
          <w:p>
            <w:pPr>
              <w:spacing w:after="0"/>
              <w:rPr>
                <w:sz w:val="20"/>
                <w:szCs w:val="20"/>
                <w:color w:val="auto"/>
              </w:rPr>
            </w:pPr>
          </w:p>
        </w:tc>
        <w:tc>
          <w:tcPr>
            <w:tcW w:w="1120" w:type="dxa"/>
            <w:vAlign w:val="bottom"/>
            <w:tcBorders>
              <w:right w:val="single" w:sz="8" w:color="999999"/>
            </w:tcBorders>
          </w:tcPr>
          <w:p>
            <w:pPr>
              <w:spacing w:after="0"/>
              <w:rPr>
                <w:sz w:val="20"/>
                <w:szCs w:val="20"/>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20"/>
                <w:szCs w:val="20"/>
                <w:color w:val="auto"/>
              </w:rPr>
            </w:pPr>
          </w:p>
        </w:tc>
      </w:tr>
      <w:tr>
        <w:trPr>
          <w:trHeight w:val="216"/>
        </w:trPr>
        <w:tc>
          <w:tcPr>
            <w:tcW w:w="520" w:type="dxa"/>
            <w:vAlign w:val="bottom"/>
            <w:tcBorders>
              <w:left w:val="single" w:sz="8" w:color="999999"/>
              <w:bottom w:val="single" w:sz="8" w:color="999999"/>
              <w:right w:val="single" w:sz="8" w:color="999999"/>
            </w:tcBorders>
          </w:tcPr>
          <w:p>
            <w:pPr>
              <w:spacing w:after="0"/>
              <w:rPr>
                <w:sz w:val="18"/>
                <w:szCs w:val="18"/>
                <w:color w:val="auto"/>
              </w:rPr>
            </w:pPr>
          </w:p>
        </w:tc>
        <w:tc>
          <w:tcPr>
            <w:tcW w:w="1120" w:type="dxa"/>
            <w:vAlign w:val="bottom"/>
            <w:tcBorders>
              <w:bottom w:val="single" w:sz="8" w:color="999999"/>
              <w:right w:val="single" w:sz="8" w:color="999999"/>
            </w:tcBorders>
          </w:tcPr>
          <w:p>
            <w:pPr>
              <w:spacing w:after="0"/>
              <w:rPr>
                <w:sz w:val="18"/>
                <w:szCs w:val="18"/>
                <w:color w:val="auto"/>
              </w:rPr>
            </w:pPr>
          </w:p>
        </w:tc>
        <w:tc>
          <w:tcPr>
            <w:tcW w:w="6760" w:type="dxa"/>
            <w:vAlign w:val="bottom"/>
            <w:tcBorders>
              <w:bottom w:val="single" w:sz="8" w:color="999999"/>
              <w:right w:val="single" w:sz="8" w:color="999999"/>
            </w:tcBorders>
          </w:tcPr>
          <w:p>
            <w:pPr>
              <w:spacing w:after="0"/>
              <w:rPr>
                <w:sz w:val="18"/>
                <w:szCs w:val="18"/>
                <w:color w:val="auto"/>
              </w:rPr>
            </w:pPr>
          </w:p>
        </w:tc>
        <w:tc>
          <w:tcPr>
            <w:tcW w:w="1680" w:type="dxa"/>
            <w:vAlign w:val="bottom"/>
            <w:tcBorders>
              <w:bottom w:val="single" w:sz="8" w:color="999999"/>
              <w:right w:val="single" w:sz="8" w:color="999999"/>
            </w:tcBorders>
          </w:tcPr>
          <w:p>
            <w:pPr>
              <w:spacing w:after="0"/>
              <w:rPr>
                <w:sz w:val="18"/>
                <w:szCs w:val="18"/>
                <w:color w:val="auto"/>
              </w:rPr>
            </w:pPr>
          </w:p>
        </w:tc>
      </w:tr>
      <w:tr>
        <w:trPr>
          <w:trHeight w:val="210"/>
        </w:trPr>
        <w:tc>
          <w:tcPr>
            <w:tcW w:w="520" w:type="dxa"/>
            <w:vAlign w:val="bottom"/>
            <w:tcBorders>
              <w:left w:val="single" w:sz="8" w:color="999999"/>
              <w:bottom w:val="single" w:sz="8" w:color="999999"/>
              <w:right w:val="single" w:sz="8" w:color="999999"/>
            </w:tcBorders>
            <w:shd w:val="clear" w:color="auto" w:fill="D9D9D9"/>
          </w:tcPr>
          <w:p>
            <w:pPr>
              <w:ind w:left="140"/>
              <w:spacing w:after="0"/>
              <w:rPr>
                <w:sz w:val="20"/>
                <w:szCs w:val="20"/>
                <w:color w:val="auto"/>
              </w:rPr>
            </w:pPr>
            <w:r>
              <w:rPr>
                <w:rFonts w:ascii="Arial" w:cs="Arial" w:eastAsia="Arial" w:hAnsi="Arial"/>
                <w:sz w:val="18"/>
                <w:szCs w:val="18"/>
                <w:b w:val="1"/>
                <w:bCs w:val="1"/>
                <w:color w:val="auto"/>
              </w:rPr>
              <w:t>10</w:t>
            </w:r>
          </w:p>
        </w:tc>
        <w:tc>
          <w:tcPr>
            <w:tcW w:w="1120" w:type="dxa"/>
            <w:vAlign w:val="bottom"/>
            <w:tcBorders>
              <w:bottom w:val="single" w:sz="8" w:color="999999"/>
              <w:right w:val="single" w:sz="8" w:color="D9D9D9"/>
            </w:tcBorders>
            <w:shd w:val="clear" w:color="auto" w:fill="D9D9D9"/>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D9D9D9"/>
          </w:tcPr>
          <w:p>
            <w:pPr>
              <w:spacing w:after="0"/>
              <w:rPr>
                <w:sz w:val="18"/>
                <w:szCs w:val="18"/>
                <w:color w:val="auto"/>
              </w:rPr>
            </w:pPr>
          </w:p>
        </w:tc>
        <w:tc>
          <w:tcPr>
            <w:tcW w:w="1680" w:type="dxa"/>
            <w:vAlign w:val="bottom"/>
            <w:tcBorders>
              <w:bottom w:val="single" w:sz="8" w:color="999999"/>
              <w:right w:val="single" w:sz="8" w:color="999999"/>
            </w:tcBorders>
            <w:shd w:val="clear" w:color="auto" w:fill="D9D9D9"/>
          </w:tcPr>
          <w:p>
            <w:pPr>
              <w:jc w:val="right"/>
              <w:ind w:right="570"/>
              <w:spacing w:after="0"/>
              <w:rPr>
                <w:sz w:val="20"/>
                <w:szCs w:val="20"/>
                <w:color w:val="auto"/>
              </w:rPr>
            </w:pPr>
            <w:r>
              <w:rPr>
                <w:rFonts w:ascii="Arial" w:cs="Arial" w:eastAsia="Arial" w:hAnsi="Arial"/>
                <w:sz w:val="18"/>
                <w:szCs w:val="18"/>
                <w:color w:val="auto"/>
              </w:rPr>
              <w:t>[***]</w:t>
            </w:r>
          </w:p>
        </w:tc>
      </w:tr>
      <w:tr>
        <w:trPr>
          <w:trHeight w:val="224"/>
        </w:trPr>
        <w:tc>
          <w:tcPr>
            <w:tcW w:w="520" w:type="dxa"/>
            <w:vAlign w:val="bottom"/>
            <w:tcBorders>
              <w:left w:val="single" w:sz="8" w:color="999999"/>
              <w:right w:val="single" w:sz="8" w:color="999999"/>
            </w:tcBorders>
            <w:shd w:val="clear" w:color="auto" w:fill="F2F2F2"/>
          </w:tcPr>
          <w:p>
            <w:pPr>
              <w:spacing w:after="0"/>
              <w:rPr>
                <w:sz w:val="19"/>
                <w:szCs w:val="19"/>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19"/>
                <w:szCs w:val="19"/>
                <w:color w:val="auto"/>
              </w:rPr>
            </w:pPr>
          </w:p>
        </w:tc>
        <w:tc>
          <w:tcPr>
            <w:tcW w:w="1680" w:type="dxa"/>
            <w:vAlign w:val="bottom"/>
            <w:tcBorders>
              <w:right w:val="single" w:sz="8" w:color="999999"/>
            </w:tcBorders>
            <w:shd w:val="clear" w:color="auto" w:fill="F2F2F2"/>
          </w:tcPr>
          <w:p>
            <w:pPr>
              <w:spacing w:after="0"/>
              <w:rPr>
                <w:sz w:val="19"/>
                <w:szCs w:val="19"/>
                <w:color w:val="auto"/>
              </w:rPr>
            </w:pPr>
          </w:p>
        </w:tc>
      </w:tr>
      <w:tr>
        <w:trPr>
          <w:trHeight w:val="404"/>
        </w:trPr>
        <w:tc>
          <w:tcPr>
            <w:tcW w:w="520" w:type="dxa"/>
            <w:vAlign w:val="bottom"/>
            <w:tcBorders>
              <w:left w:val="single" w:sz="8" w:color="999999"/>
              <w:right w:val="single" w:sz="8" w:color="999999"/>
            </w:tcBorders>
            <w:shd w:val="clear" w:color="auto" w:fill="F2F2F2"/>
          </w:tcPr>
          <w:p>
            <w:pPr>
              <w:spacing w:after="0"/>
              <w:rPr>
                <w:sz w:val="24"/>
                <w:szCs w:val="24"/>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24"/>
                <w:szCs w:val="24"/>
                <w:color w:val="auto"/>
              </w:rPr>
            </w:pPr>
          </w:p>
        </w:tc>
        <w:tc>
          <w:tcPr>
            <w:tcW w:w="1680" w:type="dxa"/>
            <w:vAlign w:val="bottom"/>
            <w:tcBorders>
              <w:right w:val="single" w:sz="8" w:color="999999"/>
            </w:tcBorders>
            <w:shd w:val="clear" w:color="auto" w:fill="F2F2F2"/>
          </w:tcPr>
          <w:p>
            <w:pPr>
              <w:spacing w:after="0"/>
              <w:rPr>
                <w:sz w:val="24"/>
                <w:szCs w:val="24"/>
                <w:color w:val="auto"/>
              </w:rPr>
            </w:pPr>
          </w:p>
        </w:tc>
      </w:tr>
      <w:tr>
        <w:trPr>
          <w:trHeight w:val="230"/>
        </w:trPr>
        <w:tc>
          <w:tcPr>
            <w:tcW w:w="520" w:type="dxa"/>
            <w:vAlign w:val="bottom"/>
            <w:tcBorders>
              <w:left w:val="single" w:sz="8" w:color="999999"/>
              <w:right w:val="single" w:sz="8" w:color="999999"/>
            </w:tcBorders>
            <w:shd w:val="clear" w:color="auto" w:fill="F2F2F2"/>
          </w:tcPr>
          <w:p>
            <w:pPr>
              <w:spacing w:after="0"/>
              <w:rPr>
                <w:sz w:val="20"/>
                <w:szCs w:val="20"/>
                <w:color w:val="auto"/>
              </w:rPr>
            </w:pPr>
          </w:p>
        </w:tc>
        <w:tc>
          <w:tcPr>
            <w:tcW w:w="112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right w:val="single" w:sz="8" w:color="999999"/>
            </w:tcBorders>
            <w:shd w:val="clear" w:color="auto" w:fill="F2F2F2"/>
          </w:tcPr>
          <w:p>
            <w:pPr>
              <w:spacing w:after="0"/>
              <w:rPr>
                <w:sz w:val="20"/>
                <w:szCs w:val="20"/>
                <w:color w:val="auto"/>
              </w:rPr>
            </w:pPr>
          </w:p>
        </w:tc>
        <w:tc>
          <w:tcPr>
            <w:tcW w:w="1680" w:type="dxa"/>
            <w:vAlign w:val="bottom"/>
            <w:tcBorders>
              <w:right w:val="single" w:sz="8" w:color="999999"/>
            </w:tcBorders>
            <w:shd w:val="clear" w:color="auto" w:fill="F2F2F2"/>
          </w:tcPr>
          <w:p>
            <w:pPr>
              <w:spacing w:after="0"/>
              <w:rPr>
                <w:sz w:val="20"/>
                <w:szCs w:val="20"/>
                <w:color w:val="auto"/>
              </w:rPr>
            </w:pPr>
          </w:p>
        </w:tc>
      </w:tr>
      <w:tr>
        <w:trPr>
          <w:trHeight w:val="432"/>
        </w:trPr>
        <w:tc>
          <w:tcPr>
            <w:tcW w:w="520" w:type="dxa"/>
            <w:vAlign w:val="bottom"/>
            <w:tcBorders>
              <w:left w:val="single" w:sz="8" w:color="999999"/>
              <w:bottom w:val="single" w:sz="8" w:color="999999"/>
              <w:right w:val="single" w:sz="8" w:color="999999"/>
            </w:tcBorders>
            <w:shd w:val="clear" w:color="auto" w:fill="F2F2F2"/>
          </w:tcPr>
          <w:p>
            <w:pPr>
              <w:spacing w:after="0"/>
              <w:rPr>
                <w:sz w:val="24"/>
                <w:szCs w:val="24"/>
                <w:color w:val="auto"/>
              </w:rPr>
            </w:pPr>
          </w:p>
        </w:tc>
        <w:tc>
          <w:tcPr>
            <w:tcW w:w="1120" w:type="dxa"/>
            <w:vAlign w:val="bottom"/>
            <w:tcBorders>
              <w:bottom w:val="single" w:sz="8" w:color="999999"/>
              <w:right w:val="single" w:sz="8" w:color="F2F2F2"/>
            </w:tcBorders>
            <w:shd w:val="clear" w:color="auto" w:fill="F2F2F2"/>
          </w:tcPr>
          <w:p>
            <w:pPr>
              <w:ind w:left="120"/>
              <w:spacing w:after="0"/>
              <w:rPr>
                <w:sz w:val="20"/>
                <w:szCs w:val="20"/>
                <w:color w:val="auto"/>
              </w:rPr>
            </w:pPr>
            <w:r>
              <w:rPr>
                <w:rFonts w:ascii="Arial" w:cs="Arial" w:eastAsia="Arial" w:hAnsi="Arial"/>
                <w:sz w:val="18"/>
                <w:szCs w:val="18"/>
                <w:color w:val="auto"/>
              </w:rPr>
              <w:t>[***].</w:t>
            </w:r>
          </w:p>
        </w:tc>
        <w:tc>
          <w:tcPr>
            <w:tcW w:w="6760" w:type="dxa"/>
            <w:vAlign w:val="bottom"/>
            <w:tcBorders>
              <w:bottom w:val="single" w:sz="8" w:color="999999"/>
              <w:right w:val="single" w:sz="8" w:color="999999"/>
            </w:tcBorders>
            <w:shd w:val="clear" w:color="auto" w:fill="F2F2F2"/>
          </w:tcPr>
          <w:p>
            <w:pPr>
              <w:spacing w:after="0"/>
              <w:rPr>
                <w:sz w:val="24"/>
                <w:szCs w:val="24"/>
                <w:color w:val="auto"/>
              </w:rPr>
            </w:pPr>
          </w:p>
        </w:tc>
        <w:tc>
          <w:tcPr>
            <w:tcW w:w="1680" w:type="dxa"/>
            <w:vAlign w:val="bottom"/>
            <w:tcBorders>
              <w:bottom w:val="single" w:sz="8" w:color="999999"/>
              <w:right w:val="single" w:sz="8" w:color="999999"/>
            </w:tcBorders>
            <w:shd w:val="clear" w:color="auto" w:fill="F2F2F2"/>
          </w:tcPr>
          <w:p>
            <w:pPr>
              <w:spacing w:after="0"/>
              <w:rPr>
                <w:sz w:val="24"/>
                <w:szCs w:val="24"/>
                <w:color w:val="auto"/>
              </w:rPr>
            </w:pPr>
          </w:p>
        </w:tc>
      </w:tr>
      <w:tr>
        <w:trPr>
          <w:trHeight w:val="195"/>
        </w:trPr>
        <w:tc>
          <w:tcPr>
            <w:tcW w:w="520" w:type="dxa"/>
            <w:vAlign w:val="bottom"/>
            <w:tcBorders>
              <w:left w:val="single" w:sz="8" w:color="999999"/>
              <w:right w:val="single" w:sz="8" w:color="999999"/>
            </w:tcBorders>
          </w:tcPr>
          <w:p>
            <w:pPr>
              <w:spacing w:after="0"/>
              <w:rPr>
                <w:sz w:val="16"/>
                <w:szCs w:val="16"/>
                <w:color w:val="auto"/>
              </w:rPr>
            </w:pPr>
          </w:p>
        </w:tc>
        <w:tc>
          <w:tcPr>
            <w:tcW w:w="1120" w:type="dxa"/>
            <w:vAlign w:val="bottom"/>
            <w:tcBorders>
              <w:right w:val="single" w:sz="8" w:color="999999"/>
            </w:tcBorders>
          </w:tcPr>
          <w:p>
            <w:pPr>
              <w:spacing w:after="0"/>
              <w:rPr>
                <w:sz w:val="16"/>
                <w:szCs w:val="16"/>
                <w:color w:val="auto"/>
              </w:rPr>
            </w:pPr>
          </w:p>
        </w:tc>
        <w:tc>
          <w:tcPr>
            <w:tcW w:w="6760" w:type="dxa"/>
            <w:vAlign w:val="bottom"/>
            <w:tcBorders>
              <w:right w:val="single" w:sz="8" w:color="999999"/>
            </w:tcBorders>
          </w:tcPr>
          <w:p>
            <w:pPr>
              <w:ind w:left="120"/>
              <w:spacing w:after="0" w:line="195" w:lineRule="exact"/>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6"/>
                <w:szCs w:val="16"/>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6"/>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12"/>
        </w:trPr>
        <w:tc>
          <w:tcPr>
            <w:tcW w:w="520" w:type="dxa"/>
            <w:vAlign w:val="bottom"/>
            <w:tcBorders>
              <w:left w:val="single" w:sz="8" w:color="999999"/>
              <w:right w:val="single" w:sz="8" w:color="999999"/>
            </w:tcBorders>
          </w:tcPr>
          <w:p>
            <w:pPr>
              <w:spacing w:after="0"/>
              <w:rPr>
                <w:sz w:val="18"/>
                <w:szCs w:val="18"/>
                <w:color w:val="auto"/>
              </w:rPr>
            </w:pPr>
          </w:p>
        </w:tc>
        <w:tc>
          <w:tcPr>
            <w:tcW w:w="1120" w:type="dxa"/>
            <w:vAlign w:val="bottom"/>
            <w:tcBorders>
              <w:right w:val="single" w:sz="8" w:color="999999"/>
            </w:tcBorders>
          </w:tcPr>
          <w:p>
            <w:pPr>
              <w:spacing w:after="0"/>
              <w:rPr>
                <w:sz w:val="18"/>
                <w:szCs w:val="18"/>
                <w:color w:val="auto"/>
              </w:rPr>
            </w:pPr>
          </w:p>
        </w:tc>
        <w:tc>
          <w:tcPr>
            <w:tcW w:w="6760" w:type="dxa"/>
            <w:vAlign w:val="bottom"/>
            <w:tcBorders>
              <w:right w:val="single" w:sz="8" w:color="999999"/>
            </w:tcBorders>
          </w:tcPr>
          <w:p>
            <w:pPr>
              <w:ind w:left="54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999999"/>
            </w:tcBorders>
          </w:tcPr>
          <w:p>
            <w:pPr>
              <w:spacing w:after="0"/>
              <w:rPr>
                <w:sz w:val="18"/>
                <w:szCs w:val="18"/>
                <w:color w:val="auto"/>
              </w:rPr>
            </w:pPr>
          </w:p>
        </w:tc>
      </w:tr>
      <w:tr>
        <w:trPr>
          <w:trHeight w:val="220"/>
        </w:trPr>
        <w:tc>
          <w:tcPr>
            <w:tcW w:w="520" w:type="dxa"/>
            <w:vAlign w:val="bottom"/>
            <w:tcBorders>
              <w:left w:val="single" w:sz="8" w:color="999999"/>
              <w:right w:val="single" w:sz="8" w:color="999999"/>
            </w:tcBorders>
          </w:tcPr>
          <w:p>
            <w:pPr>
              <w:spacing w:after="0"/>
              <w:rPr>
                <w:sz w:val="19"/>
                <w:szCs w:val="19"/>
                <w:color w:val="auto"/>
              </w:rPr>
            </w:pPr>
          </w:p>
        </w:tc>
        <w:tc>
          <w:tcPr>
            <w:tcW w:w="1120" w:type="dxa"/>
            <w:vAlign w:val="bottom"/>
            <w:tcBorders>
              <w:right w:val="single" w:sz="8" w:color="999999"/>
            </w:tcBorders>
          </w:tcPr>
          <w:p>
            <w:pPr>
              <w:spacing w:after="0"/>
              <w:rPr>
                <w:sz w:val="19"/>
                <w:szCs w:val="19"/>
                <w:color w:val="auto"/>
              </w:rPr>
            </w:pPr>
          </w:p>
        </w:tc>
        <w:tc>
          <w:tcPr>
            <w:tcW w:w="6760" w:type="dxa"/>
            <w:vAlign w:val="bottom"/>
            <w:tcBorders>
              <w:right w:val="single" w:sz="8" w:color="999999"/>
            </w:tcBorders>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680" w:type="dxa"/>
            <w:vAlign w:val="bottom"/>
            <w:tcBorders>
              <w:right w:val="single" w:sz="8" w:color="999999"/>
            </w:tcBorders>
          </w:tcPr>
          <w:p>
            <w:pPr>
              <w:spacing w:after="0"/>
              <w:rPr>
                <w:sz w:val="19"/>
                <w:szCs w:val="19"/>
                <w:color w:val="auto"/>
              </w:rPr>
            </w:pPr>
          </w:p>
        </w:tc>
      </w:tr>
      <w:tr>
        <w:trPr>
          <w:trHeight w:val="230"/>
        </w:trPr>
        <w:tc>
          <w:tcPr>
            <w:tcW w:w="520" w:type="dxa"/>
            <w:vAlign w:val="bottom"/>
            <w:tcBorders>
              <w:left w:val="single" w:sz="8" w:color="999999"/>
              <w:bottom w:val="single" w:sz="8" w:color="999999"/>
              <w:right w:val="single" w:sz="8" w:color="999999"/>
            </w:tcBorders>
          </w:tcPr>
          <w:p>
            <w:pPr>
              <w:spacing w:after="0"/>
              <w:rPr>
                <w:sz w:val="20"/>
                <w:szCs w:val="20"/>
                <w:color w:val="auto"/>
              </w:rPr>
            </w:pPr>
          </w:p>
        </w:tc>
        <w:tc>
          <w:tcPr>
            <w:tcW w:w="1120" w:type="dxa"/>
            <w:vAlign w:val="bottom"/>
            <w:tcBorders>
              <w:bottom w:val="single" w:sz="8" w:color="999999"/>
              <w:right w:val="single" w:sz="8" w:color="999999"/>
            </w:tcBorders>
          </w:tcPr>
          <w:p>
            <w:pPr>
              <w:spacing w:after="0"/>
              <w:rPr>
                <w:sz w:val="20"/>
                <w:szCs w:val="20"/>
                <w:color w:val="auto"/>
              </w:rPr>
            </w:pPr>
          </w:p>
        </w:tc>
        <w:tc>
          <w:tcPr>
            <w:tcW w:w="676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999999"/>
              <w:right w:val="single" w:sz="8" w:color="999999"/>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52" w:right="9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154940</wp:posOffset>
            </wp:positionV>
            <wp:extent cx="1603375" cy="420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6033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January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McDonnell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Kevin,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Congratulations! We are pleased to offer you the position as Senior Vice President &amp; Chief Financial Officer within AeroVironment,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located in Simi Valley, CA. This letter outlines the basic components of your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Your starting base weekly salary will be $7,692.31, which if annualized is $400,000 per year. You will be classified as an exempt-salaried, full-time employee.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You will be eligible to receive company benefits including medical, dental, vision, life insurance, 401k, paid holidays, paid vacation days and paid sick days in accordance with the eligibility terms and conditions of these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You will be eligible to participate annually in our Section 16 Short Term Incentive Plan. Your annual bonus target will be $250,000. Additional details of the bonus plan will be provided separately after you start employment. All bonus compensation and participation is at the discretion of the company and your actual bonus payout will vary based upon company and business performance. FY20 began on May 1, 2019 and will end on April 30, 2020. Your bonus for FY20 plan year will be prorated and have a minimum payout of $75,000.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Plan:</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You will be eligible to participate in the AeroVironment 2006 Equity Incentive Plan. Your target annually will be initially set at $400,000 subject to annual review by the Compensation Committee of the Board of Directors. We will recommend that the Company’s Compensation Committee grant you the following equity awards for the FY2021 – 2023 Equity Award Plan:</w:t>
      </w:r>
    </w:p>
    <w:p>
      <w:pPr>
        <w:spacing w:after="0" w:line="190" w:lineRule="exact"/>
        <w:rPr>
          <w:sz w:val="20"/>
          <w:szCs w:val="20"/>
          <w:color w:val="auto"/>
        </w:rPr>
      </w:pPr>
    </w:p>
    <w:p>
      <w:pPr>
        <w:ind w:left="640" w:right="500" w:hanging="317"/>
        <w:spacing w:after="0" w:line="258"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$260,000 of Performance Restricted Stock Units which will vest based upon the Company’s achievement of pre-established financial metrics over the cumulative three year FY2021-2023 period; and</w:t>
      </w:r>
    </w:p>
    <w:p>
      <w:pPr>
        <w:spacing w:after="0" w:line="1" w:lineRule="exact"/>
        <w:rPr>
          <w:rFonts w:ascii="Arial" w:cs="Arial" w:eastAsia="Arial" w:hAnsi="Arial"/>
          <w:sz w:val="18"/>
          <w:szCs w:val="18"/>
          <w:color w:val="auto"/>
        </w:rPr>
      </w:pPr>
    </w:p>
    <w:p>
      <w:pPr>
        <w:ind w:left="640" w:right="560" w:hanging="317"/>
        <w:spacing w:after="0" w:line="323" w:lineRule="auto"/>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$140,000 of Restricted Stock Awards which will vest in three equal amounts over a three-year period, with the first vesting beginning approximately one year after the grant date of such awards (projected first vesting on July 11,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subject to each award will be determined based on the Company’s share price on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w:t>
      </w:r>
    </w:p>
    <w:p>
      <w:pPr>
        <w:spacing w:after="0" w:line="27" w:lineRule="exact"/>
        <w:rPr>
          <w:sz w:val="20"/>
          <w:szCs w:val="20"/>
          <w:color w:val="auto"/>
        </w:rPr>
      </w:pPr>
    </w:p>
    <w:p>
      <w:pPr>
        <w:ind w:right="980"/>
        <w:spacing w:after="0" w:line="323" w:lineRule="auto"/>
        <w:rPr>
          <w:sz w:val="20"/>
          <w:szCs w:val="20"/>
          <w:color w:val="auto"/>
        </w:rPr>
      </w:pPr>
      <w:r>
        <w:rPr>
          <w:rFonts w:ascii="Arial" w:cs="Arial" w:eastAsia="Arial" w:hAnsi="Arial"/>
          <w:sz w:val="16"/>
          <w:szCs w:val="16"/>
          <w:color w:val="auto"/>
        </w:rPr>
        <w:t>You will be eligible to participate in the AeroVironment 2006 Equity Incentive Plan. We will recommend that the Company’s Compensation Committee grant you the following equity awards at its next regularly scheduled meeting after your start date: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80" w:name="page81"/>
    <w:bookmarkEnd w:id="80"/>
    <w:p>
      <w:pPr>
        <w:ind w:left="640" w:right="720" w:hanging="317"/>
        <w:spacing w:after="0" w:line="277"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$250,000 of Restricted Stock Awards which will vest in five equal amounts over a five-year period, with the first vesting beginning approximately one year after the grant date of such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subject to each award will be determined based on the Company’s share price on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ITAR Notification:</w:t>
      </w:r>
    </w:p>
    <w:p>
      <w:pPr>
        <w:spacing w:after="0" w:line="2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AeroVironment is a government contractor which requires us to meet International Traffic in Arms Regulations (ITAR). These regulations prohibit foreign nationals from working on certain and possibly all of the Company’s products. You are required to provide documentation validating your U.S. person status no later than your start date as defined in the ITAR and Export Administration Regulations (EAR). In order to be a U.S. person for ITAR and EAR purposes, you must: (i) be a citizen or national of the United States; or (ii) be a lawful permanent resident (i.e. “green card holder”) of the United States; or (iii) have been admitted to the United States as a refugee, or have been granted asylum, provided that you have applied for naturalization within six months of the date you first became eligible, and if not yet accepted, you are actively pursuing naturalization after two years from the date of your application. Consequently, if you are unable to meet these ITAR requirements, your employment relationship with the Company will be affected to include separation from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of Employment: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offer and your employment at AeroVironment are contingent upon the following:</w:t>
      </w:r>
    </w:p>
    <w:p>
      <w:pPr>
        <w:spacing w:after="0" w:line="211" w:lineRule="exact"/>
        <w:rPr>
          <w:sz w:val="20"/>
          <w:szCs w:val="20"/>
          <w:color w:val="auto"/>
        </w:rPr>
      </w:pPr>
    </w:p>
    <w:p>
      <w:pPr>
        <w:ind w:left="640" w:right="60" w:hanging="317"/>
        <w:spacing w:after="0" w:line="256"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Your providing satisfactory documentation to AeroVironment concerning your employment eligibility as required by Congress under the Immigration Reform and Control Act of 1986. You must complete and return the I-9 Employment Eligibility form with its supporting documentation to AeroVironment on your first day of employment.</w:t>
      </w:r>
    </w:p>
    <w:p>
      <w:pPr>
        <w:ind w:left="640" w:right="40" w:hanging="317"/>
        <w:spacing w:after="0" w:line="250"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AeroVironment must verify that all new US employees are eligible to work in the US using the E-Verify System. The E-Verify process must be done in a non-discriminatory manner and, in the case of new employees, only after the individual has accepted an offer of employment and completed the Form I-9.</w:t>
      </w:r>
    </w:p>
    <w:p>
      <w:pPr>
        <w:spacing w:after="0" w:line="1" w:lineRule="exact"/>
        <w:rPr>
          <w:rFonts w:ascii="Arial" w:cs="Arial" w:eastAsia="Arial" w:hAnsi="Arial"/>
          <w:sz w:val="18"/>
          <w:szCs w:val="18"/>
          <w:color w:val="auto"/>
        </w:rPr>
      </w:pPr>
    </w:p>
    <w:p>
      <w:pPr>
        <w:ind w:left="640" w:right="780" w:hanging="317"/>
        <w:spacing w:after="0" w:line="250"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Your completing all required employment documents that AeroVironment presents to you. This includes the Patent and Confidentiality Agreement which must be signed by your first day of employment.</w:t>
      </w:r>
    </w:p>
    <w:p>
      <w:pPr>
        <w:ind w:left="640" w:right="200" w:hanging="317"/>
        <w:spacing w:after="0" w:line="250"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AeroVironment’s completion of a satisfactory investigation of your background. You agree to release AeroVironment, its employees and agents, and any individuals who may provide AeroVironment with information regarding your background from any liability in connection with this background check.</w:t>
      </w:r>
    </w:p>
    <w:p>
      <w:pPr>
        <w:spacing w:after="0" w:line="1" w:lineRule="exact"/>
        <w:rPr>
          <w:rFonts w:ascii="Arial" w:cs="Arial" w:eastAsia="Arial" w:hAnsi="Arial"/>
          <w:sz w:val="18"/>
          <w:szCs w:val="18"/>
          <w:color w:val="auto"/>
        </w:rPr>
      </w:pPr>
    </w:p>
    <w:p>
      <w:pPr>
        <w:ind w:left="640" w:right="460" w:hanging="317"/>
        <w:spacing w:after="0" w:line="261"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Satisfactory completion of the drug screening. Failure to pass or take the drug test will result in a withdrawal of our offer of employment.</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offer packet constitutes the entire offer between you and AeroVironment. It supersedes all previous communications, representations and understandings, either oral or written.</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By signing below you acknowledge your understanding that your employment with AeroVironment is at-will. As such the terms of this offer letter are not intended and shall not be deemed a contract of employment. Continued employment is based on performance and the needs of the business.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57" w:right="919" w:bottom="1440" w:gutter="0" w:footer="0" w:header="0"/>
        </w:sectPr>
      </w:pPr>
    </w:p>
    <w:bookmarkStart w:id="81" w:name="page82"/>
    <w:bookmarkEnd w:id="81"/>
    <w:p>
      <w:pPr>
        <w:ind w:left="1" w:right="240"/>
        <w:spacing w:after="0" w:line="291" w:lineRule="auto"/>
        <w:rPr>
          <w:sz w:val="20"/>
          <w:szCs w:val="20"/>
          <w:color w:val="auto"/>
        </w:rPr>
      </w:pPr>
      <w:r>
        <w:rPr>
          <w:rFonts w:ascii="Arial" w:cs="Arial" w:eastAsia="Arial" w:hAnsi="Arial"/>
          <w:sz w:val="16"/>
          <w:szCs w:val="16"/>
          <w:color w:val="auto"/>
        </w:rPr>
        <w:t xml:space="preserve">To accept this offer, please sign this letter below and return it to the department of People and Culture. This offer will remain valid until </w:t>
      </w:r>
      <w:r>
        <w:rPr>
          <w:rFonts w:ascii="Arial" w:cs="Arial" w:eastAsia="Arial" w:hAnsi="Arial"/>
          <w:sz w:val="16"/>
          <w:szCs w:val="16"/>
          <w:b w:val="1"/>
          <w:bCs w:val="1"/>
          <w:u w:val="single" w:color="auto"/>
          <w:color w:val="auto"/>
        </w:rPr>
        <w:t>January 8, 2020</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assumes that you will begin employment 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February 3, 2020.</w:t>
      </w:r>
      <w:r>
        <w:rPr>
          <w:rFonts w:ascii="Arial" w:cs="Arial" w:eastAsia="Arial" w:hAnsi="Arial"/>
          <w:sz w:val="16"/>
          <w:szCs w:val="16"/>
          <w:b w:val="1"/>
          <w:bCs w:val="1"/>
          <w:color w:val="auto"/>
        </w:rPr>
        <w:t xml:space="preserve"> </w:t>
      </w:r>
      <w:r>
        <w:rPr>
          <w:rFonts w:ascii="Arial" w:cs="Arial" w:eastAsia="Arial" w:hAnsi="Arial"/>
          <w:sz w:val="16"/>
          <w:szCs w:val="16"/>
          <w:color w:val="auto"/>
        </w:rPr>
        <w:t>If you have any questions, please contact me at</w:t>
      </w:r>
    </w:p>
    <w:p>
      <w:pPr>
        <w:ind w:left="1" w:right="8220" w:hanging="1"/>
        <w:spacing w:after="0" w:line="492" w:lineRule="auto"/>
        <w:tabs>
          <w:tab w:leader="none" w:pos="4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581-2198 ext.1904. Sincerely,</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auto"/>
        </w:rPr>
        <w:t>/s/ Alison Roelke</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Alison Roelke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984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1"/>
        <w:spacing w:after="0"/>
        <w:rPr>
          <w:sz w:val="20"/>
          <w:szCs w:val="20"/>
          <w:color w:val="auto"/>
        </w:rPr>
      </w:pPr>
      <w:r>
        <w:rPr>
          <w:rFonts w:ascii="Arial" w:cs="Arial" w:eastAsia="Arial" w:hAnsi="Arial"/>
          <w:sz w:val="18"/>
          <w:szCs w:val="18"/>
          <w:color w:val="auto"/>
        </w:rPr>
        <w:t>Vice President, People &amp; Culture</w:t>
      </w:r>
    </w:p>
    <w:p>
      <w:pPr>
        <w:spacing w:after="0" w:line="211" w:lineRule="exact"/>
        <w:rPr>
          <w:sz w:val="20"/>
          <w:szCs w:val="20"/>
          <w:color w:val="auto"/>
        </w:rPr>
      </w:pPr>
    </w:p>
    <w:p>
      <w:pPr>
        <w:ind w:left="1" w:right="80"/>
        <w:spacing w:after="0" w:line="264" w:lineRule="auto"/>
        <w:rPr>
          <w:sz w:val="20"/>
          <w:szCs w:val="20"/>
          <w:color w:val="auto"/>
        </w:rPr>
      </w:pPr>
      <w:r>
        <w:rPr>
          <w:rFonts w:ascii="Arial" w:cs="Arial" w:eastAsia="Arial" w:hAnsi="Arial"/>
          <w:sz w:val="18"/>
          <w:szCs w:val="18"/>
          <w:color w:val="auto"/>
        </w:rPr>
        <w:t>I accept the offer and conditions described in this letter. My signature below acknowledges that I have given my prior permission to begin the pre-employment background check including References, Criminal History, Education, DMV, Drug Screening and credit check as it applies to my position.</w:t>
      </w:r>
    </w:p>
    <w:p>
      <w:pPr>
        <w:spacing w:after="0" w:line="181"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 Kevin McDonnell</w:t>
            </w:r>
          </w:p>
        </w:tc>
        <w:tc>
          <w:tcPr>
            <w:tcW w:w="4680" w:type="dxa"/>
            <w:vAlign w:val="bottom"/>
          </w:tcPr>
          <w:p>
            <w:pPr>
              <w:spacing w:after="0"/>
              <w:rPr>
                <w:sz w:val="20"/>
                <w:szCs w:val="20"/>
                <w:color w:val="auto"/>
              </w:rPr>
            </w:pPr>
            <w:r>
              <w:rPr>
                <w:rFonts w:ascii="Arial" w:cs="Arial" w:eastAsia="Arial" w:hAnsi="Arial"/>
                <w:sz w:val="18"/>
                <w:szCs w:val="18"/>
                <w:color w:val="auto"/>
              </w:rPr>
              <w:t>1-13-2020</w:t>
            </w:r>
          </w:p>
        </w:tc>
      </w:tr>
      <w:tr>
        <w:trPr>
          <w:trHeight w:val="224"/>
        </w:trPr>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McDonnell</w:t>
            </w:r>
          </w:p>
        </w:tc>
        <w:tc>
          <w:tcPr>
            <w:tcW w:w="34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57" w:right="91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Wahid Nawabi, certify that:</w:t>
      </w:r>
    </w:p>
    <w:p>
      <w:pPr>
        <w:spacing w:after="0" w:line="144" w:lineRule="exact"/>
        <w:rPr>
          <w:sz w:val="20"/>
          <w:szCs w:val="20"/>
          <w:color w:val="auto"/>
        </w:rPr>
      </w:pPr>
    </w:p>
    <w:p>
      <w:pPr>
        <w:ind w:left="360" w:hanging="357"/>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7"/>
        <w:spacing w:after="0" w:line="224" w:lineRule="auto"/>
        <w:tabs>
          <w:tab w:leader="none" w:pos="3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Kevin P. McDonnell, certify that:</w:t>
      </w:r>
    </w:p>
    <w:p>
      <w:pPr>
        <w:spacing w:after="0" w:line="144" w:lineRule="exact"/>
        <w:rPr>
          <w:sz w:val="20"/>
          <w:szCs w:val="20"/>
          <w:color w:val="auto"/>
        </w:rPr>
      </w:pPr>
    </w:p>
    <w:p>
      <w:pPr>
        <w:ind w:left="360" w:hanging="355"/>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5"/>
        <w:spacing w:after="0" w:line="224" w:lineRule="auto"/>
        <w:tabs>
          <w:tab w:leader="none" w:pos="3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2020</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Kevin P. McDonnell</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28" w:lineRule="exact"/>
        <w:rPr>
          <w:sz w:val="20"/>
          <w:szCs w:val="20"/>
          <w:color w:val="auto"/>
        </w:rPr>
      </w:pPr>
    </w:p>
    <w:p>
      <w:pPr>
        <w:jc w:val="both"/>
        <w:ind w:right="200" w:firstLine="486"/>
        <w:spacing w:after="0" w:line="22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23" w:lineRule="exact"/>
        <w:rPr>
          <w:sz w:val="20"/>
          <w:szCs w:val="20"/>
          <w:color w:val="auto"/>
        </w:rPr>
      </w:pPr>
    </w:p>
    <w:p>
      <w:pPr>
        <w:ind w:right="140" w:firstLine="486"/>
        <w:spacing w:after="0" w:line="219" w:lineRule="auto"/>
        <w:rPr>
          <w:sz w:val="20"/>
          <w:szCs w:val="20"/>
          <w:color w:val="auto"/>
        </w:rPr>
      </w:pPr>
      <w:r>
        <w:rPr>
          <w:rFonts w:ascii="Arial" w:cs="Arial" w:eastAsia="Arial" w:hAnsi="Arial"/>
          <w:sz w:val="18"/>
          <w:szCs w:val="18"/>
          <w:color w:val="auto"/>
        </w:rPr>
        <w:t>The Quarterly Report on Form 10-Q for the quarter ended January 25, 2020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1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Kevin P. McDonnell</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2020</w:t>
      </w:r>
    </w:p>
    <w:p>
      <w:pPr>
        <w:spacing w:after="0" w:line="144" w:lineRule="exact"/>
        <w:rPr>
          <w:sz w:val="20"/>
          <w:szCs w:val="20"/>
          <w:color w:val="auto"/>
        </w:rPr>
      </w:pPr>
    </w:p>
    <w:p>
      <w:pPr>
        <w:ind w:right="360" w:firstLine="486"/>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1"/>
    </w:lvl>
    <w:lvl w:ilvl="1">
      <w:lvlJc w:val="left"/>
      <w:lvlText w:val="%2"/>
      <w:numFmt w:val="decimal"/>
      <w:start w:val="104"/>
    </w:lvl>
  </w:abstractNum>
  <w:abstractNum w:abstractNumId="8">
    <w:nsid w:val="4516DDE9"/>
    <w:multiLevelType w:val="hybridMultilevel"/>
    <w:lvl w:ilvl="0">
      <w:lvlJc w:val="left"/>
      <w:lvlText w:val="(%1)"/>
      <w:numFmt w:val="decimal"/>
      <w:start w:val="1"/>
    </w:lvl>
    <w:lvl w:ilvl="1">
      <w:lvlJc w:val="left"/>
      <w:lvlText w:val="%2"/>
      <w:numFmt w:val="decimal"/>
      <w:start w:val="1"/>
    </w:lvl>
  </w:abstractNum>
  <w:abstractNum w:abstractNumId="9">
    <w:nsid w:val="3006C83E"/>
    <w:multiLevelType w:val="hybridMultilevel"/>
    <w:lvl w:ilvl="0">
      <w:lvlJc w:val="left"/>
      <w:lvlText w:val="ǂ"/>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2"/>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2"/>
    </w:lvl>
    <w:lvl w:ilvl="1">
      <w:lvlJc w:val="left"/>
      <w:lvlText w:val="·"/>
      <w:numFmt w:val="bullet"/>
      <w:start w:val="1"/>
    </w:lvl>
  </w:abstractNum>
  <w:abstractNum w:abstractNumId="15">
    <w:nsid w:val="3804823E"/>
    <w:multiLevelType w:val="hybridMultilevel"/>
    <w:lvl w:ilvl="0">
      <w:lvlJc w:val="left"/>
      <w:lvlText w:val="%1."/>
      <w:numFmt w:val="decimal"/>
      <w:start w:val="5"/>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5"/>
    </w:lvl>
    <w:lvl w:ilvl="1">
      <w:lvlJc w:val="left"/>
      <w:lvlText w:val="·"/>
      <w:numFmt w:val="bullet"/>
      <w:start w:val="1"/>
    </w:lvl>
  </w:abstractNum>
  <w:abstractNum w:abstractNumId="18">
    <w:nsid w:val="5C482A97"/>
    <w:multiLevelType w:val="hybridMultilevel"/>
    <w:lvl w:ilvl="0">
      <w:lvlJc w:val="left"/>
      <w:lvlText w:val="%1)"/>
      <w:numFmt w:val="decimal"/>
      <w:start w:val="7"/>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7"/>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lowerLetter"/>
      <w:start w:val="1"/>
    </w:lvl>
    <w:lvl w:ilvl="1">
      <w:lvlJc w:val="left"/>
      <w:lvlText w:val="(%2)"/>
      <w:numFmt w:val="decimal"/>
      <w:start w:val="1"/>
    </w:lvl>
  </w:abstractNum>
  <w:abstractNum w:abstractNumId="30">
    <w:nsid w:val="725A06FB"/>
    <w:multiLevelType w:val="hybridMultilevel"/>
    <w:lvl w:ilvl="0">
      <w:lvlJc w:val="left"/>
      <w:lvlText w:val="%1."/>
      <w:numFmt w:val="decimal"/>
      <w:start w:val="2"/>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4"/>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A"/>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o"/>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805"/>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jpeg"/><Relationship Id="rId84" Type="http://schemas.openxmlformats.org/officeDocument/2006/relationships/image" Target="media/image75.png"/><Relationship Id="rId85" Type="http://schemas.openxmlformats.org/officeDocument/2006/relationships/image" Target="media/image76.jpe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jpe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jpeg"/><Relationship Id="rId102" Type="http://schemas.openxmlformats.org/officeDocument/2006/relationships/image" Target="media/image93.png"/><Relationship Id="rId103" Type="http://schemas.openxmlformats.org/officeDocument/2006/relationships/image" Target="media/image94.jpe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jpeg"/><Relationship Id="rId112" Type="http://schemas.openxmlformats.org/officeDocument/2006/relationships/image" Target="media/image103.png"/><Relationship Id="rId113" Type="http://schemas.openxmlformats.org/officeDocument/2006/relationships/image" Target="media/image104.jpeg"/><Relationship Id="rId114" Type="http://schemas.openxmlformats.org/officeDocument/2006/relationships/image" Target="media/image105.png"/><Relationship Id="rId115" Type="http://schemas.openxmlformats.org/officeDocument/2006/relationships/image" Target="media/image106.jpeg"/><Relationship Id="rId116" Type="http://schemas.openxmlformats.org/officeDocument/2006/relationships/image" Target="media/image107.png"/><Relationship Id="rId117" Type="http://schemas.openxmlformats.org/officeDocument/2006/relationships/image" Target="media/image108.jpe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jpe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62" Type="http://schemas.openxmlformats.org/officeDocument/2006/relationships/hyperlink" Target="http://www.sec.gov/Archives/edgar/data/1368622/000095015007000008/a28119exv3w1.htm" TargetMode="External"/><Relationship Id="rId63"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2020-03-04T05:15:27Z</dcterms:created>
  <dcterms:modified xsi:type="dcterms:W3CDTF">2020-03-04T05:15:27Z</dcterms:modified>
</cp:coreProperties>
</file>