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July 28, 2012</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AEROVIRONMENT,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95-2705790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181 W. Huntington Drive, Suite 202</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Monrovia, California</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91016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357-9983</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(Do not check if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24, 2012, the number of shares outstanding of the registrant’s common stock, $0.0001 par value, was 22,262,506.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AeroVironment, Inc.</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Table of Contents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6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900" w:type="dxa"/>
            <w:vAlign w:val="bottom"/>
            <w:gridSpan w:val="4"/>
            <w:shd w:val="clear" w:color="auto" w:fill="CCEEFF"/>
          </w:tcPr>
          <w:p>
            <w:pPr>
              <w:spacing w:after="0"/>
              <w:rPr>
                <w:sz w:val="15"/>
                <w:szCs w:val="15"/>
                <w:color w:val="auto"/>
              </w:rPr>
            </w:pPr>
          </w:p>
        </w:tc>
        <w:tc>
          <w:tcPr>
            <w:tcW w:w="6660" w:type="dxa"/>
            <w:vAlign w:val="bottom"/>
            <w:gridSpan w:val="18"/>
            <w:shd w:val="clear" w:color="auto" w:fill="CCEEFF"/>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80" w:type="dxa"/>
            <w:vAlign w:val="bottom"/>
            <w:gridSpan w:val="17"/>
          </w:tcPr>
          <w:p>
            <w:pPr>
              <w:spacing w:after="0" w:line="176" w:lineRule="exact"/>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July 28, 2012 (Unaudited) and April 30, 2012</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100" w:type="dxa"/>
            <w:vAlign w:val="bottom"/>
            <w:gridSpan w:val="25"/>
            <w:shd w:val="clear" w:color="auto" w:fill="CCEEFF"/>
          </w:tcPr>
          <w:p>
            <w:pPr>
              <w:spacing w:after="0" w:line="17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Consolidated Statements of Operations for the three months ended July 28, 2012 (Unaudited) and July 30, 2011 (Unaudited)</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100" w:type="dxa"/>
            <w:vAlign w:val="bottom"/>
            <w:gridSpan w:val="25"/>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Comprehensive (Loss) Income for the three months ended July 28, 2012 (Unaudited) and July 30,</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2011 (Unaudited)</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100" w:type="dxa"/>
            <w:vAlign w:val="bottom"/>
            <w:gridSpan w:val="25"/>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Cash Flows for the three months ended July 28, 2012 (Unaudited) and July 30, 2011 (Unaudited)</w:t>
              </w:r>
            </w:hyperlink>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60" w:type="dxa"/>
            <w:vAlign w:val="bottom"/>
            <w:gridSpan w:val="1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Notes to Consolidated Financial Statements (Unaudited)</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Item 2.</w:t>
              </w:r>
            </w:hyperlink>
          </w:p>
        </w:tc>
        <w:tc>
          <w:tcPr>
            <w:tcW w:w="900" w:type="dxa"/>
            <w:vAlign w:val="bottom"/>
            <w:tcBorders>
              <w:bottom w:val="single" w:sz="8" w:color="CCEEFF"/>
            </w:tcBorders>
            <w:gridSpan w:val="4"/>
            <w:shd w:val="clear" w:color="auto" w:fill="CCEEFF"/>
          </w:tcPr>
          <w:p>
            <w:pPr>
              <w:spacing w:after="0"/>
              <w:rPr>
                <w:sz w:val="17"/>
                <w:szCs w:val="17"/>
                <w:color w:val="auto"/>
              </w:rPr>
            </w:pPr>
          </w:p>
        </w:tc>
        <w:tc>
          <w:tcPr>
            <w:tcW w:w="64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Management’s Discussion and Analysis of Financial Condition and Results of Operations</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gridSpan w:val="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3.</w:t>
              </w:r>
            </w:hyperlink>
          </w:p>
        </w:tc>
        <w:tc>
          <w:tcPr>
            <w:tcW w:w="6660" w:type="dxa"/>
            <w:vAlign w:val="bottom"/>
            <w:gridSpan w:val="18"/>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Quantitative and Qualitative Disclosures About Market Risk</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Item 4.</w:t>
              </w:r>
            </w:hyperlink>
          </w:p>
        </w:tc>
        <w:tc>
          <w:tcPr>
            <w:tcW w:w="900" w:type="dxa"/>
            <w:vAlign w:val="bottom"/>
            <w:gridSpan w:val="4"/>
            <w:shd w:val="clear" w:color="auto" w:fill="CCEEFF"/>
          </w:tcPr>
          <w:p>
            <w:pPr>
              <w:spacing w:after="0"/>
              <w:rPr>
                <w:sz w:val="17"/>
                <w:szCs w:val="17"/>
                <w:color w:val="auto"/>
              </w:rPr>
            </w:pPr>
          </w:p>
        </w:tc>
        <w:tc>
          <w:tcPr>
            <w:tcW w:w="6660" w:type="dxa"/>
            <w:vAlign w:val="bottom"/>
            <w:gridSpan w:val="18"/>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Controls and Procedures</w:t>
              </w:r>
            </w:hyperlink>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60" w:type="dxa"/>
            <w:vAlign w:val="bottom"/>
            <w:gridSpan w:val="23"/>
            <w:shd w:val="clear" w:color="auto" w:fill="CCEEFF"/>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 OTHER INFORMATION</w:t>
              </w:r>
            </w:hyperlink>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1.</w:t>
              </w:r>
            </w:hyperlink>
          </w:p>
        </w:tc>
        <w:tc>
          <w:tcPr>
            <w:tcW w:w="900" w:type="dxa"/>
            <w:vAlign w:val="bottom"/>
            <w:gridSpan w:val="4"/>
            <w:shd w:val="clear" w:color="auto" w:fill="CCEEFF"/>
          </w:tcPr>
          <w:p>
            <w:pPr>
              <w:spacing w:after="0"/>
              <w:rPr>
                <w:sz w:val="15"/>
                <w:szCs w:val="15"/>
                <w:color w:val="auto"/>
              </w:rPr>
            </w:pPr>
          </w:p>
        </w:tc>
        <w:tc>
          <w:tcPr>
            <w:tcW w:w="6660" w:type="dxa"/>
            <w:vAlign w:val="bottom"/>
            <w:gridSpan w:val="18"/>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00" w:type="dxa"/>
            <w:vAlign w:val="bottom"/>
            <w:gridSpan w:val="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6660" w:type="dxa"/>
            <w:vAlign w:val="bottom"/>
            <w:gridSpan w:val="18"/>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2.</w:t>
              </w:r>
            </w:hyperlink>
          </w:p>
        </w:tc>
        <w:tc>
          <w:tcPr>
            <w:tcW w:w="900" w:type="dxa"/>
            <w:vAlign w:val="bottom"/>
            <w:gridSpan w:val="4"/>
            <w:shd w:val="clear" w:color="auto" w:fill="CCEEFF"/>
          </w:tcPr>
          <w:p>
            <w:pPr>
              <w:spacing w:after="0"/>
              <w:rPr>
                <w:sz w:val="17"/>
                <w:szCs w:val="17"/>
                <w:color w:val="auto"/>
              </w:rPr>
            </w:pPr>
          </w:p>
        </w:tc>
        <w:tc>
          <w:tcPr>
            <w:tcW w:w="6660" w:type="dxa"/>
            <w:vAlign w:val="bottom"/>
            <w:gridSpan w:val="18"/>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Unregistered Sales of Equity Securities and Use of Proceeds</w:t>
              </w:r>
            </w:hyperlink>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3.</w:t>
              </w:r>
            </w:hyperlink>
          </w:p>
        </w:tc>
        <w:tc>
          <w:tcPr>
            <w:tcW w:w="900" w:type="dxa"/>
            <w:vAlign w:val="bottom"/>
            <w:tcBorders>
              <w:top w:val="single" w:sz="8" w:color="CCEEFF"/>
            </w:tcBorders>
            <w:gridSpan w:val="4"/>
          </w:tcPr>
          <w:p>
            <w:pPr>
              <w:spacing w:after="0"/>
              <w:rPr>
                <w:sz w:val="15"/>
                <w:szCs w:val="15"/>
                <w:color w:val="auto"/>
              </w:rPr>
            </w:pPr>
          </w:p>
        </w:tc>
        <w:tc>
          <w:tcPr>
            <w:tcW w:w="434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Defaults Upon Senior Securities</w:t>
              </w:r>
            </w:hyperlink>
          </w:p>
        </w:tc>
        <w:tc>
          <w:tcPr>
            <w:tcW w:w="2320" w:type="dxa"/>
            <w:vAlign w:val="bottom"/>
            <w:tcBorders>
              <w:top w:val="single" w:sz="8" w:color="CCEEFF"/>
            </w:tcBorders>
            <w:gridSpan w:val="4"/>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4.</w:t>
              </w:r>
            </w:hyperlink>
          </w:p>
        </w:tc>
        <w:tc>
          <w:tcPr>
            <w:tcW w:w="900" w:type="dxa"/>
            <w:vAlign w:val="bottom"/>
            <w:gridSpan w:val="4"/>
            <w:shd w:val="clear" w:color="auto" w:fill="CCEEFF"/>
          </w:tcPr>
          <w:p>
            <w:pPr>
              <w:spacing w:after="0"/>
              <w:rPr>
                <w:sz w:val="17"/>
                <w:szCs w:val="17"/>
                <w:color w:val="auto"/>
              </w:rPr>
            </w:pPr>
          </w:p>
        </w:tc>
        <w:tc>
          <w:tcPr>
            <w:tcW w:w="6660" w:type="dxa"/>
            <w:vAlign w:val="bottom"/>
            <w:gridSpan w:val="18"/>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Mine Safety Disclosures</w:t>
              </w:r>
            </w:hyperlink>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5.</w:t>
              </w:r>
            </w:hyperlink>
          </w:p>
        </w:tc>
        <w:tc>
          <w:tcPr>
            <w:tcW w:w="900" w:type="dxa"/>
            <w:vAlign w:val="bottom"/>
            <w:tcBorders>
              <w:top w:val="single" w:sz="8" w:color="CCEEFF"/>
            </w:tcBorders>
            <w:gridSpan w:val="4"/>
          </w:tcPr>
          <w:p>
            <w:pPr>
              <w:spacing w:after="0"/>
              <w:rPr>
                <w:sz w:val="15"/>
                <w:szCs w:val="15"/>
                <w:color w:val="auto"/>
              </w:rPr>
            </w:pPr>
          </w:p>
        </w:tc>
        <w:tc>
          <w:tcPr>
            <w:tcW w:w="176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Other Information</w:t>
              </w:r>
            </w:hyperlink>
          </w:p>
        </w:tc>
        <w:tc>
          <w:tcPr>
            <w:tcW w:w="4900" w:type="dxa"/>
            <w:vAlign w:val="bottom"/>
            <w:tcBorders>
              <w:top w:val="single" w:sz="8" w:color="CCEEFF"/>
            </w:tcBorders>
            <w:gridSpan w:val="7"/>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6.</w:t>
              </w:r>
            </w:hyperlink>
          </w:p>
        </w:tc>
        <w:tc>
          <w:tcPr>
            <w:tcW w:w="90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Exhibits</w:t>
              </w:r>
            </w:hyperlink>
          </w:p>
        </w:tc>
        <w:tc>
          <w:tcPr>
            <w:tcW w:w="6060" w:type="dxa"/>
            <w:vAlign w:val="bottom"/>
            <w:tcBorders>
              <w:bottom w:val="single" w:sz="8" w:color="CCEEFF"/>
            </w:tcBorders>
            <w:gridSpan w:val="15"/>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gridSpan w:val="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Signatures</w:t>
              </w:r>
            </w:hyperlink>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Exhibit Index</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14"/>
          </w:tcPr>
          <w:p>
            <w:pPr>
              <w:jc w:val="center"/>
              <w:ind w:left="415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20" w:type="dxa"/>
            <w:vAlign w:val="bottom"/>
            <w:gridSpan w:val="6"/>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4"/>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AeroVironment,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July 28,</w:t>
            </w:r>
          </w:p>
        </w:tc>
        <w:tc>
          <w:tcPr>
            <w:tcW w:w="15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136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53,210</w:t>
            </w:r>
          </w:p>
        </w:tc>
        <w:tc>
          <w:tcPr>
            <w:tcW w:w="5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ind w:left="1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69,473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23"/>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 of $1,139 at July 28, 2012 and $921 at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gridSpan w:val="23"/>
            <w:shd w:val="clear" w:color="auto" w:fill="CCEEFF"/>
          </w:tcPr>
          <w:p>
            <w:pPr>
              <w:ind w:left="340"/>
              <w:spacing w:after="0"/>
              <w:rPr>
                <w:sz w:val="20"/>
                <w:szCs w:val="20"/>
                <w:color w:val="auto"/>
              </w:rPr>
            </w:pPr>
            <w:r>
              <w:rPr>
                <w:rFonts w:ascii="Arial" w:cs="Arial" w:eastAsia="Arial" w:hAnsi="Arial"/>
                <w:sz w:val="18"/>
                <w:szCs w:val="18"/>
                <w:color w:val="auto"/>
              </w:rPr>
              <w:t>April 30, 2012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49,880</w:t>
            </w: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ind w:left="160"/>
              <w:spacing w:after="0"/>
              <w:rPr>
                <w:sz w:val="20"/>
                <w:szCs w:val="20"/>
                <w:color w:val="auto"/>
              </w:rPr>
            </w:pPr>
            <w:r>
              <w:rPr>
                <w:rFonts w:ascii="Arial" w:cs="Arial" w:eastAsia="Arial" w:hAnsi="Arial"/>
                <w:sz w:val="18"/>
                <w:szCs w:val="18"/>
                <w:color w:val="auto"/>
              </w:rPr>
              <w:t>Unbilled receivables and retentions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23,258</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9"/>
              </w:rPr>
              <w:t>Inventories,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44,505</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ind w:left="16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1,755</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9,336</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3,568</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87"/>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254,985</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281,769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56,958</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23,131</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5,184</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20" w:type="dxa"/>
            <w:vAlign w:val="bottom"/>
            <w:gridSpan w:val="6"/>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340,488</w:t>
            </w:r>
          </w:p>
        </w:tc>
        <w:tc>
          <w:tcPr>
            <w:tcW w:w="28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369,151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60" w:type="dxa"/>
            <w:vAlign w:val="bottom"/>
            <w:tcBorders>
              <w:top w:val="single" w:sz="8" w:color="CCEEFF"/>
            </w:tcBorders>
            <w:gridSpan w:val="2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w w:val="99"/>
              </w:rPr>
              <w:t>Current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13,085</w:t>
            </w:r>
          </w:p>
        </w:tc>
        <w:tc>
          <w:tcPr>
            <w:tcW w:w="5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ind w:left="160"/>
              <w:spacing w:after="0"/>
              <w:rPr>
                <w:sz w:val="20"/>
                <w:szCs w:val="20"/>
                <w:color w:val="auto"/>
              </w:rPr>
            </w:pPr>
            <w:r>
              <w:rPr>
                <w:rFonts w:ascii="Arial" w:cs="Arial" w:eastAsia="Arial" w:hAnsi="Arial"/>
                <w:sz w:val="18"/>
                <w:szCs w:val="18"/>
                <w:color w:val="auto"/>
              </w:rPr>
              <w:t>Wages and related accruals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10,162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ind w:left="160"/>
              <w:spacing w:after="0"/>
              <w:rPr>
                <w:sz w:val="20"/>
                <w:szCs w:val="20"/>
                <w:color w:val="auto"/>
              </w:rPr>
            </w:pPr>
            <w:r>
              <w:rPr>
                <w:rFonts w:ascii="Arial" w:cs="Arial" w:eastAsia="Arial" w:hAnsi="Arial"/>
                <w:sz w:val="18"/>
                <w:szCs w:val="18"/>
                <w:color w:val="auto"/>
              </w:rPr>
              <w:t>Customer advances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5,038</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7,391</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ind w:left="160"/>
              <w:spacing w:after="0"/>
              <w:rPr>
                <w:sz w:val="20"/>
                <w:szCs w:val="20"/>
                <w:color w:val="auto"/>
              </w:rPr>
            </w:pPr>
            <w:r>
              <w:rPr>
                <w:rFonts w:ascii="Arial" w:cs="Arial" w:eastAsia="Arial" w:hAnsi="Arial"/>
                <w:sz w:val="18"/>
                <w:szCs w:val="18"/>
                <w:color w:val="auto"/>
              </w:rPr>
              <w:t>Liability for uncertain tax positions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606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gridSpan w:val="2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36,282</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spacing w:after="0"/>
              <w:rPr>
                <w:sz w:val="20"/>
                <w:szCs w:val="20"/>
                <w:color w:val="auto"/>
              </w:rPr>
            </w:pPr>
            <w:r>
              <w:rPr>
                <w:rFonts w:ascii="Arial" w:cs="Arial" w:eastAsia="Arial" w:hAnsi="Arial"/>
                <w:sz w:val="18"/>
                <w:szCs w:val="18"/>
                <w:color w:val="auto"/>
              </w:rPr>
              <w:t>Wages and other accruals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976</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tcPr>
          <w:p>
            <w:pPr>
              <w:spacing w:after="0"/>
              <w:rPr>
                <w:sz w:val="20"/>
                <w:szCs w:val="20"/>
                <w:color w:val="auto"/>
              </w:rPr>
            </w:pPr>
            <w:r>
              <w:rPr>
                <w:rFonts w:ascii="Arial" w:cs="Arial" w:eastAsia="Arial" w:hAnsi="Arial"/>
                <w:sz w:val="18"/>
                <w:szCs w:val="18"/>
                <w:color w:val="auto"/>
              </w:rPr>
              <w:t>Liability for uncertain tax positions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4,026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gridSpan w:val="23"/>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-6210935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-6210935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5" w:orient="portrait"/>
          <w:cols w:equalWidth="0" w:num="1">
            <w:col w:w="11460"/>
          </w:cols>
          <w:pgMar w:left="240" w:top="337"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$0.0001 par value: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Authorized shares — 10,000,000; none issued or outstanding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 $0.0001 par value: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Authorized shares — 100,000,000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Issued and outstanding shares — 22,262,506 at July 28, 2012 and 22,243,903 at April 30, 2012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126,309</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124,954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173,550</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174,936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299,204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340,488</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20" w:type="dxa"/>
            <w:vAlign w:val="bottom"/>
            <w:gridSpan w:val="3"/>
          </w:tcPr>
          <w:p>
            <w:pPr>
              <w:jc w:val="center"/>
              <w:ind w:left="1470"/>
              <w:spacing w:after="0"/>
              <w:rPr>
                <w:sz w:val="20"/>
                <w:szCs w:val="20"/>
                <w:color w:val="auto"/>
              </w:rPr>
            </w:pPr>
            <w:r>
              <w:rPr>
                <w:rFonts w:ascii="Arial" w:cs="Arial" w:eastAsia="Arial" w:hAnsi="Arial"/>
                <w:sz w:val="18"/>
                <w:szCs w:val="18"/>
                <w:color w:val="auto"/>
                <w:w w:val="89"/>
              </w:rPr>
              <w:t>See accompanying notes to consolidated financial statements (unaudited).</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jc w:val="center"/>
              <w:ind w:left="3330"/>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20" w:type="dxa"/>
            <w:vAlign w:val="bottom"/>
          </w:tcPr>
          <w:p>
            <w:pPr>
              <w:jc w:val="center"/>
              <w:ind w:left="2050"/>
              <w:spacing w:after="0"/>
              <w:rPr>
                <w:sz w:val="20"/>
                <w:szCs w:val="20"/>
                <w:color w:val="auto"/>
              </w:rPr>
            </w:pPr>
            <w:r>
              <w:rPr>
                <w:rFonts w:ascii="Arial" w:cs="Arial" w:eastAsia="Arial" w:hAnsi="Arial"/>
                <w:sz w:val="18"/>
                <w:szCs w:val="18"/>
                <w:b w:val="1"/>
                <w:bCs w:val="1"/>
                <w:color w:val="auto"/>
                <w:w w:val="92"/>
              </w:rPr>
              <w:t>AeroVironment, Inc.</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Consolidated Statements of Operations (Unaudited)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jc w:val="center"/>
              <w:ind w:left="207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July 28,</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3"/>
              <w:spacing w:after="0" w:line="119" w:lineRule="exact"/>
              <w:rPr>
                <w:sz w:val="20"/>
                <w:szCs w:val="20"/>
                <w:color w:val="auto"/>
              </w:rPr>
            </w:pPr>
            <w:r>
              <w:rPr>
                <w:rFonts w:ascii="Arial" w:cs="Arial" w:eastAsia="Arial" w:hAnsi="Arial"/>
                <w:sz w:val="13"/>
                <w:szCs w:val="13"/>
                <w:b w:val="1"/>
                <w:bCs w:val="1"/>
                <w:color w:val="auto"/>
              </w:rPr>
              <w:t>July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28,690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29,299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services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29,987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32,698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58,677</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20,559</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services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18,613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22,410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39,172</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13,621</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13,700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(Loss) earnings per share data:</w:t>
            </w: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9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21,929,455</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21,724,053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21,929,455</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22,238,117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20" w:type="dxa"/>
            <w:vAlign w:val="bottom"/>
            <w:gridSpan w:val="3"/>
          </w:tcPr>
          <w:p>
            <w:pPr>
              <w:jc w:val="center"/>
              <w:ind w:left="1470"/>
              <w:spacing w:after="0"/>
              <w:rPr>
                <w:sz w:val="20"/>
                <w:szCs w:val="20"/>
                <w:color w:val="auto"/>
              </w:rPr>
            </w:pPr>
            <w:r>
              <w:rPr>
                <w:rFonts w:ascii="Arial" w:cs="Arial" w:eastAsia="Arial" w:hAnsi="Arial"/>
                <w:sz w:val="18"/>
                <w:szCs w:val="18"/>
                <w:color w:val="auto"/>
                <w:w w:val="89"/>
              </w:rPr>
              <w:t>See accompanying notes to consolidated financial statements (unaudited).</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jc w:val="center"/>
              <w:ind w:left="3330"/>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20" w:type="dxa"/>
            <w:vAlign w:val="bottom"/>
          </w:tcPr>
          <w:p>
            <w:pPr>
              <w:jc w:val="center"/>
              <w:ind w:left="2050"/>
              <w:spacing w:after="0"/>
              <w:rPr>
                <w:sz w:val="20"/>
                <w:szCs w:val="20"/>
                <w:color w:val="auto"/>
              </w:rPr>
            </w:pPr>
            <w:r>
              <w:rPr>
                <w:rFonts w:ascii="Arial" w:cs="Arial" w:eastAsia="Arial" w:hAnsi="Arial"/>
                <w:sz w:val="18"/>
                <w:szCs w:val="18"/>
                <w:b w:val="1"/>
                <w:bCs w:val="1"/>
                <w:color w:val="auto"/>
                <w:w w:val="92"/>
              </w:rPr>
              <w:t>AeroVironment, Inc.</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2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89"/>
              </w:rPr>
              <w:t>Consolidated Statements of Comprehensive (Loss) Income (Unaudited)</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jc w:val="center"/>
              <w:ind w:left="207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July 28,</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3"/>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 on investments, net of tax</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gridSpan w:val="3"/>
          </w:tcPr>
          <w:p>
            <w:pPr>
              <w:spacing w:after="0"/>
              <w:rPr>
                <w:sz w:val="20"/>
                <w:szCs w:val="20"/>
                <w:color w:val="auto"/>
              </w:rPr>
            </w:pPr>
            <w:r>
              <w:rPr>
                <w:rFonts w:ascii="Arial" w:cs="Arial" w:eastAsia="Arial" w:hAnsi="Arial"/>
                <w:sz w:val="18"/>
                <w:szCs w:val="18"/>
                <w:color w:val="auto"/>
              </w:rPr>
              <w:t>Total comprehensive (loss) income</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-7445375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-7445375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-2102485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-2102485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40" w:right="199"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July 28,</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1"/>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(loss) income</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(1,386)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cash (used in) provided by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2,932</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Tax benefit from exercise of stock options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stock-based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Unbilled receivables and retentions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3,776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(1,755)</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(7,128)</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(21,183)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(17,770)</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Acquisitions of property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(2,548)</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sales of held-to-maturity investments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9,064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sales of available-for-sale investments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64,220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62,041</w:t>
            </w:r>
          </w:p>
        </w:tc>
        <w:tc>
          <w:tcPr>
            <w:tcW w:w="0" w:type="dxa"/>
            <w:vAlign w:val="bottom"/>
          </w:tcPr>
          <w:p>
            <w:pPr>
              <w:spacing w:after="0"/>
              <w:rPr>
                <w:sz w:val="1"/>
                <w:szCs w:val="1"/>
                <w:color w:val="auto"/>
              </w:rPr>
            </w:pPr>
          </w:p>
        </w:tc>
      </w:tr>
      <w:tr>
        <w:trPr>
          <w:trHeight w:val="250"/>
        </w:trPr>
        <w:tc>
          <w:tcPr>
            <w:tcW w:w="80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53,210</w:t>
            </w:r>
          </w:p>
        </w:tc>
        <w:tc>
          <w:tcPr>
            <w:tcW w:w="2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Supplemental disclosure: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Unrealized gains on long-term investments recorded in other comprehensive income, net of deferred taxes of</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$24 and $2, respectively</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Reclassification from share-based liability compensation to equity</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AeroVironment, Inc., a Delaware corporation (the “Company”), is engaged in the design, development, production, support and operation of unmanned aircraft systems and efficient energy systems for various industries and governmental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for interim financial information and with the instructions of Form 10-Q and Article 10 of Regulation S-X. Accordingly, they do not include all of the information and footnotes required by accounting principles generally accepted in the United States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July 28, 2012 are not necessarily indicative of the results for the full year ending April 30, 2013. For further information, refer to the consolidated financial statements and footnotes thereto for the year ended April 30, 2012, included in the Company’s Annual Report on Form 10-K.</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ectPr>
          <w:pgSz w:w="11900" w:h="16838" w:orient="portrait"/>
          <w:cols w:equalWidth="0" w:num="1">
            <w:col w:w="11420"/>
          </w:cols>
          <w:pgMar w:left="240" w:top="337" w:right="239" w:bottom="121" w:gutter="0" w:footer="0" w:header="0"/>
        </w:sectPr>
      </w:pPr>
    </w:p>
    <w:bookmarkStart w:id="4" w:name="page5"/>
    <w:bookmarkEnd w:id="4"/>
    <w:p>
      <w:pPr>
        <w:ind w:right="92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significant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(“R&amp;D”) activities and assessing performance. The Company’s reportable segments are business units that offer different products and services and are managed separately.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investments are accounted for as held-to-maturity and available-for-sale and reported at amortized cost and fair value,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billing rates, may create an additional receivable or liability for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example, during the course of its audits, the DCAA may question the Company’s incurred project costs, and if the DCAA believes the Company has accounted for such costs in a manner inconsistent with the requirements under Federal Acquisition Regulations, the DCAA auditor may recommend to the Company’s administrative contracting officer to disallow such costs. The Company can provide no assurance that the DCAA or other government audits will not result in material disallowances for incurred costs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Earnings Per Share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Basic (loss) earnings per share is computed using the weighted-average number of common shares outstanding, excluding shares of unvested restricted stock. The dilutive effect of potential common shares outstanding is included in diluted earnings per share and excludes any anti-dilutive effects of options and shares of unvested restricted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30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July 28,</w:t>
            </w:r>
          </w:p>
        </w:tc>
        <w:tc>
          <w:tcPr>
            <w:tcW w:w="1380" w:type="dxa"/>
            <w:vAlign w:val="bottom"/>
            <w:tcBorders>
              <w:top w:val="single" w:sz="8" w:color="auto"/>
            </w:tcBorders>
          </w:tcPr>
          <w:p>
            <w:pPr>
              <w:jc w:val="right"/>
              <w:ind w:right="378"/>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gridSpan w:val="2"/>
          </w:tcPr>
          <w:p>
            <w:pPr>
              <w:spacing w:after="0"/>
              <w:rPr>
                <w:sz w:val="10"/>
                <w:szCs w:val="10"/>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for basic (loss) earnings per share:</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30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 excluding unvested 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21,929,455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21,724,053</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employee stock options and unvested restricted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514,064</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ind w:left="180"/>
              <w:spacing w:after="0"/>
              <w:rPr>
                <w:sz w:val="20"/>
                <w:szCs w:val="20"/>
                <w:color w:val="auto"/>
              </w:rPr>
            </w:pPr>
            <w:r>
              <w:rPr>
                <w:rFonts w:ascii="Arial" w:cs="Arial" w:eastAsia="Arial" w:hAnsi="Arial"/>
                <w:sz w:val="18"/>
                <w:szCs w:val="18"/>
                <w:color w:val="auto"/>
              </w:rPr>
              <w:t>Denominator for diluted (loss) earnings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21,929,455</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22,238,117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Due to the net loss for the three months ended July 28, 2012, no shares reserved for issuance upon exercise of stock options, restricted stock units or shares of unvested restricted stock were included in the computation of diluted loss per share as their inclusion would have been anti-dilutive. During the three months ended July 30, 2011, certain shares reserved for issuance upon exercise of stock options and shares of unvested restricted stock were not included in the computation of diluted earnings per share because their inclusion would have been anti-dilutive. The number of shares reserved for issuance upon exercise of stock options and shares of unvested restricted stock that met this anti-dilutive criterion for the three months ended July 30, 2011 was approximately 19,000.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May 1, 2012, the Company adopted changes in accordance with guidance issued by the Financial Accounting Standards Board (“FASB”), which requires companies to present the total of comprehensive income, the components of net income, and the components of other comprehensive income either in a single continuous statement of comprehensive income, or in two separate but consecutive statements. The Company elected to adopt the two-statement option. The new guidance eliminated the option to present the components of other comprehensive income as part of the statement of equity. Other than the change in presentation, the adoption of these changes had no material impact on the Company’s consolidated financial statements. The new guidance also required entities to present reclassification adjustments from accumulated other comprehensive income by component in both the statement in which net income is presented and the statement in which other comprehensive income is presented. However, in December 2011, the FASB issued guidance that indefinitely defers the guidance related to the presentation of reclassification adjustments.</w:t>
      </w:r>
    </w:p>
    <w:p>
      <w:pPr>
        <w:spacing w:after="0" w:line="1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May 1, 2012, the Company adopted changes in accordance with guidance issued by the FASB to provide a consistent definition of fair value and to ensure that the fair value measurement and disclosure requirements are similar between U.S. generally accepted accounting principles and International Financial</w:t>
      </w:r>
    </w:p>
    <w:p>
      <w:pPr>
        <w:sectPr>
          <w:pgSz w:w="11900" w:h="16838" w:orient="portrait"/>
          <w:cols w:equalWidth="0" w:num="1">
            <w:col w:w="11420"/>
          </w:cols>
          <w:pgMar w:left="240" w:top="125" w:right="239" w:bottom="0" w:gutter="0" w:footer="0" w:header="0"/>
        </w:sectPr>
      </w:pPr>
    </w:p>
    <w:bookmarkStart w:id="5" w:name="page6"/>
    <w:bookmarkEnd w:id="5"/>
    <w:p>
      <w:pPr>
        <w:ind w:right="40"/>
        <w:spacing w:after="0" w:line="308" w:lineRule="auto"/>
        <w:rPr>
          <w:sz w:val="20"/>
          <w:szCs w:val="20"/>
          <w:color w:val="auto"/>
        </w:rPr>
      </w:pPr>
      <w:r>
        <w:rPr>
          <w:rFonts w:ascii="Arial" w:cs="Arial" w:eastAsia="Arial" w:hAnsi="Arial"/>
          <w:sz w:val="17"/>
          <w:szCs w:val="17"/>
          <w:color w:val="auto"/>
        </w:rPr>
        <w:t>Reporting Standards. The new guidance changed certain fair value measurement principles and enhanced the disclosure requirements, particularly for Level 3 fair value measurements. The adoption of these changes did not have a material impact on the Company’s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28,</w:t>
            </w: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546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2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Held-to-maturity securities:</w:t>
            </w: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securities</w:t>
            </w:r>
          </w:p>
        </w:tc>
        <w:tc>
          <w:tcPr>
            <w:tcW w:w="3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49,263</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5,500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27,889</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short-term investments</w:t>
            </w:r>
          </w:p>
        </w:tc>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Long-term investments:</w:t>
            </w: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6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Held-to-maturity securities:</w:t>
            </w:r>
          </w:p>
        </w:tc>
        <w:tc>
          <w:tcPr>
            <w:tcW w:w="2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Municipal securities</w:t>
            </w:r>
          </w:p>
        </w:tc>
        <w:tc>
          <w:tcPr>
            <w:tcW w:w="31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50,876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52,261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Auction rate securities</w:t>
            </w: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6,082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long-term investments</w:t>
            </w:r>
          </w:p>
        </w:tc>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July 28, 2012 and April 30, 2012, the balance of held-to-maturity securities consisted of state and local government municipal securities and U.S. Treasury bills and notes. Interest earned from these investments is recorded in interest income.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July 28, 2012,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114,849</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5,500</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120,349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101,524</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27,889</w:t>
            </w: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27,888</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129,413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the Company’s held-to-maturity securities by contractual maturity at July 28, 2012,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Due after one year through nine years</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50,876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50,877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July 28, 2012, the entire balance of available-for-sale securities consisted of four investment grade auction rate municipal bonds with maturities ranging from 7 to 22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ectPr>
          <w:pgSz w:w="11900" w:h="16838" w:orient="portrait"/>
          <w:cols w:equalWidth="0" w:num="1">
            <w:col w:w="11420"/>
          </w:cols>
          <w:pgMar w:left="240" w:top="125" w:right="239" w:bottom="0" w:gutter="0" w:footer="0" w:header="0"/>
        </w:sectPr>
      </w:pPr>
    </w:p>
    <w:bookmarkStart w:id="6" w:name="page7"/>
    <w:bookmarkEnd w:id="6"/>
    <w:p>
      <w:pPr>
        <w:ind w:right="220"/>
        <w:spacing w:after="0" w:line="297"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July 28, 2012 until a future auction of these securities is successful or a buyer is found outside of the auction process.</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a result of the failed auctions, the fair values of these securities are estimated utilizing a discounted cash flow analysis as of July 28, 2012.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Based on the Company’s ability to access its cash and cash equivalents, expected operating cash flows, and other sources of cash, the Company does not anticipate the current lack of liquidity of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impairment if a further decline in fair value occurs. The auction rate securities have been in an unrealized loss position for more than 12 months. The Company has the ability and the intent to hold these investments until a recovery of fair value, which may be at maturity and as of July 28, 2012, the Company did not consider these investments to be other-than-temporarily impaired.</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July 28, 2012,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available-for-sale investments as of April 30, 2012,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the Company’s auction rate securities by contractual maturity at July 28, 2012,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through 10 years</w:t>
            </w:r>
          </w:p>
        </w:tc>
        <w:tc>
          <w:tcPr>
            <w:tcW w:w="392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Due after 10 years</w:t>
            </w:r>
          </w:p>
        </w:tc>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5,400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July 28,</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April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tcBorders>
              <w:bottom w:val="single" w:sz="8" w:color="CCEEFF"/>
            </w:tcBorders>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Work in process</w:t>
            </w: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7,417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25,318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Inventories, gross</w:t>
            </w:r>
          </w:p>
        </w:tc>
        <w:tc>
          <w:tcPr>
            <w:tcW w:w="4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47,400</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Inventories, net</w:t>
            </w:r>
          </w:p>
        </w:tc>
        <w:tc>
          <w:tcPr>
            <w:tcW w:w="4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44,505</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200" w:type="dxa"/>
            <w:vAlign w:val="bottom"/>
            <w:vMerge w:val="restart"/>
          </w:tcPr>
          <w:p>
            <w:pPr>
              <w:jc w:val="right"/>
              <w:ind w:right="241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00" w:type="dxa"/>
            <w:vAlign w:val="bottom"/>
            <w:tcBorders>
              <w:bottom w:val="single" w:sz="8" w:color="010101"/>
            </w:tcBorders>
          </w:tcPr>
          <w:p>
            <w:pPr>
              <w:spacing w:after="0"/>
              <w:rPr>
                <w:sz w:val="11"/>
                <w:szCs w:val="11"/>
                <w:color w:val="auto"/>
              </w:rPr>
            </w:pPr>
          </w:p>
        </w:tc>
        <w:tc>
          <w:tcPr>
            <w:tcW w:w="42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24" w:lineRule="exact"/>
        <w:rPr>
          <w:sz w:val="20"/>
          <w:szCs w:val="20"/>
          <w:color w:val="auto"/>
        </w:rPr>
      </w:pPr>
    </w:p>
    <w:p>
      <w:pPr>
        <w:ind w:left="1080" w:right="360" w:hanging="1072"/>
        <w:spacing w:after="0" w:line="277"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1080" w:right="380" w:hanging="1072"/>
        <w:spacing w:after="0" w:line="342" w:lineRule="auto"/>
        <w:tabs>
          <w:tab w:leader="none" w:pos="278"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ectPr>
          <w:pgSz w:w="11900" w:h="16838" w:orient="portrait"/>
          <w:cols w:equalWidth="0" w:num="1">
            <w:col w:w="11460"/>
          </w:cols>
          <w:pgMar w:left="240" w:top="341" w:right="199" w:bottom="0" w:gutter="0" w:footer="0" w:header="0"/>
        </w:sectPr>
      </w:pPr>
    </w:p>
    <w:bookmarkStart w:id="7" w:name="page8"/>
    <w:bookmarkEnd w:id="7"/>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that are unobservable inputs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at July 28, 2012,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 Measurement Using</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Quoted prices in</w:t>
            </w:r>
          </w:p>
        </w:tc>
        <w:tc>
          <w:tcPr>
            <w:tcW w:w="220" w:type="dxa"/>
            <w:vAlign w:val="bottom"/>
          </w:tcPr>
          <w:p>
            <w:pPr>
              <w:spacing w:after="0"/>
              <w:rPr>
                <w:sz w:val="10"/>
                <w:szCs w:val="10"/>
                <w:color w:val="auto"/>
              </w:rPr>
            </w:pPr>
          </w:p>
        </w:tc>
        <w:tc>
          <w:tcPr>
            <w:tcW w:w="1160" w:type="dxa"/>
            <w:vAlign w:val="bottom"/>
          </w:tcPr>
          <w:p>
            <w:pPr>
              <w:jc w:val="center"/>
              <w:ind w:right="144"/>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1"/>
              </w:rPr>
              <w:t>other</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active markets</w:t>
            </w:r>
          </w:p>
        </w:tc>
        <w:tc>
          <w:tcPr>
            <w:tcW w:w="220" w:type="dxa"/>
            <w:vAlign w:val="bottom"/>
          </w:tcPr>
          <w:p>
            <w:pPr>
              <w:spacing w:after="0"/>
              <w:rPr>
                <w:sz w:val="12"/>
                <w:szCs w:val="12"/>
                <w:color w:val="auto"/>
              </w:rPr>
            </w:pPr>
          </w:p>
        </w:tc>
        <w:tc>
          <w:tcPr>
            <w:tcW w:w="11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89"/>
              </w:rPr>
              <w:t>observable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for identical assets</w:t>
            </w:r>
          </w:p>
        </w:tc>
        <w:tc>
          <w:tcPr>
            <w:tcW w:w="220" w:type="dxa"/>
            <w:vAlign w:val="bottom"/>
          </w:tcPr>
          <w:p>
            <w:pPr>
              <w:spacing w:after="0"/>
              <w:rPr>
                <w:sz w:val="12"/>
                <w:szCs w:val="12"/>
                <w:color w:val="auto"/>
              </w:rPr>
            </w:pPr>
          </w:p>
        </w:tc>
        <w:tc>
          <w:tcPr>
            <w:tcW w:w="11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inputs</w:t>
            </w:r>
          </w:p>
        </w:tc>
        <w:tc>
          <w:tcPr>
            <w:tcW w:w="300" w:type="dxa"/>
            <w:vAlign w:val="bottom"/>
          </w:tcPr>
          <w:p>
            <w:pPr>
              <w:spacing w:after="0"/>
              <w:rPr>
                <w:sz w:val="12"/>
                <w:szCs w:val="12"/>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160" w:type="dxa"/>
            <w:vAlign w:val="bottom"/>
          </w:tcPr>
          <w:p>
            <w:pPr>
              <w:jc w:val="center"/>
              <w:ind w:right="144"/>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Due to the auction failures of the Company’s auction rate securities that began in the fourth quarter of fiscal 2008, there are still no quoted prices in active markets for identical assets as of July 28, 2012. Therefore, the Company has classified its auction rate securities as Level 3 financial assets. The following table provides a reconciliation between the beginning and ending balances of items measured at fair value on a recurring basis in the table above that used significant unobservable inputs (Level 3)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Measurements Using</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8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tcPr>
          <w:p>
            <w:pPr>
              <w:jc w:val="center"/>
              <w:ind w:right="118"/>
              <w:spacing w:after="0" w:line="142" w:lineRule="exact"/>
              <w:rPr>
                <w:sz w:val="20"/>
                <w:szCs w:val="20"/>
                <w:color w:val="auto"/>
              </w:rPr>
            </w:pPr>
            <w:r>
              <w:rPr>
                <w:rFonts w:ascii="Arial" w:cs="Arial" w:eastAsia="Arial" w:hAnsi="Arial"/>
                <w:sz w:val="14"/>
                <w:szCs w:val="14"/>
                <w:b w:val="1"/>
                <w:bCs w:val="1"/>
                <w:color w:val="auto"/>
                <w:w w:val="92"/>
              </w:rPr>
              <w:t>Auction Rate Securities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Transfers to Level 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gains (realized or unrealized)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Purchases, issuances and settlements,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8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28, 2012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The amount of total gains or (losses) for the period included in earnings (or change in net assets) attributable to the change</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9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in unrealized gains or losses relating to assets still held at July 28, 2012</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 As of July 28, 2012, the inputs used in the Company’s discounted cash flow analysis included current coupon rates ranging from 0.4% to 0.8%, estimated redemption periods of 7 to 22 years and discount rates of 7.7% to 18.7%. The discount rates were based on market rates for municipal bond securities, as adjusted for a risk premium to reflect the lack of liquidity of these investments. Assuming a higher discount rate, a longer estimated redemption period and lower coupon rates would result in a lower fair market value. Conversely, assuming a lower discount rate, a shorter estimated redemption period and higher coupon rates would result in a higher fair market value.</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allowing the Company to recover the original cost of $7.2 million. The Company will continue to monitor the value of its auction rate securities at each reporting period for a possible other-than-temporary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Warranty Reserves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months ended July 28, 2012 and July 30, 2011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July 28,</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July 30,</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240" w:type="dxa"/>
            <w:vAlign w:val="bottom"/>
            <w:gridSpan w:val="2"/>
          </w:tcPr>
          <w:p>
            <w:pPr>
              <w:jc w:val="right"/>
              <w:ind w:right="44"/>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40" w:type="dxa"/>
            <w:vAlign w:val="bottom"/>
            <w:gridSpan w:val="2"/>
            <w:shd w:val="clear" w:color="auto" w:fill="CCEEFF"/>
          </w:tcPr>
          <w:p>
            <w:pPr>
              <w:jc w:val="right"/>
              <w:ind w:right="78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2,872</w:t>
            </w:r>
          </w:p>
        </w:tc>
        <w:tc>
          <w:tcPr>
            <w:tcW w:w="94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Warranty expense</w:t>
            </w:r>
          </w:p>
        </w:tc>
        <w:tc>
          <w:tcPr>
            <w:tcW w:w="3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9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3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w:t>
            </w:r>
          </w:p>
        </w:tc>
        <w:tc>
          <w:tcPr>
            <w:tcW w:w="9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32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2,633</w:t>
            </w:r>
          </w:p>
        </w:tc>
        <w:tc>
          <w:tcPr>
            <w:tcW w:w="2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Customer-Funded Research &amp; Development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customer-funded R&amp;D was approximately $6.6 million and $5.2 million for the three months ended July 28, 2012 and July 30,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ectPr>
          <w:pgSz w:w="11900" w:h="16838" w:orient="portrait"/>
          <w:cols w:equalWidth="0" w:num="1">
            <w:col w:w="11420"/>
          </w:cols>
          <w:pgMar w:left="240" w:top="125" w:right="239" w:bottom="0" w:gutter="0" w:footer="0" w:header="0"/>
        </w:sectPr>
      </w:pPr>
    </w:p>
    <w:bookmarkStart w:id="8" w:name="page9"/>
    <w:bookmarkEnd w:id="8"/>
    <w:p>
      <w:pPr>
        <w:spacing w:after="0" w:line="2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the three months ended July 28, 2012 and July 30, 2011, the Company recorded a (benefit) and provision for income taxes of $(0.7) million and $0.2 million, respectively, yielding an effective tax rate of 33.4% and 35.7%, respectively. The variance from statutory rates for the three months ended July 28, 2012 was primarily due to research and development tax credits.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 segments are as follows:</w:t>
      </w:r>
    </w:p>
    <w:p>
      <w:pPr>
        <w:spacing w:after="0" w:line="225" w:lineRule="exact"/>
        <w:rPr>
          <w:sz w:val="20"/>
          <w:szCs w:val="20"/>
          <w:color w:val="auto"/>
        </w:rPr>
      </w:pPr>
    </w:p>
    <w:p>
      <w:pPr>
        <w:ind w:left="980" w:right="140" w:hanging="648"/>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Unmanned Aircraft Systems (“UAS”) — The UAS segment focuses primarily on the design, development, production, support and operation of innovative UAS that provide situational awareness and other mission effects to increase the security and operational effectiveness of the Company’s customers.</w:t>
      </w:r>
    </w:p>
    <w:p>
      <w:pPr>
        <w:spacing w:after="0" w:line="181" w:lineRule="exact"/>
        <w:rPr>
          <w:rFonts w:ascii="Arial" w:cs="Arial" w:eastAsia="Arial" w:hAnsi="Arial"/>
          <w:sz w:val="18"/>
          <w:szCs w:val="18"/>
          <w:color w:val="auto"/>
        </w:rPr>
      </w:pPr>
    </w:p>
    <w:p>
      <w:pPr>
        <w:ind w:left="980" w:right="420" w:hanging="648"/>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Energy Systems (“EES”) — The EES segment focuses primarily on the design, development, production, support and operation of innovative efficient electric energy systems that address the growing demand for electric transportation solutions.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segment results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July 28,</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UAS</w:t>
            </w:r>
          </w:p>
        </w:tc>
        <w:tc>
          <w:tcPr>
            <w:tcW w:w="4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48,806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4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4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UAS</w:t>
            </w: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16,050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4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19,505</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8,136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4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income</w:t>
            </w: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220" w:type="dxa"/>
            <w:vAlign w:val="bottom"/>
            <w:vMerge w:val="restart"/>
          </w:tcPr>
          <w:p>
            <w:pPr>
              <w:jc w:val="right"/>
              <w:ind w:right="241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80" w:type="dxa"/>
            <w:vAlign w:val="bottom"/>
            <w:tcBorders>
              <w:bottom w:val="single" w:sz="8" w:color="010101"/>
            </w:tcBorders>
          </w:tcPr>
          <w:p>
            <w:pPr>
              <w:spacing w:after="0"/>
              <w:rPr>
                <w:sz w:val="11"/>
                <w:szCs w:val="11"/>
                <w:color w:val="auto"/>
              </w:rPr>
            </w:pPr>
          </w:p>
        </w:tc>
        <w:tc>
          <w:tcPr>
            <w:tcW w:w="4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II, Item 1A, “Risk Factors.”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long-term investments,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ectPr>
          <w:pgSz w:w="11900" w:h="16865" w:orient="portrait"/>
          <w:cols w:equalWidth="0" w:num="1">
            <w:col w:w="11460"/>
          </w:cols>
          <w:pgMar w:left="240" w:top="125" w:right="199" w:bottom="0" w:gutter="0" w:footer="0" w:header="0"/>
        </w:sectPr>
      </w:pPr>
    </w:p>
    <w:bookmarkStart w:id="9" w:name="page10"/>
    <w:bookmarkEnd w:id="9"/>
    <w:p>
      <w:pPr>
        <w:ind w:right="400"/>
        <w:spacing w:after="0" w:line="277" w:lineRule="auto"/>
        <w:rPr>
          <w:sz w:val="20"/>
          <w:szCs w:val="20"/>
          <w:color w:val="auto"/>
        </w:rPr>
      </w:pPr>
      <w:r>
        <w:rPr>
          <w:rFonts w:ascii="Arial" w:cs="Arial" w:eastAsia="Arial" w:hAnsi="Arial"/>
          <w:sz w:val="18"/>
          <w:szCs w:val="18"/>
          <w:color w:val="auto"/>
        </w:rPr>
        <w:t>There have been no material changes made to the critical accounting estimates during the periods presented in the consolidated financial statements from those disclosed in the Form 10-K for the fiscal year ended April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Due to our fixed year end date of April 30, our first and fourth quarters each consist of approximately 13 weeks. The second and third quarters each consist of exactly 13 weeks. Our first three quarters end on a Saturday. Our 2013 fiscal year ends on April 30, 2013 and our fiscal quarters end on July 28, 2012, October 27, 2012 and January 26,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operating segments are Unmanned Aircraft Systems, or UAS, and Efficient Energy Systems, or EES. The accounting policies for each of these segments are the same. In addition, a significant portion of our research and development, or R&amp;D, selling, general and administrative, or SG&amp;A, and general overhead resources are shared across our segments.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 (in thousands):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July 28, 2012 Compared to Three Months Ended July 30,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4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July 28,</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UAS</w:t>
            </w:r>
          </w:p>
        </w:tc>
        <w:tc>
          <w:tcPr>
            <w:tcW w:w="3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48,806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52,205</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9,792</w:t>
            </w:r>
          </w:p>
        </w:tc>
      </w:tr>
      <w:tr>
        <w:trPr>
          <w:trHeight w:val="210"/>
        </w:trPr>
        <w:tc>
          <w:tcPr>
            <w:tcW w:w="5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61,997</w:t>
            </w:r>
          </w:p>
        </w:tc>
        <w:tc>
          <w:tcPr>
            <w:tcW w:w="100" w:type="dxa"/>
            <w:vAlign w:val="bottom"/>
            <w:tcBorders>
              <w:bottom w:val="single" w:sz="8" w:color="CCEEFF"/>
            </w:tcBorders>
          </w:tcPr>
          <w:p>
            <w:pPr>
              <w:spacing w:after="0"/>
              <w:rPr>
                <w:sz w:val="18"/>
                <w:szCs w:val="18"/>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UAS</w:t>
            </w: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16,050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20,205</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EES</w:t>
            </w:r>
          </w:p>
        </w:tc>
        <w:tc>
          <w:tcPr>
            <w:tcW w:w="2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r>
      <w:tr>
        <w:trPr>
          <w:trHeight w:val="210"/>
        </w:trPr>
        <w:tc>
          <w:tcPr>
            <w:tcW w:w="5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19,505</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21,715</w:t>
            </w:r>
          </w:p>
        </w:tc>
        <w:tc>
          <w:tcPr>
            <w:tcW w:w="100" w:type="dxa"/>
            <w:vAlign w:val="bottom"/>
            <w:tcBorders>
              <w:bottom w:val="single" w:sz="8" w:color="CCEEFF"/>
            </w:tcBorders>
          </w:tcPr>
          <w:p>
            <w:pPr>
              <w:spacing w:after="0"/>
              <w:rPr>
                <w:sz w:val="18"/>
                <w:szCs w:val="18"/>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8,136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7,586</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income</w:t>
            </w: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2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July 28, 2012 was $58.7 million, as compared to $62.0 million for the three months ended July 30,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 decrease of $3.3 million, or 5%. UAS revenue decreased by $3.4 million to $48.8 million for the three months ended July 28, 2012, primarily due to a decrease in UAS service revenue of $5.0 million, partially offset by an increase in customer-funded R&amp;D work of $1.5 million and product deliveries of $0.1 million. The decrease in service revenue was primarily due to decreased retrofits of Raven B systems with our Digital Data Link technology. The increase in customer-funded R&amp;D was due to increased activity related to our Switchblade loitering munition system. EES revenue increased by $0.1 million to $9.9 million for the three months ended July 28, 2012. The increase in EES revenue was primarily due to increased installations of passenger electric vehicle charging systems partially offset by a decrease in deliveries of electric vehicle test equipment and industrial electric vehicle charging systems.</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three months ended July 28, 2012 was $39.2 million, as compared to $40.3 million for the three months ended July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2011, representing a decrease of $1.1 million, or 3%. As a percentage of revenue, cost of sales increased from 65% for the three months ended July 30, 2011 to 67% for the three months ended July 28, 2012. UAS cost of sales increased $0.8 million, or 2%, to $32.8 million for the three months ended July 28, 2012. As a percentage of revenue, cost of sales for UAS increased from 61% to 67%, primarily due to higher product sustaining costs related to new product features on product deliveries. EES cost of sales decreased $1.9 million, or 23%, to $6.4 million for the three months ended July 28, 2012. As a percentage of revenue, cost of sales for EES decreased from 85% to 65%, primarily due to lower program costs on an existing Department of Defense development program and lower manufacturing and engineering overhead support costs.</w:t>
      </w:r>
    </w:p>
    <w:p>
      <w:pPr>
        <w:spacing w:after="0" w:line="17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July 28, 2012 was $19.5 million, as compared to $21.7 million for the three months ended July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representing a decrease of $2.2 million, or 10%. UAS gross margin decreased $4.2 million, or 21%, to $16.1 million for the three months ended</w:t>
      </w:r>
    </w:p>
    <w:p>
      <w:pPr>
        <w:ind w:right="20"/>
        <w:spacing w:after="0" w:line="254" w:lineRule="auto"/>
        <w:rPr>
          <w:sz w:val="20"/>
          <w:szCs w:val="20"/>
          <w:color w:val="auto"/>
        </w:rPr>
      </w:pPr>
      <w:r>
        <w:rPr>
          <w:rFonts w:ascii="Arial" w:cs="Arial" w:eastAsia="Arial" w:hAnsi="Arial"/>
          <w:sz w:val="18"/>
          <w:szCs w:val="18"/>
          <w:color w:val="auto"/>
        </w:rPr>
        <w:t>July 28, 2012. As a percentage of revenue, gross margin for UAS decreased from 39% to 33%, primarily due to higher product sustaining costs related to new product features on product deliveries. EES gross margin increased $1.9 million, or 129%, to $3.5 million for the three months ended July 28, 2012. As a percentage of revenue, EES gross margin increased from 15% to 35%, primarily due to lower program costs on an existing Department of Defense development program and lower manufacturing and engineering overhead support costs.</w:t>
      </w:r>
    </w:p>
    <w:p>
      <w:pPr>
        <w:spacing w:after="0" w:line="18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three months ended July 28, 2012 was $13.6 million, or 23%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$13.7 million, or 22% of revenue, for the three months ended July 30, 2011. SG&amp;A expense decreased $0.1 million primarily due to lower marketing and business development costs.</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July 28, 2012 was $8.1 million, or 14% of revenue, compared to R&amp;D expense of $7.6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12% of revenue, for the three months ended July 30, 2011. R&amp;D expense increased $0.5 million primarily due to higher investment in various UAS and EES technology development initiatives.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for the three months ended July 28, 2012 was $0.2 million compared to interest income of $0.1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July 30, 2011.</w:t>
      </w:r>
    </w:p>
    <w:p>
      <w:pPr>
        <w:sectPr>
          <w:pgSz w:w="11900" w:h="16838" w:orient="portrait"/>
          <w:cols w:equalWidth="0" w:num="1">
            <w:col w:w="11420"/>
          </w:cols>
          <w:pgMar w:left="240" w:top="341"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benefit rate was 33.4% for the three months ended July 28, 2012, as compared to an income tax rate of 35.7%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July 30, 2011. The decrease was primarily due to lower R&amp;D credits.</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Backlog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define funded backlog as unfilled firm orders for products and services for which funding currently is appropriated to us under the contract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customer. As of July 28, 2012 and April 30, 2012, our funded backlog was approximately $98.4 million and $93.2 million, respectively.</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our funded backlog, we also had unfunded backlog of $82.1 million and $96.1 million as of July 28, 2012 and April 30, 2012,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funded, may be terminated at the convenience of the U.S. government.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global credit situation has imposed high levels of volatility and disruption in the capital markets, severely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primary liquidity needs are for financing working capital, investing in capital expenditures, supporting product development efforts, introducing new products and enhancing existing products and services, and promoting market acceptance and adoption of our products and services. Our future capital 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To the extent we require additional funding, we cannot be certain that such funding will be available to us on acceptable terms, or at all. Although we are currently not a party to any agreement or letter of intent with respect to potential investment in, or acquisitions of, businesses, services or technologies, we may enter into these types of arrangements in the future, which could also require us to seek additional equity or debt financing.</w:t>
      </w:r>
    </w:p>
    <w:p>
      <w:pPr>
        <w:spacing w:after="0" w:line="19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Recent global market and economic conditions have been unprecedented and challenging with tighter credit conditions and recession in most major economies. As a result of these market conditions, the cost and availability of credit has been and may continue to be adversely affected by illiquid credit markets and wider credit spreads. Concern about the stability of the markets generally and the strength of counterparties specifically has led many lenders and institutional investors to reduce, and in some cases, cease to provide credit to businesses and consumers. These factors have led to a decrease in spending by businesses and consumers alike, and a corresponding decrease in global infrastructure spending. Continued turbulence in the U.S. and international markets and economies and prolonged declines in business and consumer spending may adversely affect our liquidity and financial condition, and the liquidity and financial condition of our customers, including our ability to access the capital markets to meet liquidity needs. In addition, we maintain significant amounts of cash and cash equivalents at one or more financial institutions that are in excess of federally insured limits. Given the current instability of financial institutions, we cannot be assured that we will not experience losses on these deposits.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cash flow data for the three months ended July 28, 2012 and July 30, 2011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9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541"/>
              <w:spacing w:after="0" w:line="119" w:lineRule="exact"/>
              <w:rPr>
                <w:sz w:val="20"/>
                <w:szCs w:val="20"/>
                <w:color w:val="auto"/>
              </w:rPr>
            </w:pPr>
            <w:r>
              <w:rPr>
                <w:rFonts w:ascii="Arial" w:cs="Arial" w:eastAsia="Arial" w:hAnsi="Arial"/>
                <w:sz w:val="13"/>
                <w:szCs w:val="13"/>
                <w:b w:val="1"/>
                <w:bCs w:val="1"/>
                <w:color w:val="auto"/>
              </w:rPr>
              <w:t>July 28,</w:t>
            </w:r>
          </w:p>
        </w:tc>
        <w:tc>
          <w:tcPr>
            <w:tcW w:w="4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58"/>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r>
      <w:tr>
        <w:trPr>
          <w:trHeight w:val="171"/>
        </w:trPr>
        <w:tc>
          <w:tcPr>
            <w:tcW w:w="5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(17,770)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81"/>
              <w:spacing w:after="0"/>
              <w:rPr>
                <w:sz w:val="20"/>
                <w:szCs w:val="20"/>
                <w:color w:val="auto"/>
              </w:rPr>
            </w:pPr>
            <w:r>
              <w:rPr>
                <w:rFonts w:ascii="Arial" w:cs="Arial" w:eastAsia="Arial" w:hAnsi="Arial"/>
                <w:sz w:val="18"/>
                <w:szCs w:val="18"/>
                <w:color w:val="auto"/>
              </w:rPr>
              <w:t>6,691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17,475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r>
    </w:tbl>
    <w:p>
      <w:pPr>
        <w:sectPr>
          <w:pgSz w:w="11900" w:h="16838" w:orient="portrait"/>
          <w:cols w:equalWidth="0" w:num="1">
            <w:col w:w="11420"/>
          </w:cols>
          <w:pgMar w:left="240" w:top="125" w:right="239" w:bottom="36" w:gutter="0" w:footer="0" w:header="0"/>
        </w:sectPr>
      </w:pPr>
    </w:p>
    <w:bookmarkStart w:id="11" w:name="page12"/>
    <w:bookmarkEnd w:id="11"/>
    <w:p>
      <w:pPr>
        <w:spacing w:after="0" w:line="1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Cash Used in Operating Activities. </w:t>
      </w:r>
      <w:r>
        <w:rPr>
          <w:rFonts w:ascii="Arial" w:cs="Arial" w:eastAsia="Arial" w:hAnsi="Arial"/>
          <w:sz w:val="18"/>
          <w:szCs w:val="18"/>
          <w:color w:val="auto"/>
        </w:rPr>
        <w:t>Net cash used in operating activities for the three months ended July 28, 2012 increased by $19.2 million to $17.8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net cash provided by operating activities of $1.5 million for the three months ended July 30, 2011. This increase in net cash used in operating activities was primarily due to higher working capital needs of $18.5 million and lower income of $1.7 million, partially offset by higher depreciation expense of $1.0 million.</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b w:val="1"/>
          <w:bCs w:val="1"/>
          <w:i w:val="1"/>
          <w:iCs w:val="1"/>
          <w:color w:val="auto"/>
        </w:rPr>
        <w:t xml:space="preserve">Cash Provided by Investing Activities. </w:t>
      </w:r>
      <w:r>
        <w:rPr>
          <w:rFonts w:ascii="Arial" w:cs="Arial" w:eastAsia="Arial" w:hAnsi="Arial"/>
          <w:sz w:val="18"/>
          <w:szCs w:val="18"/>
          <w:color w:val="auto"/>
        </w:rPr>
        <w:t>Net cash provided by investing activities decreased by $10.8 million to $6.7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28, 2012, compared to net cash provided by investing activities of $17.5 million for the three months ended July 30, 2011. The decrease in net cash provided by investing activities was primarily due to higher net purchases of investments of $10.8 million.</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Cash Provided by Financing Activities. </w:t>
      </w:r>
      <w:r>
        <w:rPr>
          <w:rFonts w:ascii="Arial" w:cs="Arial" w:eastAsia="Arial" w:hAnsi="Arial"/>
          <w:sz w:val="18"/>
          <w:szCs w:val="18"/>
          <w:color w:val="auto"/>
        </w:rPr>
        <w:t>Net cash provided by financing activities decreased by $0.2 million to $0.1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28,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first quarter, there were no material changes in our off-balance sheet arrangements or contractual obligations and commercial commitments from those disclosed in the Form 10-K for the fiscal year ended April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refer to Note 1 “Organization and Significant Accounting Policies” to our unaudited consolidated financial statements in Part I, Item 1 of this quarterly report for a discussion of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the end of the period covered by this report, our disclosure controls and procedures were effective and were operating at a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On May 1, 2012, we began using a new Enterprise Resource Planning, or ERP, system. As a result, our financial and operating transactions utilize the functionality provided by the new ERP system. This new system was implemented to support the growth of the enterprise and is not in response to any identified deficiency or weakness in our internal control over financial reporting. The system implementation was designed, in part, to enhance the overall system of internal control over financial reporting through further automation of various business processes.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were no other changes in our internal control over financial reporting or in other factors identified in connection with the evaluation required by paragraph (d) of Exchange Act Rules 13a-15 or 15d-15 that occurred during the quarter ended July 28, 2012 that have materially affected, or are reasonably likely to materially affect, our internal control over financial reporting.</w:t>
      </w:r>
    </w:p>
    <w:p>
      <w:pPr>
        <w:sectPr>
          <w:pgSz w:w="11900" w:h="16850" w:orient="portrait"/>
          <w:cols w:equalWidth="0" w:num="1">
            <w:col w:w="11420"/>
          </w:cols>
          <w:pgMar w:left="240" w:top="125" w:right="239" w:bottom="0" w:gutter="0" w:footer="0" w:header="0"/>
        </w:sectPr>
      </w:pPr>
    </w:p>
    <w:bookmarkStart w:id="12" w:name="page13"/>
    <w:bookmarkEnd w:id="12"/>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not currently a party to any material legal proceedings. We are, however, subject to lawsuits from time to time in the ordinary course of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There have been no material changes to the risk factors disclosed under Part I, Item 1A, “Risk Factors,” in our Annual Report on Form 10-K for the fiscal year ended April 30, 2012. Please refer to that section for disclosures regarding the risks and uncertainties related to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60" w:type="dxa"/>
            <w:vAlign w:val="bottom"/>
          </w:tcPr>
          <w:p>
            <w:pPr>
              <w:spacing w:after="0"/>
              <w:rPr>
                <w:sz w:val="14"/>
                <w:szCs w:val="14"/>
                <w:color w:val="auto"/>
              </w:rPr>
            </w:pPr>
          </w:p>
        </w:tc>
        <w:tc>
          <w:tcPr>
            <w:tcW w:w="982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Borders>
              <w:bottom w:val="single" w:sz="8" w:color="CCEEFF"/>
            </w:tcBorders>
          </w:tcPr>
          <w:p>
            <w:pPr>
              <w:spacing w:after="0"/>
              <w:rPr>
                <w:sz w:val="14"/>
                <w:szCs w:val="14"/>
                <w:color w:val="auto"/>
              </w:rPr>
            </w:pPr>
          </w:p>
        </w:tc>
        <w:tc>
          <w:tcPr>
            <w:tcW w:w="9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260" w:type="dxa"/>
            <w:vAlign w:val="bottom"/>
            <w:shd w:val="clear" w:color="auto" w:fill="CCEEFF"/>
          </w:tcPr>
          <w:p>
            <w:pPr>
              <w:spacing w:after="0"/>
              <w:rPr>
                <w:sz w:val="16"/>
                <w:szCs w:val="16"/>
                <w:color w:val="auto"/>
              </w:rPr>
            </w:pPr>
          </w:p>
        </w:tc>
        <w:tc>
          <w:tcPr>
            <w:tcW w:w="9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Certification of Chief Executive Officer pursuant to Rule 13a-14(a) and Rule 15d-14(a) of the Securities Exchange Act of 1934, as</w:t>
            </w: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202"/>
        </w:trPr>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1"/>
              </w:rPr>
              <w:t>31.2</w:t>
            </w:r>
          </w:p>
        </w:tc>
        <w:tc>
          <w:tcPr>
            <w:tcW w:w="100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5"/>
              </w:rPr>
              <w:t>Certification of Chief Financial Officer pursuant to Rule 13a-14(a) and Rule 15d-14(a) of the Securities Exchange Act of 1934, as</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bl>
    <w:p>
      <w:pPr>
        <w:ind w:left="1600" w:right="600" w:hanging="1014"/>
        <w:spacing w:after="0" w:line="250" w:lineRule="auto"/>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1008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101.SCH*</w:t>
            </w:r>
          </w:p>
        </w:tc>
        <w:tc>
          <w:tcPr>
            <w:tcW w:w="10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080" w:type="dxa"/>
            <w:vAlign w:val="bottom"/>
          </w:tcPr>
          <w:p>
            <w:pPr>
              <w:ind w:left="26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101.DEF*</w:t>
            </w:r>
          </w:p>
        </w:tc>
        <w:tc>
          <w:tcPr>
            <w:tcW w:w="10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080" w:type="dxa"/>
            <w:vAlign w:val="bottom"/>
          </w:tcPr>
          <w:p>
            <w:pPr>
              <w:ind w:left="26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101.PRE*</w:t>
            </w:r>
          </w:p>
        </w:tc>
        <w:tc>
          <w:tcPr>
            <w:tcW w:w="10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200" w:hanging="172"/>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 11 or 12 of the Securities Act of 1933, as amended, are deemed not filed for purposes of Section 18 of the Securities Exchange Act of 1934, as amended, and otherwise are not subject to liability under these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Date: September 5, 2012</w:t>
            </w:r>
          </w:p>
        </w:tc>
        <w:tc>
          <w:tcPr>
            <w:tcW w:w="5100" w:type="dxa"/>
            <w:vAlign w:val="bottom"/>
          </w:tcPr>
          <w:p>
            <w:pPr>
              <w:spacing w:after="0"/>
              <w:rPr>
                <w:sz w:val="20"/>
                <w:szCs w:val="20"/>
                <w:color w:val="auto"/>
              </w:rPr>
            </w:pPr>
            <w:r>
              <w:rPr>
                <w:rFonts w:ascii="Arial" w:cs="Arial" w:eastAsia="Arial" w:hAnsi="Arial"/>
                <w:sz w:val="18"/>
                <w:szCs w:val="18"/>
                <w:color w:val="auto"/>
              </w:rPr>
              <w:t>AEROVIRONMENT, INC.</w:t>
            </w:r>
          </w:p>
        </w:tc>
      </w:tr>
      <w:tr>
        <w:trPr>
          <w:trHeight w:val="432"/>
        </w:trPr>
        <w:tc>
          <w:tcPr>
            <w:tcW w:w="6320" w:type="dxa"/>
            <w:vAlign w:val="bottom"/>
          </w:tcPr>
          <w:p>
            <w:pPr>
              <w:ind w:left="57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Conver</w:t>
            </w:r>
          </w:p>
        </w:tc>
      </w:tr>
      <w:tr>
        <w:trPr>
          <w:trHeight w:val="224"/>
        </w:trPr>
        <w:tc>
          <w:tcPr>
            <w:tcW w:w="63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Timothy E. Conver</w:t>
            </w:r>
          </w:p>
        </w:tc>
      </w:tr>
    </w:tbl>
    <w:p>
      <w:pPr>
        <w:sectPr>
          <w:pgSz w:w="11900" w:h="16885" w:orient="portrait"/>
          <w:cols w:equalWidth="0" w:num="1">
            <w:col w:w="11420"/>
          </w:cols>
          <w:pgMar w:left="240" w:top="341" w:right="239" w:bottom="0" w:gutter="0" w:footer="0" w:header="0"/>
        </w:sectPr>
      </w:pPr>
    </w:p>
    <w:bookmarkStart w:id="13" w:name="page14"/>
    <w:bookmarkEnd w:id="13"/>
    <w:p>
      <w:pPr>
        <w:ind w:left="5120"/>
        <w:spacing w:after="0"/>
        <w:rPr>
          <w:sz w:val="20"/>
          <w:szCs w:val="20"/>
          <w:color w:val="auto"/>
        </w:rPr>
      </w:pPr>
      <w:r>
        <w:rPr>
          <w:rFonts w:ascii="Arial" w:cs="Arial" w:eastAsia="Arial" w:hAnsi="Arial"/>
          <w:sz w:val="16"/>
          <w:szCs w:val="16"/>
          <w:color w:val="auto"/>
        </w:rPr>
        <w:t>Chairman, Chief Executive Officer and President</w:t>
      </w:r>
    </w:p>
    <w:p>
      <w:pPr>
        <w:spacing w:after="0" w:line="4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-130810</wp:posOffset>
            </wp:positionV>
            <wp:extent cx="32416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Senior Vice President and Chief Financial Officer</w:t>
      </w:r>
    </w:p>
    <w:p>
      <w:pPr>
        <w:spacing w:after="0" w:line="3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Timothy E. Conver, certify that:</w:t>
      </w:r>
    </w:p>
    <w:p>
      <w:pPr>
        <w:spacing w:after="0" w:line="225" w:lineRule="exact"/>
        <w:rPr>
          <w:sz w:val="20"/>
          <w:szCs w:val="20"/>
          <w:color w:val="auto"/>
        </w:rPr>
      </w:pPr>
    </w:p>
    <w:p>
      <w:pPr>
        <w:ind w:left="340" w:hanging="329"/>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29"/>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29"/>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2012</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Jikun Kim, certify that:</w:t>
      </w:r>
    </w:p>
    <w:p>
      <w:pPr>
        <w:spacing w:after="0" w:line="225" w:lineRule="exact"/>
        <w:rPr>
          <w:sz w:val="20"/>
          <w:szCs w:val="20"/>
          <w:color w:val="auto"/>
        </w:rPr>
      </w:pPr>
    </w:p>
    <w:p>
      <w:pPr>
        <w:ind w:left="340" w:hanging="329"/>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ind w:left="340" w:right="120" w:hanging="329"/>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29"/>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29"/>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29"/>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2012</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2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8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Quarterly Report on Form 10-Q for the quarter ended July 28, 2012 (the “Periodic Report”) of the Company fully complies with the requirements of Section 13(a) of the Securities Exchange Act of 1934 (15 U.S.C. 78m or 78o(d)) and information contained in the Periodic Report fairly presents, in all material respects, the financial condition and results of operations of the Company.</w:t>
      </w:r>
    </w:p>
    <w:p>
      <w:pPr>
        <w:spacing w:after="0" w:line="18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Timothy E. Conver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Chairman, Chief Executive Officer and President</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Jikun Kim</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2012</w:t>
      </w:r>
    </w:p>
    <w:p>
      <w:pPr>
        <w:spacing w:after="0" w:line="22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3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2019-12-09T17:59:10Z</dcterms:created>
  <dcterms:modified xsi:type="dcterms:W3CDTF">2019-12-09T17:59:10Z</dcterms:modified>
</cp:coreProperties>
</file>